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B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关于推进温岭市湖漫库区生态搬迁强村富民的实施办法</w:t>
      </w:r>
    </w:p>
    <w:p w14:paraId="6B220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</w:rPr>
        <w:t>（征求意见稿）</w:t>
      </w:r>
    </w:p>
    <w:p w14:paraId="62DC9903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</w:rPr>
      </w:pPr>
    </w:p>
    <w:p w14:paraId="5CCF9A37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为进一步推动我市湖漫库区生态搬迁和环境治理工作，强化库区搬迁群众生产生活保障，确保库区群众“搬得出、稳得住、富得起”，参照《长潭水库生态补偿资金和生态建设补偿资金管理办法》（台政办发〔2021〕39号）等相关文件要求，结合我市实际，制定实施办法如下：</w:t>
      </w:r>
    </w:p>
    <w:p w14:paraId="5BFEBA5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 xml:space="preserve">补助对象 </w:t>
      </w:r>
    </w:p>
    <w:p w14:paraId="6177C43C">
      <w:pPr>
        <w:numPr>
          <w:ilvl w:val="0"/>
          <w:numId w:val="0"/>
        </w:numPr>
        <w:tabs>
          <w:tab w:val="left" w:pos="1800"/>
        </w:tabs>
        <w:spacing w:line="610" w:lineRule="exact"/>
        <w:ind w:firstLine="640" w:firstLineChars="200"/>
        <w:rPr>
          <w:rFonts w:hint="eastAsia" w:ascii="仿宋_GB2312" w:hAnsi="黑体"/>
          <w:color w:val="auto"/>
        </w:rPr>
      </w:pPr>
      <w:r>
        <w:rPr>
          <w:rFonts w:hint="eastAsia" w:ascii="仿宋_GB2312" w:hAnsi="黑体"/>
          <w:color w:val="auto"/>
        </w:rPr>
        <w:t>湖漫库区生态搬迁涉及的城南镇山岙村、林岙村、坑洋村、横溪村、彭家村、石桥头镇双岙村、洞桥村、黄西岙村等8个行政村集体以及</w:t>
      </w:r>
      <w:r>
        <w:rPr>
          <w:rFonts w:hint="eastAsia" w:ascii="仿宋_GB2312" w:hAnsi="黑体"/>
          <w:color w:val="auto"/>
          <w:lang w:val="en-US" w:eastAsia="zh-CN"/>
        </w:rPr>
        <w:t>2023年12月24日（库区生态搬迁签约截止日）</w:t>
      </w:r>
      <w:r>
        <w:rPr>
          <w:rFonts w:hint="eastAsia" w:ascii="仿宋_GB2312" w:hAnsi="黑体"/>
          <w:color w:val="auto"/>
          <w:lang w:eastAsia="zh-CN"/>
        </w:rPr>
        <w:t>户籍在册的原住村民（不含</w:t>
      </w:r>
      <w:r>
        <w:rPr>
          <w:rFonts w:hint="eastAsia" w:ascii="仿宋_GB2312" w:hAnsi="黑体"/>
          <w:color w:val="auto"/>
        </w:rPr>
        <w:t>行政机关、事业单位、国有企业</w:t>
      </w:r>
      <w:r>
        <w:rPr>
          <w:rFonts w:hint="eastAsia" w:ascii="仿宋_GB2312" w:hAnsi="黑体"/>
          <w:color w:val="auto"/>
          <w:lang w:eastAsia="zh-CN"/>
        </w:rPr>
        <w:t>的</w:t>
      </w:r>
      <w:r>
        <w:rPr>
          <w:rFonts w:hint="eastAsia" w:ascii="仿宋_GB2312" w:hAnsi="黑体"/>
          <w:color w:val="auto"/>
        </w:rPr>
        <w:t>在编公职人员及离退休人员</w:t>
      </w:r>
      <w:r>
        <w:rPr>
          <w:rFonts w:hint="eastAsia" w:ascii="仿宋_GB2312" w:hAnsi="黑体"/>
          <w:color w:val="auto"/>
          <w:lang w:eastAsia="zh-CN"/>
        </w:rPr>
        <w:t>）。</w:t>
      </w:r>
    </w:p>
    <w:p w14:paraId="0A051B79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</w:rPr>
        <w:t>二、补助途径</w:t>
      </w:r>
      <w:r>
        <w:rPr>
          <w:rFonts w:hint="eastAsia" w:ascii="仿宋_GB2312" w:hAnsi="仿宋_GB2312" w:cs="仿宋_GB2312"/>
          <w:color w:val="auto"/>
        </w:rPr>
        <w:t xml:space="preserve"> </w:t>
      </w:r>
    </w:p>
    <w:p w14:paraId="1896CC82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通过直补个人、项目扶持</w:t>
      </w:r>
      <w:r>
        <w:rPr>
          <w:rFonts w:hint="eastAsia" w:ascii="仿宋_GB2312" w:hAnsi="仿宋_GB2312" w:cs="仿宋_GB2312"/>
          <w:color w:val="auto"/>
          <w:lang w:eastAsia="zh-CN"/>
        </w:rPr>
        <w:t>和</w:t>
      </w:r>
      <w:r>
        <w:rPr>
          <w:rFonts w:hint="eastAsia" w:ascii="仿宋_GB2312" w:hAnsi="仿宋_GB2312" w:cs="仿宋_GB2312"/>
          <w:color w:val="auto"/>
        </w:rPr>
        <w:t>土地流转等多种方式，改善库区群众搬迁后生产生活条件，促进库区群众增收、</w:t>
      </w:r>
      <w:r>
        <w:rPr>
          <w:rFonts w:hint="eastAsia" w:ascii="仿宋_GB2312" w:hAnsi="仿宋_GB2312" w:cs="仿宋_GB2312"/>
          <w:color w:val="auto"/>
          <w:lang w:eastAsia="zh-CN"/>
        </w:rPr>
        <w:t>村集体</w:t>
      </w:r>
      <w:r>
        <w:rPr>
          <w:rFonts w:hint="eastAsia" w:ascii="仿宋_GB2312" w:hAnsi="仿宋_GB2312" w:cs="仿宋_GB2312"/>
          <w:color w:val="auto"/>
        </w:rPr>
        <w:t>致富。</w:t>
      </w:r>
    </w:p>
    <w:p w14:paraId="1440BF30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</w:rPr>
        <w:t xml:space="preserve">三、补助内容 </w:t>
      </w:r>
      <w:r>
        <w:rPr>
          <w:rFonts w:hint="eastAsia" w:ascii="仿宋_GB2312" w:hAnsi="仿宋_GB2312" w:cs="仿宋_GB2312"/>
          <w:color w:val="auto"/>
        </w:rPr>
        <w:t xml:space="preserve"> </w:t>
      </w:r>
    </w:p>
    <w:p w14:paraId="276152E3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</w:rPr>
        <w:t>（一）生活补助</w:t>
      </w:r>
    </w:p>
    <w:p w14:paraId="4E38CAFB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1.市级生态补偿资金直补个人部分为100元/人·年。</w:t>
      </w:r>
    </w:p>
    <w:p w14:paraId="21655E9D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2.补助自来水费3吨/人·月</w:t>
      </w:r>
      <w:r>
        <w:rPr>
          <w:rFonts w:hint="eastAsia" w:ascii="仿宋_GB2312" w:hAnsi="仿宋_GB2312" w:cs="仿宋_GB2312"/>
          <w:color w:val="auto"/>
          <w:lang w:val="en-US" w:eastAsia="zh-CN"/>
        </w:rPr>
        <w:t>(按照库区当前水费2元/吨计算)</w:t>
      </w:r>
      <w:r>
        <w:rPr>
          <w:rFonts w:hint="eastAsia" w:ascii="仿宋_GB2312" w:hAnsi="仿宋_GB2312" w:cs="仿宋_GB2312"/>
          <w:color w:val="auto"/>
        </w:rPr>
        <w:t>；补助城乡居民基本医疗保险保费中每年个人缴费部分的</w:t>
      </w:r>
      <w:r>
        <w:rPr>
          <w:rFonts w:hint="eastAsia" w:ascii="仿宋_GB2312" w:hAnsi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</w:rPr>
        <w:t>0%</w:t>
      </w:r>
      <w:r>
        <w:rPr>
          <w:rFonts w:hint="eastAsia" w:ascii="仿宋_GB2312" w:hAnsi="仿宋_GB2312" w:cs="仿宋_GB2312"/>
          <w:color w:val="auto"/>
          <w:lang w:eastAsia="zh-CN"/>
        </w:rPr>
        <w:t>（凭个人城乡居民医疗</w:t>
      </w:r>
      <w:r>
        <w:rPr>
          <w:rFonts w:hint="eastAsia" w:ascii="仿宋_GB2312" w:hAnsi="仿宋_GB2312" w:cs="仿宋_GB2312"/>
          <w:color w:val="auto"/>
        </w:rPr>
        <w:t>保险保费</w:t>
      </w:r>
      <w:r>
        <w:rPr>
          <w:rFonts w:hint="eastAsia" w:ascii="仿宋_GB2312" w:hAnsi="仿宋_GB2312" w:cs="仿宋_GB2312"/>
          <w:color w:val="auto"/>
          <w:lang w:eastAsia="zh-CN"/>
        </w:rPr>
        <w:t>的缴费凭证）</w:t>
      </w:r>
      <w:r>
        <w:rPr>
          <w:rFonts w:hint="eastAsia" w:ascii="仿宋_GB2312" w:hAnsi="仿宋_GB2312" w:cs="仿宋_GB2312"/>
          <w:color w:val="auto"/>
        </w:rPr>
        <w:t>。</w:t>
      </w:r>
    </w:p>
    <w:p w14:paraId="6F1DE497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</w:rPr>
        <w:t xml:space="preserve">（二）生产补助 </w:t>
      </w:r>
    </w:p>
    <w:p w14:paraId="2A99C48C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</w:rPr>
        <w:t>.根据生态保护红线管控要求，对库区范围内的</w:t>
      </w:r>
      <w:r>
        <w:rPr>
          <w:rFonts w:hint="eastAsia" w:ascii="仿宋_GB2312" w:hAnsi="仿宋_GB2312" w:cs="仿宋_GB2312"/>
          <w:color w:val="auto"/>
          <w:lang w:eastAsia="zh-CN"/>
        </w:rPr>
        <w:t>相关</w:t>
      </w:r>
      <w:r>
        <w:rPr>
          <w:rFonts w:hint="eastAsia" w:ascii="仿宋_GB2312" w:hAnsi="仿宋_GB2312" w:cs="仿宋_GB2312"/>
          <w:color w:val="auto"/>
        </w:rPr>
        <w:t>农用地</w:t>
      </w:r>
      <w:r>
        <w:rPr>
          <w:rFonts w:hint="eastAsia" w:ascii="仿宋_GB2312" w:hAnsi="仿宋_GB2312" w:cs="仿宋_GB2312"/>
          <w:color w:val="auto"/>
          <w:lang w:val="en-US" w:eastAsia="zh-CN"/>
        </w:rPr>
        <w:t>实行租赁流转，具体按《温岭市湖漫库区规划范围内农用地流转指导意见》实施</w:t>
      </w:r>
      <w:r>
        <w:rPr>
          <w:rFonts w:hint="eastAsia" w:ascii="仿宋_GB2312" w:hAnsi="仿宋_GB2312" w:cs="仿宋_GB2312"/>
          <w:color w:val="auto"/>
        </w:rPr>
        <w:t>。</w:t>
      </w:r>
    </w:p>
    <w:p w14:paraId="35873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</w:rPr>
        <w:t>.</w:t>
      </w:r>
      <w:r>
        <w:rPr>
          <w:rFonts w:hint="eastAsia" w:ascii="仿宋_GB2312" w:hAnsi="仿宋_GB2312" w:cs="仿宋_GB2312"/>
          <w:color w:val="auto"/>
          <w:lang w:eastAsia="zh-CN"/>
        </w:rPr>
        <w:t>库区相关农用地统一流转后，对</w:t>
      </w:r>
      <w:r>
        <w:rPr>
          <w:rFonts w:hint="eastAsia" w:ascii="仿宋_GB2312" w:hAnsi="仿宋_GB2312" w:cs="仿宋_GB2312"/>
          <w:color w:val="auto"/>
        </w:rPr>
        <w:t>村集体</w:t>
      </w:r>
      <w:r>
        <w:rPr>
          <w:rFonts w:hint="eastAsia" w:ascii="仿宋_GB2312" w:hAnsi="仿宋_GB2312" w:cs="仿宋_GB2312"/>
          <w:color w:val="auto"/>
          <w:lang w:eastAsia="zh-CN"/>
        </w:rPr>
        <w:t>的奖励按照《温岭市人民政府关于大力实施农业“双强”行动推进乡村产业高质量发展的若干政策意见》(温政发〔2021〕24号）</w:t>
      </w:r>
      <w:r>
        <w:rPr>
          <w:rFonts w:hint="default" w:ascii="仿宋_GB2312" w:hAnsi="仿宋_GB2312" w:cs="仿宋_GB2312"/>
          <w:color w:val="auto"/>
          <w:lang w:eastAsia="zh-CN"/>
        </w:rPr>
        <w:t>《温岭市村集体经济组织集中连片流转耕地奖励政策实施细则（试行）》（温农水</w:t>
      </w:r>
      <w:r>
        <w:rPr>
          <w:rFonts w:hint="eastAsia" w:ascii="仿宋_GB2312" w:hAnsi="仿宋_GB2312" w:cs="仿宋_GB2312"/>
          <w:color w:val="auto"/>
          <w:lang w:eastAsia="zh-CN"/>
        </w:rPr>
        <w:t>〔202</w:t>
      </w:r>
      <w:r>
        <w:rPr>
          <w:rFonts w:hint="default" w:ascii="仿宋_GB2312" w:hAnsi="仿宋_GB2312" w:cs="仿宋_GB2312"/>
          <w:color w:val="auto"/>
          <w:lang w:eastAsia="zh-CN"/>
        </w:rPr>
        <w:t>2</w:t>
      </w:r>
      <w:r>
        <w:rPr>
          <w:rFonts w:hint="eastAsia" w:ascii="仿宋_GB2312" w:hAnsi="仿宋_GB2312" w:cs="仿宋_GB2312"/>
          <w:color w:val="auto"/>
          <w:lang w:eastAsia="zh-CN"/>
        </w:rPr>
        <w:t>〕</w:t>
      </w:r>
      <w:r>
        <w:rPr>
          <w:rFonts w:hint="default" w:ascii="仿宋_GB2312" w:hAnsi="仿宋_GB2312" w:cs="仿宋_GB2312"/>
          <w:color w:val="auto"/>
          <w:lang w:eastAsia="zh-CN"/>
        </w:rPr>
        <w:t>190</w:t>
      </w:r>
      <w:r>
        <w:rPr>
          <w:rFonts w:hint="eastAsia" w:ascii="仿宋_GB2312" w:hAnsi="仿宋_GB2312" w:cs="仿宋_GB2312"/>
          <w:color w:val="auto"/>
          <w:lang w:eastAsia="zh-CN"/>
        </w:rPr>
        <w:t>号</w:t>
      </w:r>
      <w:r>
        <w:rPr>
          <w:rFonts w:hint="default" w:ascii="仿宋_GB2312" w:hAnsi="仿宋_GB2312" w:cs="仿宋_GB2312"/>
          <w:color w:val="auto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执行</w:t>
      </w:r>
      <w:r>
        <w:rPr>
          <w:rFonts w:hint="eastAsia" w:ascii="仿宋_GB2312" w:hAnsi="仿宋_GB2312" w:cs="仿宋_GB2312"/>
          <w:color w:val="auto"/>
        </w:rPr>
        <w:t>。</w:t>
      </w:r>
    </w:p>
    <w:p w14:paraId="57D03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</w:rPr>
        <w:t>.</w:t>
      </w:r>
      <w:r>
        <w:rPr>
          <w:rFonts w:ascii="仿宋_GB2312" w:hAnsi="仿宋_GB2312" w:cs="仿宋_GB2312"/>
          <w:color w:val="auto"/>
        </w:rPr>
        <w:t>引导</w:t>
      </w:r>
      <w:r>
        <w:rPr>
          <w:rFonts w:hint="eastAsia" w:ascii="仿宋_GB2312" w:hAnsi="仿宋_GB2312" w:cs="仿宋_GB2312"/>
          <w:color w:val="auto"/>
        </w:rPr>
        <w:t>库</w:t>
      </w:r>
      <w:r>
        <w:rPr>
          <w:rFonts w:ascii="仿宋_GB2312" w:hAnsi="仿宋_GB2312" w:cs="仿宋_GB2312"/>
          <w:color w:val="auto"/>
        </w:rPr>
        <w:t>区</w:t>
      </w:r>
      <w:r>
        <w:rPr>
          <w:rFonts w:hint="eastAsia" w:ascii="仿宋_GB2312" w:hAnsi="仿宋_GB2312" w:cs="仿宋_GB2312"/>
          <w:color w:val="auto"/>
        </w:rPr>
        <w:t>发展</w:t>
      </w:r>
      <w:r>
        <w:rPr>
          <w:rFonts w:ascii="仿宋_GB2312" w:hAnsi="仿宋_GB2312" w:cs="仿宋_GB2312"/>
          <w:color w:val="auto"/>
        </w:rPr>
        <w:t>建设</w:t>
      </w:r>
      <w:r>
        <w:rPr>
          <w:rFonts w:hint="eastAsia" w:ascii="仿宋_GB2312" w:hAnsi="仿宋_GB2312" w:cs="仿宋_GB2312"/>
          <w:color w:val="auto"/>
        </w:rPr>
        <w:t>符合规划要求的生态产业项目，</w:t>
      </w:r>
      <w:r>
        <w:rPr>
          <w:rFonts w:ascii="仿宋_GB2312" w:hAnsi="仿宋_GB2312" w:cs="仿宋_GB2312"/>
          <w:color w:val="auto"/>
        </w:rPr>
        <w:t>鼓励支持单村或多村组建强村公司投资经营性项目</w:t>
      </w:r>
      <w:r>
        <w:rPr>
          <w:rFonts w:hint="eastAsia" w:ascii="仿宋_GB2312" w:hAnsi="仿宋_GB2312" w:cs="仿宋_GB2312"/>
          <w:color w:val="auto"/>
        </w:rPr>
        <w:t>，项目从业人员</w:t>
      </w:r>
      <w:r>
        <w:rPr>
          <w:rFonts w:hint="eastAsia" w:ascii="仿宋_GB2312" w:hAnsi="仿宋_GB2312" w:cs="仿宋_GB2312"/>
          <w:color w:val="auto"/>
          <w:lang w:eastAsia="zh-CN"/>
        </w:rPr>
        <w:t>择优</w:t>
      </w:r>
      <w:r>
        <w:rPr>
          <w:rFonts w:hint="eastAsia" w:ascii="仿宋_GB2312" w:hAnsi="仿宋_GB2312" w:cs="仿宋_GB2312"/>
          <w:color w:val="auto"/>
        </w:rPr>
        <w:t>考虑库区在册人口。</w:t>
      </w:r>
    </w:p>
    <w:p w14:paraId="54622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6.</w:t>
      </w:r>
      <w:r>
        <w:rPr>
          <w:rFonts w:ascii="仿宋_GB2312" w:hAnsi="仿宋_GB2312" w:cs="仿宋_GB2312"/>
          <w:color w:val="auto"/>
        </w:rPr>
        <w:t>加强库区搬迁群众职业技能培训。根据实际需求，组织培训机构每年开展1-2次“订单式”培训，参加培训后经职业技能</w:t>
      </w:r>
      <w:r>
        <w:rPr>
          <w:rFonts w:hint="eastAsia" w:ascii="仿宋_GB2312" w:hAnsi="仿宋_GB2312" w:cs="仿宋_GB2312"/>
          <w:color w:val="auto"/>
          <w:lang w:eastAsia="zh-CN"/>
        </w:rPr>
        <w:t>评价</w:t>
      </w:r>
      <w:r>
        <w:rPr>
          <w:rFonts w:ascii="仿宋_GB2312" w:hAnsi="仿宋_GB2312" w:cs="仿宋_GB2312"/>
          <w:color w:val="auto"/>
        </w:rPr>
        <w:t>机构</w:t>
      </w:r>
      <w:r>
        <w:rPr>
          <w:rFonts w:hint="eastAsia" w:ascii="仿宋_GB2312" w:hAnsi="仿宋_GB2312" w:cs="仿宋_GB2312"/>
          <w:color w:val="auto"/>
          <w:lang w:eastAsia="zh-CN"/>
        </w:rPr>
        <w:t>考核认定</w:t>
      </w:r>
      <w:r>
        <w:rPr>
          <w:rFonts w:ascii="仿宋_GB2312" w:hAnsi="仿宋_GB2312" w:cs="仿宋_GB2312"/>
          <w:color w:val="auto"/>
        </w:rPr>
        <w:t>合格的，颁发相应职业资格证书（职业技能等级证书）或专项职业能力证书。同时，安排一定数量的公益性岗位解决库区困难群众的就业问题。</w:t>
      </w:r>
    </w:p>
    <w:p w14:paraId="37267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</w:rPr>
        <w:t>（三）村集体经济扶持</w:t>
      </w:r>
    </w:p>
    <w:p w14:paraId="48795DF9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7</w:t>
      </w:r>
      <w:r>
        <w:rPr>
          <w:rFonts w:hint="eastAsia" w:ascii="仿宋_GB2312" w:hAnsi="仿宋_GB2312" w:cs="仿宋_GB2312"/>
          <w:color w:val="auto"/>
        </w:rPr>
        <w:t>.市级生态补偿资金村级补助部分为</w:t>
      </w:r>
      <w:r>
        <w:rPr>
          <w:rFonts w:hint="eastAsia" w:ascii="仿宋_GB2312" w:hAnsi="仿宋_GB2312" w:cs="仿宋_GB2312"/>
          <w:color w:val="auto"/>
          <w:lang w:eastAsia="zh-CN"/>
        </w:rPr>
        <w:t>每村</w:t>
      </w:r>
      <w:r>
        <w:rPr>
          <w:rFonts w:hint="eastAsia" w:ascii="仿宋_GB2312" w:hAnsi="仿宋_GB2312" w:cs="仿宋_GB2312"/>
          <w:color w:val="auto"/>
          <w:lang w:val="en-US" w:eastAsia="zh-CN"/>
        </w:rPr>
        <w:t>50万元/年，用于补助</w:t>
      </w:r>
      <w:r>
        <w:rPr>
          <w:rFonts w:hint="default" w:ascii="仿宋_GB2312" w:hAnsi="仿宋_GB2312" w:cs="仿宋_GB2312"/>
          <w:color w:val="auto"/>
          <w:highlight w:val="none"/>
        </w:rPr>
        <w:t>发展壮大村集体经济</w:t>
      </w:r>
      <w:r>
        <w:rPr>
          <w:rFonts w:hint="eastAsia" w:ascii="仿宋_GB2312" w:hAnsi="仿宋_GB2312" w:cs="仿宋_GB2312"/>
          <w:color w:val="auto"/>
          <w:highlight w:val="none"/>
          <w:lang w:eastAsia="zh-CN"/>
        </w:rPr>
        <w:t>项目</w:t>
      </w:r>
      <w:r>
        <w:rPr>
          <w:rFonts w:hint="eastAsia" w:ascii="仿宋_GB2312" w:hAnsi="仿宋_GB2312" w:cs="仿宋_GB2312"/>
          <w:color w:val="auto"/>
          <w:lang w:eastAsia="zh-CN"/>
        </w:rPr>
        <w:t>。</w:t>
      </w:r>
    </w:p>
    <w:p w14:paraId="6E640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cs="仿宋_GB2312"/>
          <w:color w:val="auto"/>
        </w:rPr>
        <w:t>.安置小区规划用地范围</w:t>
      </w:r>
      <w:r>
        <w:rPr>
          <w:rFonts w:hint="default" w:ascii="仿宋_GB2312" w:hAnsi="仿宋_GB2312" w:cs="仿宋_GB2312"/>
          <w:color w:val="auto"/>
        </w:rPr>
        <w:t>或附近</w:t>
      </w:r>
      <w:r>
        <w:rPr>
          <w:rFonts w:hint="eastAsia" w:ascii="仿宋_GB2312" w:hAnsi="仿宋_GB2312" w:cs="仿宋_GB2312"/>
          <w:color w:val="auto"/>
        </w:rPr>
        <w:t>要留有一定数量的村综合楼</w:t>
      </w:r>
      <w:r>
        <w:rPr>
          <w:rFonts w:hint="default" w:ascii="仿宋_GB2312" w:hAnsi="仿宋_GB2312" w:cs="仿宋_GB2312"/>
          <w:color w:val="auto"/>
        </w:rPr>
        <w:t>、</w:t>
      </w:r>
      <w:r>
        <w:rPr>
          <w:rFonts w:hint="eastAsia" w:ascii="仿宋_GB2312" w:hAnsi="仿宋_GB2312" w:cs="仿宋_GB2312"/>
          <w:color w:val="auto"/>
        </w:rPr>
        <w:t>商业用房</w:t>
      </w:r>
      <w:r>
        <w:rPr>
          <w:rFonts w:hint="default" w:ascii="仿宋_GB2312" w:hAnsi="仿宋_GB2312" w:cs="仿宋_GB2312"/>
          <w:color w:val="auto"/>
        </w:rPr>
        <w:t>和农贸市场</w:t>
      </w:r>
      <w:r>
        <w:rPr>
          <w:rFonts w:hint="eastAsia" w:ascii="仿宋_GB2312" w:hAnsi="仿宋_GB2312" w:cs="仿宋_GB2312"/>
          <w:color w:val="auto"/>
          <w:lang w:eastAsia="zh-CN"/>
        </w:rPr>
        <w:t>供村集体购置</w:t>
      </w:r>
      <w:r>
        <w:rPr>
          <w:rFonts w:hint="eastAsia" w:ascii="仿宋_GB2312" w:hAnsi="仿宋_GB2312" w:cs="仿宋_GB2312"/>
          <w:color w:val="auto"/>
        </w:rPr>
        <w:t>。</w:t>
      </w:r>
    </w:p>
    <w:p w14:paraId="74130482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四、资金使用管理</w:t>
      </w:r>
    </w:p>
    <w:p w14:paraId="40E824C8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lang w:eastAsia="zh-CN"/>
        </w:rPr>
      </w:pPr>
      <w:r>
        <w:rPr>
          <w:rFonts w:hint="eastAsia" w:ascii="仿宋_GB2312" w:hAnsi="黑体"/>
          <w:color w:val="auto"/>
        </w:rPr>
        <w:t>台州市生态环境局温岭分局</w:t>
      </w:r>
      <w:r>
        <w:rPr>
          <w:rFonts w:hint="eastAsia" w:ascii="仿宋_GB2312" w:hAnsi="黑体"/>
          <w:color w:val="auto"/>
          <w:lang w:eastAsia="zh-CN"/>
        </w:rPr>
        <w:t>负责生活补助和涉及生态补偿资金的使用，</w:t>
      </w:r>
      <w:r>
        <w:rPr>
          <w:rFonts w:hint="eastAsia" w:ascii="仿宋_GB2312" w:hAnsi="黑体"/>
          <w:color w:val="auto"/>
        </w:rPr>
        <w:t>市农业农村和水利局负责</w:t>
      </w:r>
      <w:r>
        <w:rPr>
          <w:rFonts w:hint="eastAsia" w:ascii="仿宋_GB2312" w:hAnsi="黑体"/>
          <w:color w:val="auto"/>
          <w:lang w:eastAsia="zh-CN"/>
        </w:rPr>
        <w:t>土地流转奖补资金的使用</w:t>
      </w:r>
      <w:r>
        <w:rPr>
          <w:rFonts w:hint="eastAsia" w:ascii="仿宋_GB2312" w:hAnsi="黑体"/>
          <w:color w:val="auto"/>
        </w:rPr>
        <w:t>。市级生态补偿资金</w:t>
      </w:r>
      <w:r>
        <w:rPr>
          <w:rFonts w:hint="eastAsia" w:ascii="仿宋_GB2312" w:hAnsi="黑体"/>
          <w:color w:val="auto"/>
          <w:lang w:eastAsia="zh-CN"/>
        </w:rPr>
        <w:t>中</w:t>
      </w:r>
      <w:r>
        <w:rPr>
          <w:rFonts w:hint="eastAsia" w:ascii="仿宋_GB2312" w:hAnsi="黑体"/>
          <w:color w:val="auto"/>
        </w:rPr>
        <w:t>个人部分实行“一卡通”直补按</w:t>
      </w:r>
      <w:r>
        <w:rPr>
          <w:rFonts w:hint="eastAsia" w:ascii="仿宋_GB2312" w:hAnsi="黑体"/>
          <w:color w:val="auto"/>
          <w:lang w:eastAsia="zh-CN"/>
        </w:rPr>
        <w:t>人</w:t>
      </w:r>
      <w:r>
        <w:rPr>
          <w:rFonts w:hint="eastAsia" w:ascii="仿宋_GB2312" w:hAnsi="黑体"/>
          <w:color w:val="auto"/>
        </w:rPr>
        <w:t>发放</w:t>
      </w:r>
      <w:r>
        <w:rPr>
          <w:rFonts w:hint="eastAsia" w:ascii="仿宋_GB2312" w:hAnsi="黑体"/>
          <w:color w:val="auto"/>
          <w:lang w:eastAsia="zh-CN"/>
        </w:rPr>
        <w:t>，</w:t>
      </w:r>
      <w:r>
        <w:rPr>
          <w:rFonts w:hint="eastAsia" w:ascii="仿宋_GB2312" w:hAnsi="黑体"/>
          <w:color w:val="auto"/>
        </w:rPr>
        <w:t>村级项目补助部分</w:t>
      </w:r>
      <w:r>
        <w:rPr>
          <w:rFonts w:hint="eastAsia" w:ascii="仿宋_GB2312" w:hAnsi="黑体"/>
          <w:color w:val="auto"/>
          <w:lang w:eastAsia="zh-CN"/>
        </w:rPr>
        <w:t>实行</w:t>
      </w:r>
      <w:r>
        <w:rPr>
          <w:rFonts w:hint="eastAsia" w:ascii="仿宋_GB2312" w:hAnsi="黑体"/>
          <w:color w:val="auto"/>
        </w:rPr>
        <w:t>项目申报</w:t>
      </w:r>
      <w:r>
        <w:rPr>
          <w:rFonts w:hint="eastAsia" w:ascii="仿宋_GB2312" w:hAnsi="黑体"/>
          <w:color w:val="auto"/>
          <w:lang w:eastAsia="zh-CN"/>
        </w:rPr>
        <w:t>制</w:t>
      </w:r>
      <w:r>
        <w:rPr>
          <w:rFonts w:hint="eastAsia" w:ascii="仿宋_GB2312" w:hAnsi="黑体"/>
          <w:color w:val="auto"/>
        </w:rPr>
        <w:t>，</w:t>
      </w:r>
      <w:r>
        <w:rPr>
          <w:rFonts w:hint="eastAsia" w:ascii="仿宋_GB2312" w:hAnsi="黑体"/>
          <w:color w:val="auto"/>
          <w:lang w:eastAsia="zh-CN"/>
        </w:rPr>
        <w:t>由相关镇及</w:t>
      </w:r>
      <w:r>
        <w:rPr>
          <w:rFonts w:hint="eastAsia" w:ascii="仿宋_GB2312" w:hAnsi="黑体"/>
          <w:color w:val="auto"/>
        </w:rPr>
        <w:t>主管部门</w:t>
      </w:r>
      <w:r>
        <w:rPr>
          <w:rFonts w:hint="eastAsia" w:ascii="仿宋_GB2312" w:hAnsi="黑体"/>
          <w:color w:val="auto"/>
          <w:lang w:eastAsia="zh-CN"/>
        </w:rPr>
        <w:t>严格审核把关</w:t>
      </w:r>
      <w:r>
        <w:rPr>
          <w:rFonts w:hint="eastAsia" w:ascii="仿宋_GB2312" w:hAnsi="黑体"/>
          <w:color w:val="auto"/>
        </w:rPr>
        <w:t>，</w:t>
      </w:r>
      <w:r>
        <w:rPr>
          <w:rFonts w:hint="eastAsia" w:ascii="仿宋_GB2312" w:hAnsi="黑体"/>
          <w:color w:val="auto"/>
          <w:lang w:eastAsia="zh-CN"/>
        </w:rPr>
        <w:t>按照</w:t>
      </w:r>
      <w:r>
        <w:rPr>
          <w:rFonts w:hint="eastAsia" w:ascii="仿宋_GB2312" w:hAnsi="黑体"/>
          <w:color w:val="auto"/>
        </w:rPr>
        <w:t>国库集中支付</w:t>
      </w:r>
      <w:r>
        <w:rPr>
          <w:rFonts w:hint="eastAsia" w:ascii="仿宋_GB2312" w:hAnsi="黑体"/>
          <w:color w:val="auto"/>
          <w:lang w:eastAsia="zh-CN"/>
        </w:rPr>
        <w:t>制度</w:t>
      </w:r>
      <w:r>
        <w:rPr>
          <w:rFonts w:hint="eastAsia" w:ascii="仿宋_GB2312" w:hAnsi="黑体"/>
          <w:color w:val="auto"/>
        </w:rPr>
        <w:t>，直接拨付至</w:t>
      </w:r>
      <w:r>
        <w:rPr>
          <w:rFonts w:hint="eastAsia" w:ascii="仿宋_GB2312" w:hAnsi="黑体"/>
          <w:color w:val="auto"/>
          <w:lang w:eastAsia="zh-CN"/>
        </w:rPr>
        <w:t>项目实施主体村。</w:t>
      </w:r>
      <w:r>
        <w:rPr>
          <w:rFonts w:hint="eastAsia" w:ascii="仿宋_GB2312" w:hAnsi="仿宋_GB2312" w:cs="仿宋_GB2312"/>
          <w:color w:val="auto"/>
        </w:rPr>
        <w:t>本办法涉及的各类财政资金</w:t>
      </w:r>
      <w:r>
        <w:rPr>
          <w:rFonts w:hint="eastAsia" w:ascii="仿宋_GB2312" w:hAnsi="仿宋_GB2312" w:cs="仿宋_GB2312"/>
          <w:color w:val="auto"/>
          <w:lang w:eastAsia="zh-CN"/>
        </w:rPr>
        <w:t>的使用管理接受审计、纪检监察、财政等部门的监督检查，一旦发现截留、挤占、挪用或骗取财政资金等违法违纪行为，依照有关法律法规的规定追究相应责任。</w:t>
      </w:r>
    </w:p>
    <w:p w14:paraId="171BD860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本办法由市农业农村和水利局解读，自</w:t>
      </w:r>
      <w:r>
        <w:rPr>
          <w:rFonts w:hint="eastAsia" w:ascii="仿宋_GB2312" w:hAnsi="仿宋_GB2312" w:cs="仿宋_GB2312"/>
          <w:color w:val="auto"/>
          <w:lang w:val="en-US" w:eastAsia="zh-CN"/>
        </w:rPr>
        <w:t>2025年1月1日</w:t>
      </w:r>
      <w:r>
        <w:rPr>
          <w:rFonts w:hint="eastAsia" w:ascii="仿宋_GB2312" w:hAnsi="仿宋_GB2312" w:cs="仿宋_GB2312"/>
          <w:color w:val="auto"/>
          <w:lang w:eastAsia="zh-CN"/>
        </w:rPr>
        <w:t>起</w:t>
      </w:r>
      <w:r>
        <w:rPr>
          <w:rFonts w:hint="default" w:ascii="仿宋_GB2312" w:hAnsi="仿宋_GB2312" w:cs="仿宋_GB2312"/>
          <w:color w:val="auto"/>
          <w:lang w:eastAsia="zh-CN"/>
        </w:rPr>
        <w:t>施</w:t>
      </w:r>
      <w:r>
        <w:rPr>
          <w:rFonts w:hint="eastAsia" w:ascii="仿宋_GB2312" w:hAnsi="仿宋_GB2312" w:cs="仿宋_GB2312"/>
          <w:color w:val="auto"/>
          <w:lang w:eastAsia="zh-CN"/>
        </w:rPr>
        <w:t>行，有效期限</w:t>
      </w:r>
      <w:r>
        <w:rPr>
          <w:rFonts w:hint="eastAsia" w:ascii="仿宋_GB2312" w:hAnsi="仿宋_GB2312" w:cs="仿宋_GB2312"/>
          <w:color w:val="auto"/>
          <w:lang w:val="en-US" w:eastAsia="zh-CN"/>
        </w:rPr>
        <w:t>15年。</w:t>
      </w:r>
      <w:r>
        <w:rPr>
          <w:rFonts w:hint="eastAsia" w:ascii="仿宋_GB2312" w:hAnsi="仿宋_GB2312" w:cs="仿宋_GB2312"/>
          <w:color w:val="auto"/>
        </w:rPr>
        <w:t>《温岭市生态补偿暂行办法》</w:t>
      </w:r>
      <w:r>
        <w:rPr>
          <w:rFonts w:hint="eastAsia" w:ascii="仿宋_GB2312" w:hAnsi="仿宋_GB2312" w:cs="仿宋_GB2312"/>
          <w:color w:val="auto"/>
          <w:lang w:eastAsia="zh-CN"/>
        </w:rPr>
        <w:t>涉及湖漫库区补助政策与本办法不一致的，以本办法为准。</w:t>
      </w:r>
    </w:p>
    <w:p w14:paraId="1220801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E3E57D-714F-4A68-A087-1BABB03A46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3B35216-3497-4B7C-AADB-5266B5FCB4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6F916A-DE4E-4188-AB62-B8AD816B1AC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E94A282-6693-41CA-9BA6-562D88FC2CD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8873F7E-34FA-45D1-BDA1-8B260BDBFF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806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063B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063B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9B9BF"/>
    <w:multiLevelType w:val="singleLevel"/>
    <w:tmpl w:val="EA89B9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87EA0"/>
    <w:rsid w:val="18D15BC1"/>
    <w:rsid w:val="4508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1253</Characters>
  <Lines>0</Lines>
  <Paragraphs>0</Paragraphs>
  <TotalTime>0</TotalTime>
  <ScaleCrop>false</ScaleCrop>
  <LinksUpToDate>false</LinksUpToDate>
  <CharactersWithSpaces>1258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2024-12-16T01:07:00Z</dcterms:created>
  <dc:creator>陈炯言</dc:creator>
  <cp:lastModifiedBy>陈炯言</cp:lastModifiedBy>
  <dcterms:modified xsi:type="dcterms:W3CDTF">2024-12-16T01:35:47Z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16F8313F508A406AA781280DD2005E5E_11</vt:lpwstr>
  </property>
</Properties>
</file>