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新宋体" w:eastAsia="仿宋_GB2312" w:cs="新宋体"/>
          <w:color w:val="000000"/>
          <w:sz w:val="40"/>
          <w:szCs w:val="40"/>
          <w:lang w:eastAsia="zh-CN"/>
        </w:rPr>
      </w:pPr>
      <w:r>
        <w:rPr>
          <w:rFonts w:hint="eastAsia" w:ascii="仿宋_GB2312" w:hAnsi="新宋体" w:eastAsia="仿宋_GB2312" w:cs="新宋体"/>
          <w:color w:val="000000"/>
          <w:sz w:val="40"/>
          <w:szCs w:val="40"/>
          <w:lang w:eastAsia="zh-CN"/>
        </w:rPr>
        <w:t>《临海市财政局行政处罚裁量基准实施意见》</w:t>
      </w:r>
    </w:p>
    <w:p>
      <w:pPr>
        <w:jc w:val="center"/>
        <w:rPr>
          <w:rFonts w:hint="eastAsia" w:ascii="仿宋_GB2312" w:hAnsi="新宋体" w:eastAsia="仿宋_GB2312" w:cs="新宋体"/>
          <w:color w:val="000000"/>
          <w:sz w:val="40"/>
          <w:szCs w:val="40"/>
          <w:lang w:eastAsia="zh-CN"/>
        </w:rPr>
      </w:pPr>
      <w:r>
        <w:rPr>
          <w:rFonts w:hint="eastAsia" w:ascii="仿宋_GB2312" w:hAnsi="新宋体" w:eastAsia="仿宋_GB2312" w:cs="新宋体"/>
          <w:color w:val="000000"/>
          <w:sz w:val="40"/>
          <w:szCs w:val="40"/>
          <w:lang w:eastAsia="zh-CN"/>
        </w:rPr>
        <w:t>起草说明</w:t>
      </w:r>
    </w:p>
    <w:p>
      <w:pPr>
        <w:ind w:firstLine="640" w:firstLineChars="200"/>
        <w:rPr>
          <w:rFonts w:hint="eastAsia" w:ascii="仿宋_GB2312" w:hAnsi="新宋体" w:eastAsia="仿宋_GB2312" w:cs="新宋体"/>
          <w:color w:val="000000"/>
          <w:lang w:eastAsia="zh-CN"/>
        </w:rPr>
      </w:pPr>
    </w:p>
    <w:p>
      <w:pPr>
        <w:keepNext w:val="0"/>
        <w:keepLines w:val="0"/>
        <w:pageBreakBefore w:val="0"/>
        <w:kinsoku/>
        <w:wordWrap/>
        <w:overflowPunct/>
        <w:topLinePunct w:val="0"/>
        <w:autoSpaceDE/>
        <w:autoSpaceDN/>
        <w:bidi w:val="0"/>
        <w:snapToGrid w:val="0"/>
        <w:spacing w:beforeAutospacing="0" w:line="600" w:lineRule="exact"/>
        <w:ind w:firstLine="640" w:firstLineChars="200"/>
        <w:rPr>
          <w:rFonts w:hint="eastAsia" w:ascii="黑体" w:eastAsia="黑体"/>
          <w:color w:val="000000"/>
          <w:lang w:eastAsia="zh-CN"/>
        </w:rPr>
      </w:pPr>
      <w:r>
        <w:rPr>
          <w:rFonts w:hint="eastAsia" w:ascii="黑体" w:eastAsia="黑体"/>
          <w:color w:val="000000"/>
        </w:rPr>
        <w:t>一、起草</w:t>
      </w:r>
      <w:r>
        <w:rPr>
          <w:rFonts w:hint="eastAsia" w:ascii="黑体" w:eastAsia="黑体"/>
          <w:color w:val="000000"/>
          <w:lang w:eastAsia="zh-CN"/>
        </w:rPr>
        <w:t>背景</w:t>
      </w:r>
    </w:p>
    <w:p>
      <w:pPr>
        <w:widowControl w:val="0"/>
        <w:snapToGrid w:val="0"/>
        <w:spacing w:line="600" w:lineRule="exact"/>
        <w:ind w:firstLine="640" w:firstLineChars="200"/>
        <w:jc w:val="both"/>
        <w:rPr>
          <w:rFonts w:hint="default" w:ascii="仿宋_GB2312" w:hAnsi="新宋体" w:eastAsia="仿宋_GB2312" w:cs="新宋体"/>
          <w:color w:val="000000"/>
          <w:lang w:val="en-US" w:eastAsia="zh-CN"/>
        </w:rPr>
      </w:pPr>
      <w:r>
        <w:rPr>
          <w:rFonts w:hint="eastAsia" w:ascii="仿宋_GB2312" w:hAnsi="新宋体" w:eastAsia="仿宋_GB2312" w:cs="新宋体"/>
          <w:color w:val="000000"/>
          <w:lang w:eastAsia="zh-CN"/>
        </w:rPr>
        <w:t>《浙江省财政厅行政处罚裁量基准实施意见》（浙财法〔2023〕7号）（以下简称“《</w:t>
      </w:r>
      <w:r>
        <w:rPr>
          <w:rFonts w:hint="eastAsia" w:ascii="仿宋_GB2312" w:hAnsi="新宋体" w:eastAsia="仿宋_GB2312" w:cs="新宋体"/>
          <w:color w:val="000000"/>
          <w:lang w:val="en-US" w:eastAsia="zh-CN"/>
        </w:rPr>
        <w:t>7号</w:t>
      </w:r>
      <w:r>
        <w:rPr>
          <w:rFonts w:hint="eastAsia" w:ascii="仿宋_GB2312" w:hAnsi="新宋体" w:eastAsia="仿宋_GB2312" w:cs="新宋体"/>
          <w:color w:val="000000"/>
          <w:lang w:eastAsia="zh-CN"/>
        </w:rPr>
        <w:t>实施意见》”）于2023年12月20日</w:t>
      </w:r>
      <w:r>
        <w:rPr>
          <w:rFonts w:hint="eastAsia" w:ascii="仿宋_GB2312" w:hAnsi="新宋体" w:eastAsia="仿宋_GB2312" w:cs="新宋体"/>
          <w:color w:val="000000"/>
          <w:lang w:val="en-US" w:eastAsia="zh-CN"/>
        </w:rPr>
        <w:t>出台，并于2024年2月1日实施，原《浙江省财政厅关于修订〈浙江省财政行政处罚裁量权指导意见〉和〈浙江省财政行政处罚裁量权执行标准〉的通知》（浙财法〔2018〕9号）同时废止</w:t>
      </w:r>
      <w:r>
        <w:rPr>
          <w:rFonts w:hint="eastAsia" w:ascii="仿宋_GB2312" w:hAnsi="新宋体" w:eastAsia="仿宋_GB2312" w:cs="新宋体"/>
          <w:color w:val="auto"/>
          <w:lang w:val="en-US" w:eastAsia="zh-CN"/>
        </w:rPr>
        <w:t>。7号实施意见仅适用浙江省财政厅对财政违法行为实施行政处罚的情形</w:t>
      </w:r>
      <w:r>
        <w:rPr>
          <w:rFonts w:hint="eastAsia" w:ascii="仿宋_GB2312" w:hAnsi="新宋体" w:eastAsia="仿宋_GB2312" w:cs="新宋体"/>
          <w:color w:val="000000"/>
          <w:lang w:val="en-US" w:eastAsia="zh-CN"/>
        </w:rPr>
        <w:t>，故为规范市财政局行政处罚裁量权，特制定《临海市财政局行政处罚裁量基准实施意见》。</w:t>
      </w:r>
    </w:p>
    <w:p>
      <w:pPr>
        <w:keepNext w:val="0"/>
        <w:keepLines w:val="0"/>
        <w:pageBreakBefore w:val="0"/>
        <w:kinsoku/>
        <w:wordWrap/>
        <w:overflowPunct/>
        <w:topLinePunct w:val="0"/>
        <w:autoSpaceDE/>
        <w:autoSpaceDN/>
        <w:bidi w:val="0"/>
        <w:snapToGrid w:val="0"/>
        <w:spacing w:beforeAutospacing="0" w:line="600" w:lineRule="exact"/>
        <w:ind w:firstLine="640" w:firstLineChars="200"/>
        <w:rPr>
          <w:rFonts w:hint="eastAsia" w:ascii="黑体" w:eastAsia="黑体"/>
          <w:color w:val="000000"/>
          <w:lang w:val="en-US" w:eastAsia="zh-CN"/>
        </w:rPr>
      </w:pPr>
      <w:r>
        <w:rPr>
          <w:rFonts w:hint="eastAsia" w:ascii="黑体" w:eastAsia="黑体"/>
          <w:color w:val="000000"/>
          <w:lang w:val="en-US" w:eastAsia="zh-CN"/>
        </w:rPr>
        <w:t>二、主要内容</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仿宋_GB2312" w:hAnsi="新宋体" w:eastAsia="仿宋_GB2312" w:cs="新宋体"/>
          <w:sz w:val="32"/>
          <w:szCs w:val="32"/>
          <w:lang w:eastAsia="zh-CN"/>
        </w:rPr>
      </w:pPr>
      <w:r>
        <w:rPr>
          <w:rFonts w:hint="eastAsia" w:ascii="仿宋_GB2312" w:hAnsi="新宋体" w:eastAsia="仿宋_GB2312" w:cs="新宋体"/>
          <w:sz w:val="32"/>
          <w:szCs w:val="32"/>
          <w:lang w:eastAsia="zh-CN"/>
        </w:rPr>
        <w:t>（一）根据部门职责和权责事项确定适用范围</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仿宋_GB2312" w:hAnsi="新宋体" w:eastAsia="仿宋_GB2312" w:cs="新宋体"/>
          <w:sz w:val="32"/>
          <w:szCs w:val="32"/>
          <w:lang w:eastAsia="zh-CN"/>
        </w:rPr>
      </w:pPr>
      <w:r>
        <w:rPr>
          <w:rFonts w:hint="eastAsia" w:ascii="仿宋_GB2312" w:hAnsi="新宋体" w:eastAsia="仿宋_GB2312" w:cs="新宋体"/>
          <w:sz w:val="32"/>
          <w:szCs w:val="32"/>
          <w:lang w:eastAsia="zh-CN"/>
        </w:rPr>
        <w:t>《临海市财政局行政处罚裁量基准实施意见》适用于临海市财政局对财政违法行为实施行政处罚的情形。</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仿宋_GB2312" w:hAnsi="新宋体" w:eastAsia="仿宋_GB2312" w:cs="新宋体"/>
          <w:sz w:val="32"/>
          <w:szCs w:val="32"/>
          <w:lang w:eastAsia="zh-CN"/>
        </w:rPr>
      </w:pPr>
      <w:r>
        <w:rPr>
          <w:rFonts w:hint="eastAsia" w:ascii="仿宋_GB2312" w:hAnsi="新宋体" w:eastAsia="仿宋_GB2312" w:cs="新宋体"/>
          <w:sz w:val="32"/>
          <w:szCs w:val="32"/>
          <w:lang w:eastAsia="zh-CN"/>
        </w:rPr>
        <w:t>（二）根据法律和上级文件规定制定行政处罚裁量基准</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仿宋_GB2312" w:hAnsi="新宋体" w:eastAsia="仿宋_GB2312" w:cs="新宋体"/>
          <w:sz w:val="32"/>
          <w:szCs w:val="32"/>
          <w:lang w:eastAsia="zh-CN"/>
        </w:rPr>
      </w:pPr>
      <w:r>
        <w:rPr>
          <w:rFonts w:hint="eastAsia" w:ascii="仿宋_GB2312" w:hAnsi="新宋体" w:eastAsia="仿宋_GB2312" w:cs="新宋体"/>
          <w:sz w:val="32"/>
          <w:szCs w:val="32"/>
          <w:lang w:eastAsia="zh-CN"/>
        </w:rPr>
        <w:t>根据《国务院办公厅关于进一步规范行政裁量权制定和管理工作的意见》（国办发〔2022〕27号）要求，对行政处罚裁量作出一般性规定。按照《中华人民共和国行政处罚法》、7号实施意见和最新要求对从重处罚、从轻或减轻处罚、不予行政处罚情形作出规定。明确行政处罚裁量基准分档，按照情节轻微、情节较轻、情节较重、情节严重四种情形修订裁量基准。同时规定了对裁量基准进行调整适用的条件和程序。</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仿宋_GB2312" w:hAnsi="新宋体" w:eastAsia="仿宋_GB2312" w:cs="新宋体"/>
          <w:sz w:val="32"/>
          <w:szCs w:val="32"/>
          <w:lang w:eastAsia="zh-CN"/>
        </w:rPr>
      </w:pPr>
      <w:r>
        <w:rPr>
          <w:rFonts w:hint="eastAsia" w:ascii="仿宋_GB2312" w:hAnsi="新宋体" w:eastAsia="仿宋_GB2312" w:cs="新宋体"/>
          <w:sz w:val="32"/>
          <w:szCs w:val="32"/>
          <w:lang w:eastAsia="zh-CN"/>
        </w:rPr>
        <w:t>（三）根据上位法修订情况对裁量基准作规定</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pPr>
      <w:r>
        <w:rPr>
          <w:rFonts w:hint="eastAsia" w:ascii="仿宋_GB2312" w:hAnsi="新宋体" w:eastAsia="仿宋_GB2312" w:cs="新宋体"/>
          <w:sz w:val="32"/>
          <w:szCs w:val="32"/>
          <w:lang w:eastAsia="zh-CN"/>
        </w:rPr>
        <w:t>近五年来，部分财政管理领域法律法规已进行了修订，如《代理记账管理办法》等。本次裁量基准制定分三大类（会计类、政府采购类、</w:t>
      </w:r>
      <w:bookmarkStart w:id="0" w:name="_GoBack"/>
      <w:bookmarkEnd w:id="0"/>
      <w:r>
        <w:rPr>
          <w:rFonts w:hint="eastAsia" w:ascii="仿宋_GB2312" w:hAnsi="新宋体" w:eastAsia="仿宋_GB2312" w:cs="新宋体"/>
          <w:sz w:val="32"/>
          <w:szCs w:val="32"/>
          <w:lang w:eastAsia="zh-CN"/>
        </w:rPr>
        <w:t>资金类），对财政行政处罚裁量基准内容进行相应调整，总数</w:t>
      </w:r>
      <w:r>
        <w:rPr>
          <w:rFonts w:hint="eastAsia" w:ascii="仿宋_GB2312" w:hAnsi="新宋体" w:eastAsia="仿宋_GB2312" w:cs="新宋体"/>
          <w:sz w:val="32"/>
          <w:szCs w:val="32"/>
          <w:lang w:val="en-US" w:eastAsia="zh-CN"/>
        </w:rPr>
        <w:t>109</w:t>
      </w:r>
      <w:r>
        <w:rPr>
          <w:rFonts w:hint="eastAsia" w:ascii="仿宋_GB2312" w:hAnsi="新宋体" w:eastAsia="仿宋_GB2312" w:cs="新宋体"/>
          <w:sz w:val="32"/>
          <w:szCs w:val="32"/>
          <w:lang w:eastAsia="zh-CN"/>
        </w:rPr>
        <w:t>项（会计类</w:t>
      </w:r>
      <w:r>
        <w:rPr>
          <w:rFonts w:hint="eastAsia" w:ascii="仿宋_GB2312" w:hAnsi="新宋体" w:eastAsia="仿宋_GB2312" w:cs="新宋体"/>
          <w:sz w:val="32"/>
          <w:szCs w:val="32"/>
          <w:lang w:val="en-US" w:eastAsia="zh-CN"/>
        </w:rPr>
        <w:t>31</w:t>
      </w:r>
      <w:r>
        <w:rPr>
          <w:rFonts w:hint="eastAsia" w:ascii="仿宋_GB2312" w:hAnsi="新宋体" w:eastAsia="仿宋_GB2312" w:cs="新宋体"/>
          <w:sz w:val="32"/>
          <w:szCs w:val="32"/>
          <w:lang w:eastAsia="zh-CN"/>
        </w:rPr>
        <w:t>项、政府采购类58项、资金类2</w:t>
      </w:r>
      <w:r>
        <w:rPr>
          <w:rFonts w:hint="eastAsia" w:ascii="仿宋_GB2312" w:hAnsi="新宋体" w:eastAsia="仿宋_GB2312" w:cs="新宋体"/>
          <w:sz w:val="32"/>
          <w:szCs w:val="32"/>
          <w:lang w:val="en-US" w:eastAsia="zh-CN"/>
        </w:rPr>
        <w:t>0</w:t>
      </w:r>
      <w:r>
        <w:rPr>
          <w:rFonts w:hint="eastAsia" w:ascii="仿宋_GB2312" w:hAnsi="新宋体" w:eastAsia="仿宋_GB2312" w:cs="新宋体"/>
          <w:sz w:val="32"/>
          <w:szCs w:val="32"/>
          <w:lang w:eastAsia="zh-CN"/>
        </w:rPr>
        <w:t>项），对违法情节和裁量基准作出了进一步的细化。</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50FAA"/>
    <w:rsid w:val="22750FAA"/>
    <w:rsid w:val="277B7163"/>
    <w:rsid w:val="31563AD9"/>
    <w:rsid w:val="5B220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spacing w:before="100" w:beforeLines="0" w:beforeAutospacing="1"/>
      <w:ind w:firstLine="420" w:firstLineChars="100"/>
    </w:pPr>
    <w:rPr>
      <w:rFonts w:ascii="Calibri" w:hAnsi="Calibri" w:eastAsia="宋体" w:cs="Times New Roman"/>
    </w:rPr>
  </w:style>
  <w:style w:type="paragraph" w:styleId="3">
    <w:name w:val="Body Text"/>
    <w:basedOn w:val="1"/>
    <w:next w:val="4"/>
    <w:qFormat/>
    <w:uiPriority w:val="0"/>
    <w:rPr>
      <w:rFonts w:eastAsia="宋体"/>
    </w:rPr>
  </w:style>
  <w:style w:type="paragraph" w:styleId="4">
    <w:name w:val="Body Text First Indent"/>
    <w:basedOn w:val="3"/>
    <w:qFormat/>
    <w:uiPriority w:val="0"/>
    <w:pPr>
      <w:spacing w:line="500" w:lineRule="exact"/>
      <w:ind w:firstLine="420"/>
    </w:pPr>
    <w:rPr>
      <w:rFonts w:ascii="Times New Roman" w:hAnsi="Times New Roman" w:eastAsia="宋体" w:cs="Times New Roman"/>
      <w:sz w:val="28"/>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2024-05-23T09:07:00Z</dcterms:created>
  <dc:creator>Administrator</dc:creator>
  <cp:lastModifiedBy>Administrator</cp:lastModifiedBy>
  <dcterms:modified xsi:type="dcterms:W3CDTF">2024-05-24T01:41:01Z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3F9C184AB02243B9A0AC0EB18B6D479C</vt:lpwstr>
  </property>
</Properties>
</file>