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pacing w:line="600" w:lineRule="exact"/>
        <w:ind w:firstLine="64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3：</w:t>
      </w:r>
    </w:p>
    <w:p>
      <w:pPr>
        <w:pStyle w:val="6"/>
        <w:keepNext w:val="0"/>
        <w:keepLines w:val="0"/>
        <w:pageBreakBefore w:val="0"/>
        <w:kinsoku/>
        <w:wordWrap/>
        <w:overflowPunct/>
        <w:topLinePunct w:val="0"/>
        <w:autoSpaceDE/>
        <w:autoSpaceDN/>
        <w:bidi w:val="0"/>
        <w:adjustRightInd/>
        <w:spacing w:line="600" w:lineRule="exact"/>
        <w:ind w:left="0" w:leftChars="0" w:firstLine="0" w:firstLineChars="0"/>
        <w:jc w:val="center"/>
        <w:textAlignment w:val="auto"/>
        <w:rPr>
          <w:rFonts w:hint="eastAsia" w:ascii="宋体" w:hAnsi="宋体" w:eastAsia="宋体" w:cs="宋体"/>
          <w:b/>
          <w:bCs/>
          <w:color w:val="000000"/>
          <w:sz w:val="44"/>
          <w:szCs w:val="44"/>
          <w:lang w:val="en-US" w:eastAsia="zh-CN"/>
        </w:rPr>
      </w:pPr>
      <w:r>
        <w:rPr>
          <w:rFonts w:hint="eastAsia" w:ascii="宋体" w:hAnsi="宋体" w:eastAsia="宋体" w:cs="宋体"/>
          <w:b/>
          <w:bCs/>
          <w:color w:val="000000"/>
          <w:sz w:val="44"/>
          <w:szCs w:val="44"/>
          <w:lang w:val="en-US" w:eastAsia="zh-CN"/>
        </w:rPr>
        <w:t>政策解读</w:t>
      </w:r>
    </w:p>
    <w:p>
      <w:pPr>
        <w:pStyle w:val="6"/>
        <w:keepNext w:val="0"/>
        <w:keepLines w:val="0"/>
        <w:pageBreakBefore w:val="0"/>
        <w:kinsoku/>
        <w:wordWrap/>
        <w:overflowPunct/>
        <w:topLinePunct w:val="0"/>
        <w:autoSpaceDE/>
        <w:autoSpaceDN/>
        <w:bidi w:val="0"/>
        <w:adjustRightInd/>
        <w:spacing w:line="600" w:lineRule="exact"/>
        <w:ind w:firstLine="640"/>
        <w:jc w:val="center"/>
        <w:textAlignment w:val="auto"/>
        <w:rPr>
          <w:rFonts w:hint="eastAsia" w:ascii="宋体" w:hAnsi="宋体" w:eastAsia="宋体" w:cs="宋体"/>
          <w:b/>
          <w:bCs/>
          <w:color w:val="000000"/>
          <w:sz w:val="32"/>
          <w:szCs w:val="32"/>
          <w:lang w:val="en-US" w:eastAsia="zh-CN"/>
        </w:rPr>
      </w:pP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关于收取标准：根据国家耕地“大占补”管理机制计算口径，我市2024年补充耕地规模缺口预计超过8000亩，这一缺口将直接影响我市补充耕地指标入库资格、补充耕地指标自行使用需求和2025年“种楼”与“种田”利益分享机制任务完成。填补该缺口的唯一路径是实施耕地功能恢复项目，经对我市后备资源分析，46%地块坡度超过15度，现状地形恢复耕地难度较大，现有补助标准实施此类地块的恢复工程仍有较高难度，有必要以省厅调整耕地开垦费政策为契机，提高我市补充耕地成本回收款缴纳标准，用于支持实施耕地功能恢复项目，确保全市补充耕地指标要素得到有力保障，因此本次以最高标准调整</w:t>
      </w:r>
      <w:r>
        <w:rPr>
          <w:rStyle w:val="7"/>
          <w:rFonts w:hint="eastAsia" w:ascii="宋体" w:hAnsi="宋体" w:eastAsia="宋体" w:cs="宋体"/>
          <w:sz w:val="32"/>
          <w:szCs w:val="32"/>
          <w:highlight w:val="none"/>
        </w:rPr>
        <w:t>补充耕地资金</w:t>
      </w:r>
      <w:r>
        <w:rPr>
          <w:rFonts w:hint="eastAsia" w:ascii="宋体" w:hAnsi="宋体" w:eastAsia="宋体" w:cs="宋体"/>
          <w:sz w:val="32"/>
          <w:szCs w:val="32"/>
          <w:lang w:eastAsia="zh-CN"/>
        </w:rPr>
        <w:t>。</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val="en-US" w:eastAsia="zh-CN"/>
        </w:rPr>
        <w:t>2.关于其他事项第一条：根据《浙江省土地管理条例》第五十五条：“农村村民一户只能拥有一处宅基地，宅基地的面积标准（包括附属用房、庭院用房），使用耕地的，最高不得超过一百二十五平方米”，因此</w:t>
      </w:r>
      <w:r>
        <w:rPr>
          <w:rFonts w:hint="eastAsia" w:ascii="宋体" w:hAnsi="宋体" w:eastAsia="宋体" w:cs="宋体"/>
          <w:sz w:val="32"/>
          <w:szCs w:val="32"/>
        </w:rPr>
        <w:t>凡依法利用农村集体所有土地用于农民建房或农民住房安置的新建、翻建自用住房，</w:t>
      </w:r>
      <w:r>
        <w:rPr>
          <w:rFonts w:hint="eastAsia" w:ascii="宋体" w:hAnsi="宋体" w:eastAsia="宋体" w:cs="宋体"/>
          <w:sz w:val="32"/>
          <w:szCs w:val="32"/>
          <w:lang w:val="en-US" w:eastAsia="zh-CN"/>
        </w:rPr>
        <w:t>除去符合我市建房资格标准部分的宅基地占地面积外，其余用地根据用地方案，</w:t>
      </w:r>
      <w:r>
        <w:rPr>
          <w:rFonts w:hint="eastAsia" w:ascii="宋体" w:hAnsi="宋体" w:eastAsia="宋体" w:cs="宋体"/>
          <w:sz w:val="32"/>
          <w:szCs w:val="32"/>
        </w:rPr>
        <w:t>缴纳耕地开垦费</w:t>
      </w:r>
      <w:r>
        <w:rPr>
          <w:rFonts w:hint="eastAsia" w:ascii="宋体" w:hAnsi="宋体" w:eastAsia="宋体" w:cs="宋体"/>
          <w:sz w:val="32"/>
          <w:szCs w:val="32"/>
          <w:lang w:eastAsia="zh-CN"/>
        </w:rPr>
        <w:t>和补充耕地资金。</w:t>
      </w:r>
      <w:r>
        <w:rPr>
          <w:rFonts w:hint="eastAsia" w:ascii="宋体" w:hAnsi="宋体" w:eastAsia="宋体" w:cs="宋体"/>
          <w:sz w:val="32"/>
          <w:szCs w:val="32"/>
          <w:lang w:val="en-US" w:eastAsia="zh-CN"/>
        </w:rPr>
        <w:t>另根据用地组件报批要求，</w:t>
      </w:r>
      <w:r>
        <w:rPr>
          <w:rFonts w:hint="eastAsia" w:ascii="宋体" w:hAnsi="宋体" w:eastAsia="宋体" w:cs="宋体"/>
          <w:sz w:val="32"/>
          <w:szCs w:val="32"/>
        </w:rPr>
        <w:t>利用国有土地（含依法征收为国有土地）用于农民住房安置</w:t>
      </w:r>
      <w:r>
        <w:rPr>
          <w:rFonts w:hint="eastAsia" w:ascii="宋体" w:hAnsi="宋体" w:eastAsia="宋体" w:cs="宋体"/>
          <w:sz w:val="32"/>
          <w:szCs w:val="32"/>
          <w:lang w:val="en-US" w:eastAsia="zh-CN"/>
        </w:rPr>
        <w:t>的，在列入住建部门安置房年度保障计划后通过保障性安居工程开展用地报批，可</w:t>
      </w:r>
      <w:r>
        <w:rPr>
          <w:rFonts w:hint="eastAsia" w:ascii="宋体" w:hAnsi="宋体" w:eastAsia="宋体" w:cs="宋体"/>
          <w:sz w:val="32"/>
          <w:szCs w:val="32"/>
        </w:rPr>
        <w:t>不缴纳耕地开垦费</w:t>
      </w:r>
      <w:r>
        <w:rPr>
          <w:rFonts w:hint="eastAsia" w:ascii="宋体" w:hAnsi="宋体" w:eastAsia="宋体" w:cs="宋体"/>
          <w:sz w:val="32"/>
          <w:szCs w:val="32"/>
          <w:lang w:eastAsia="zh-CN"/>
        </w:rPr>
        <w:t>和补充耕地资金。</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3.关于其他事项第二条：根据《浙江省财政厅 浙江省物价局关于减免养老和医疗机构建设等行政事业性收费有关问题的通知》（浙财综〔2014〕73号），对非营利性养老和医疗机构建设全额免征行政事业性收费，对营利性养老和医疗机构建设减半收取行政事业性收费，耕地开垦费包含在上述免征或减半收取的行政事业性收费项目当中。</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7" w:h="16840"/>
      <w:pgMar w:top="1418" w:right="1361" w:bottom="1418" w:left="1474" w:header="851" w:footer="68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sz w:val="28"/>
      </w:rPr>
    </w:pPr>
    <w:r>
      <w:rPr>
        <w:rFonts w:hint="eastAsia"/>
        <w:kern w:val="0"/>
        <w:sz w:val="28"/>
      </w:rPr>
      <w:t xml:space="preserve">                                                      －</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Fonts w:hint="eastAsia"/>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sz w:val="28"/>
      </w:rPr>
    </w:pPr>
    <w:r>
      <w:rPr>
        <w:rFonts w:hint="eastAsia"/>
        <w:kern w:val="0"/>
        <w:sz w:val="28"/>
      </w:rPr>
      <w:t xml:space="preserve">    －</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Fonts w:hint="eastAsia"/>
        <w:kern w:val="0"/>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A73AC"/>
    <w:rsid w:val="5BAA7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paragraph" w:customStyle="1" w:styleId="6">
    <w:name w:val="列出段落1"/>
    <w:basedOn w:val="1"/>
    <w:qFormat/>
    <w:uiPriority w:val="0"/>
    <w:pPr>
      <w:ind w:firstLine="420" w:firstLineChars="200"/>
    </w:pPr>
    <w:rPr>
      <w:rFonts w:ascii="Calibri" w:hAnsi="Calibri"/>
      <w:szCs w:val="22"/>
    </w:rPr>
  </w:style>
  <w:style w:type="character" w:customStyle="1" w:styleId="7">
    <w:name w:val="3"/>
    <w:basedOn w:val="5"/>
    <w:qFormat/>
    <w:uiPriority w:val="0"/>
  </w:style>
  <w:style w:type="paragraph" w:customStyle="1" w:styleId="8">
    <w:name w:val="Char"/>
    <w:basedOn w:val="1"/>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2025-02-20T09:05:00Z</dcterms:created>
  <dc:creator>匿名用户</dc:creator>
  <cp:lastModifiedBy>匿名用户</cp:lastModifiedBy>
  <dcterms:modified xsi:type="dcterms:W3CDTF">2025-02-20T09:05:21Z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EC70DD00F81941C8BF5F73C6698D5CF5</vt:lpwstr>
  </property>
</Properties>
</file>