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FBB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加强全县</w:t>
      </w:r>
      <w:r>
        <w:rPr>
          <w:rFonts w:hint="eastAsia" w:ascii="方正小标宋简体" w:hAnsi="方正小标宋简体" w:eastAsia="方正小标宋简体" w:cs="方正小标宋简体"/>
          <w:sz w:val="44"/>
          <w:szCs w:val="44"/>
        </w:rPr>
        <w:t>医疗机构</w:t>
      </w:r>
      <w:r>
        <w:rPr>
          <w:rFonts w:hint="eastAsia" w:ascii="方正小标宋简体" w:hAnsi="方正小标宋简体" w:eastAsia="方正小标宋简体" w:cs="方正小标宋简体"/>
          <w:sz w:val="44"/>
          <w:szCs w:val="44"/>
          <w:lang w:eastAsia="zh-CN"/>
        </w:rPr>
        <w:t>床位管理</w:t>
      </w:r>
      <w:r>
        <w:rPr>
          <w:rFonts w:hint="eastAsia" w:ascii="方正小标宋简体" w:hAnsi="方正小标宋简体" w:eastAsia="方正小标宋简体" w:cs="方正小标宋简体"/>
          <w:sz w:val="44"/>
          <w:szCs w:val="44"/>
        </w:rPr>
        <w:t>工作的通知</w:t>
      </w:r>
    </w:p>
    <w:p w14:paraId="1C9CD7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0E16B8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局机关各科室，各医疗卫生单位：</w:t>
      </w:r>
    </w:p>
    <w:p w14:paraId="1D05D5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2"/>
          <w:szCs w:val="32"/>
          <w:lang w:eastAsia="zh-CN"/>
        </w:rPr>
        <w:t>为建设更优质高效均衡的医疗卫生服务体系，推动医疗机构床位配置总量更合理、区域结构更优化、要素资源更匹配、管理服务更高效，充分保障群众的健康权益</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医疗机构管理条例》《医疗机构基本标准》《浙江省卫生健康委关于完善全省公立医疗卫生机构床位资源配置管理的通知》《金华市卫生健康委员会关于进一步规范我市医疗机构床位设置的通知》等卫生法律法规规定及文件精神，</w:t>
      </w:r>
      <w:r>
        <w:rPr>
          <w:rFonts w:hint="eastAsia" w:ascii="仿宋_GB2312" w:hAnsi="仿宋_GB2312" w:eastAsia="仿宋_GB2312" w:cs="仿宋_GB2312"/>
          <w:b w:val="0"/>
          <w:bCs w:val="0"/>
          <w:color w:val="auto"/>
          <w:sz w:val="32"/>
          <w:szCs w:val="32"/>
        </w:rPr>
        <w:t>现就</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rPr>
        <w:t>我县医疗机构床位管理</w:t>
      </w:r>
      <w:r>
        <w:rPr>
          <w:rFonts w:hint="eastAsia" w:ascii="仿宋_GB2312" w:hAnsi="仿宋_GB2312" w:eastAsia="仿宋_GB2312" w:cs="仿宋_GB2312"/>
          <w:b w:val="0"/>
          <w:bCs w:val="0"/>
          <w:color w:val="auto"/>
          <w:sz w:val="32"/>
          <w:szCs w:val="32"/>
          <w:lang w:eastAsia="zh-CN"/>
        </w:rPr>
        <w:t>的有关事项</w:t>
      </w:r>
      <w:r>
        <w:rPr>
          <w:rFonts w:hint="eastAsia" w:ascii="仿宋_GB2312" w:hAnsi="仿宋_GB2312" w:eastAsia="仿宋_GB2312" w:cs="仿宋_GB2312"/>
          <w:b w:val="0"/>
          <w:bCs w:val="0"/>
          <w:color w:val="auto"/>
          <w:sz w:val="32"/>
          <w:szCs w:val="32"/>
        </w:rPr>
        <w:t>通知如下:</w:t>
      </w:r>
    </w:p>
    <w:p w14:paraId="4BC5B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黑体" w:hAnsi="黑体" w:eastAsia="黑体" w:cs="黑体"/>
          <w:b w:val="0"/>
          <w:bCs w:val="0"/>
          <w:color w:val="auto"/>
          <w:sz w:val="32"/>
          <w:szCs w:val="32"/>
          <w:lang w:eastAsia="zh-CN"/>
        </w:rPr>
        <w:t>一、规范床位配置管理</w:t>
      </w:r>
    </w:p>
    <w:p w14:paraId="13D86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color w:val="auto"/>
          <w:sz w:val="32"/>
          <w:szCs w:val="32"/>
          <w:lang w:eastAsia="zh-CN"/>
        </w:rPr>
        <w:t>聚集优质高效均衡，推动辖区优质医疗资源有效扩容和均衡布局，严格按照《医疗机构管理条例》《医疗机构基本标准》，结合《综合医院建设标准》《中医医院建设标准》等建设标准、等级医院评审标准等，科学编制区域卫生规划，科学配置医疗机构床位总体规模，合理设置规划床位数指标。优先支持传染病、肿瘤、重症、儿科、精神卫生、老年医学等治疗性床位配置，合理规划并重点加强康复、护理、安宁疗护等紧缺床位供给。</w:t>
      </w:r>
    </w:p>
    <w:p w14:paraId="1F5C51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黑体" w:hAnsi="黑体" w:eastAsia="黑体" w:cs="黑体"/>
          <w:b w:val="0"/>
          <w:bCs w:val="0"/>
          <w:sz w:val="32"/>
          <w:szCs w:val="32"/>
          <w:lang w:val="en-US" w:eastAsia="zh-CN"/>
        </w:rPr>
        <w:t>二、严格编制床位管理</w:t>
      </w:r>
    </w:p>
    <w:p w14:paraId="09BEA4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（一）建设项目床位规模审查。</w:t>
      </w:r>
      <w:r>
        <w:rPr>
          <w:rFonts w:hint="eastAsia" w:ascii="仿宋_GB2312" w:hAnsi="仿宋_GB2312" w:eastAsia="仿宋_GB2312" w:cs="仿宋_GB2312"/>
          <w:b w:val="0"/>
          <w:bCs w:val="0"/>
          <w:color w:val="auto"/>
          <w:sz w:val="32"/>
          <w:szCs w:val="32"/>
          <w:lang w:val="en-US" w:eastAsia="zh-CN"/>
        </w:rPr>
        <w:t>县卫生健康行政部门对标区域卫生规划，对医疗机构报建项目，会同有关部门根据项目的服务需求、功能定位、学科方向等进行床位规模的充分论证并出具审查意见。原则上未纳入区域卫生规划的医疗机构建设项目不得转报投资综合管理部门进行立项审批。</w:t>
      </w:r>
    </w:p>
    <w:p w14:paraId="25172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（二）编制床位的合规性审查。</w:t>
      </w:r>
      <w:r>
        <w:rPr>
          <w:rFonts w:hint="eastAsia" w:ascii="仿宋_GB2312" w:hAnsi="仿宋_GB2312" w:eastAsia="仿宋_GB2312" w:cs="仿宋_GB2312"/>
          <w:b w:val="0"/>
          <w:bCs w:val="0"/>
          <w:color w:val="auto"/>
          <w:sz w:val="32"/>
          <w:szCs w:val="32"/>
          <w:lang w:val="en-US" w:eastAsia="zh-CN"/>
        </w:rPr>
        <w:t>县卫生健康行政部门根据区域卫生规划，结合各级各类医疗机构建设标准、医院等级评审标准等</w:t>
      </w:r>
      <w:r>
        <w:rPr>
          <w:rFonts w:hint="eastAsia" w:ascii="仿宋_GB2312" w:hAnsi="仿宋_GB2312" w:eastAsia="仿宋_GB2312" w:cs="仿宋_GB2312"/>
          <w:b w:val="0"/>
          <w:bCs w:val="0"/>
          <w:color w:val="auto"/>
          <w:sz w:val="32"/>
          <w:szCs w:val="32"/>
          <w:lang w:eastAsia="zh-CN"/>
        </w:rPr>
        <w:t>，采取综合评分法（详见附件）开展对医疗机构编制床位的合规性审查。对新建医疗机构编制床位的合规性审查采取“一事一议”方式，在执业验收前进行首次核定。</w:t>
      </w:r>
    </w:p>
    <w:p w14:paraId="6CD1FE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（三）严格编制床位核定管理。</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lang w:val="en-US" w:eastAsia="zh-CN"/>
        </w:rPr>
        <w:t>卫生健康行政部门</w:t>
      </w:r>
      <w:r>
        <w:rPr>
          <w:rFonts w:hint="eastAsia" w:ascii="仿宋_GB2312" w:hAnsi="仿宋_GB2312" w:eastAsia="仿宋_GB2312" w:cs="仿宋_GB2312"/>
          <w:b w:val="0"/>
          <w:bCs w:val="0"/>
          <w:color w:val="auto"/>
          <w:sz w:val="32"/>
          <w:szCs w:val="32"/>
          <w:lang w:eastAsia="zh-CN"/>
        </w:rPr>
        <w:t>对本辖区医疗机构严格执行编制床位核定管理，使医疗机构的规模、等级、医护人员数量等与编制床位数量相匹配。</w:t>
      </w:r>
      <w:r>
        <w:rPr>
          <w:rFonts w:hint="eastAsia" w:ascii="仿宋_GB2312" w:hAnsi="仿宋_GB2312" w:eastAsia="仿宋_GB2312" w:cs="仿宋_GB2312"/>
          <w:b w:val="0"/>
          <w:bCs w:val="0"/>
          <w:color w:val="auto"/>
          <w:sz w:val="32"/>
          <w:szCs w:val="32"/>
          <w:lang w:val="en-US" w:eastAsia="zh-CN"/>
        </w:rPr>
        <w:t>医疗机构开放床位应严格按编制床位进行设置，原则上各级卫生健康行政部门核准的编制床</w:t>
      </w:r>
      <w:r>
        <w:rPr>
          <w:rFonts w:hint="eastAsia" w:ascii="仿宋_GB2312" w:hAnsi="仿宋_GB2312" w:eastAsia="仿宋_GB2312" w:cs="仿宋_GB2312"/>
          <w:b w:val="0"/>
          <w:bCs w:val="0"/>
          <w:snapToGrid w:val="0"/>
          <w:color w:val="000000"/>
          <w:kern w:val="0"/>
          <w:sz w:val="32"/>
          <w:szCs w:val="32"/>
          <w:lang w:val="en-US" w:eastAsia="zh-CN" w:bidi="ar-SA"/>
        </w:rPr>
        <w:t>位数量即为医疗机构实际开放床位数量。对新建的医疗机构</w:t>
      </w:r>
      <w:r>
        <w:rPr>
          <w:rFonts w:hint="eastAsia" w:ascii="仿宋_GB2312" w:hAnsi="仿宋_GB2312" w:eastAsia="仿宋_GB2312" w:cs="仿宋_GB2312"/>
          <w:b w:val="0"/>
          <w:bCs w:val="0"/>
          <w:snapToGrid w:val="0"/>
          <w:color w:val="auto"/>
          <w:kern w:val="0"/>
          <w:sz w:val="32"/>
          <w:szCs w:val="32"/>
          <w:lang w:val="en-US" w:eastAsia="zh-CN" w:bidi="ar-SA"/>
        </w:rPr>
        <w:t>，根据</w:t>
      </w:r>
      <w:r>
        <w:rPr>
          <w:rFonts w:hint="eastAsia" w:ascii="仿宋_GB2312" w:hAnsi="仿宋_GB2312" w:eastAsia="仿宋_GB2312" w:cs="仿宋_GB2312"/>
          <w:b w:val="0"/>
          <w:bCs w:val="0"/>
          <w:color w:val="auto"/>
          <w:sz w:val="32"/>
          <w:szCs w:val="32"/>
          <w:lang w:val="en-US" w:eastAsia="zh-CN"/>
        </w:rPr>
        <w:t>区域卫生规划，结合</w:t>
      </w:r>
      <w:r>
        <w:rPr>
          <w:rFonts w:hint="eastAsia" w:ascii="仿宋_GB2312" w:hAnsi="仿宋_GB2312" w:eastAsia="仿宋_GB2312" w:cs="仿宋_GB2312"/>
          <w:b w:val="0"/>
          <w:bCs w:val="0"/>
          <w:snapToGrid w:val="0"/>
          <w:color w:val="auto"/>
          <w:kern w:val="0"/>
          <w:sz w:val="32"/>
          <w:szCs w:val="32"/>
          <w:lang w:val="en-US" w:eastAsia="zh-CN" w:bidi="ar-SA"/>
        </w:rPr>
        <w:t>医院设置基本标准、医院等级评审标准和实际需求逐步开放编制床位</w:t>
      </w:r>
      <w:r>
        <w:rPr>
          <w:rFonts w:hint="eastAsia" w:ascii="仿宋_GB2312" w:hAnsi="仿宋_GB2312" w:eastAsia="仿宋_GB2312" w:cs="仿宋_GB2312"/>
          <w:b w:val="0"/>
          <w:bCs w:val="0"/>
          <w:snapToGrid w:val="0"/>
          <w:color w:val="auto"/>
          <w:kern w:val="0"/>
          <w:sz w:val="32"/>
          <w:szCs w:val="32"/>
          <w:highlight w:val="none"/>
          <w:lang w:val="en-US" w:eastAsia="zh-CN" w:bidi="ar-SA"/>
        </w:rPr>
        <w:t>。</w:t>
      </w:r>
    </w:p>
    <w:p w14:paraId="59F58B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各级卫生健康行政部门对编制床位核定的分级权限如下：</w:t>
      </w:r>
    </w:p>
    <w:p w14:paraId="5E2DE2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省卫生健康行政部门。</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lang w:val="en-US" w:eastAsia="zh-CN"/>
        </w:rPr>
        <w:t>600张及以上综合医院，450张及以上中医医院（中西医结合医院），300张及以上妇幼保健院及精神等专科医院的编制床位核定事项。</w:t>
      </w:r>
    </w:p>
    <w:p w14:paraId="7BD8F0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2.市卫生健康行政部门。</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lang w:val="en-US" w:eastAsia="zh-CN"/>
        </w:rPr>
        <w:t>280-599张综合医院，250-449张中医医院（中西医结合医院），150-299张妇幼保健院及精神等专科医院的编制床位核定事项。</w:t>
      </w:r>
    </w:p>
    <w:p w14:paraId="0D05A60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3.县卫生健康行政部门。</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lang w:val="en-US" w:eastAsia="zh-CN"/>
        </w:rPr>
        <w:t>280张以下综合医院，250张以下中医医院（中西医结合医院），150张以下妇幼保健院及精神等专科医院的编制床位核定事项。</w:t>
      </w:r>
    </w:p>
    <w:p w14:paraId="7129E1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有下列情形1项及以上的，暂缓编制床位核增事项：</w:t>
      </w:r>
    </w:p>
    <w:p w14:paraId="6D23D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1.辖区医疗资源严重过剩，相应床位指标超出规划数的。</w:t>
      </w:r>
    </w:p>
    <w:p w14:paraId="2AD247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医疗机构</w:t>
      </w:r>
      <w:r>
        <w:rPr>
          <w:rFonts w:hint="eastAsia" w:ascii="仿宋_GB2312" w:hAnsi="仿宋_GB2312" w:eastAsia="仿宋_GB2312" w:cs="仿宋_GB2312"/>
          <w:b w:val="0"/>
          <w:bCs w:val="0"/>
          <w:sz w:val="32"/>
          <w:szCs w:val="32"/>
          <w:lang w:val="en-US" w:eastAsia="zh-CN"/>
        </w:rPr>
        <w:t>每床使用面积及医护人员数配备不达标,年医疗床位使用率低于使用管理要求的。</w:t>
      </w:r>
    </w:p>
    <w:p w14:paraId="184572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医疗机构</w:t>
      </w:r>
      <w:r>
        <w:rPr>
          <w:rFonts w:hint="eastAsia" w:ascii="仿宋_GB2312" w:hAnsi="仿宋_GB2312" w:eastAsia="仿宋_GB2312" w:cs="仿宋_GB2312"/>
          <w:b w:val="0"/>
          <w:bCs w:val="0"/>
          <w:sz w:val="32"/>
          <w:szCs w:val="32"/>
          <w:lang w:val="en-US" w:eastAsia="zh-CN"/>
        </w:rPr>
        <w:t>两年内违反卫生法律、法规规定，被处于吊销许可证（科目）、责令停产停业、责令关闭等行政处罚的；或两年内被行政处罚3次以上且情形严重的；或在省、市飞行检查中发现5项以上违法行为并查实的。</w:t>
      </w:r>
    </w:p>
    <w:p w14:paraId="06BBCB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sz w:val="32"/>
          <w:szCs w:val="32"/>
          <w:lang w:eastAsia="zh-CN"/>
        </w:rPr>
        <w:t>医疗机构</w:t>
      </w:r>
      <w:r>
        <w:rPr>
          <w:rFonts w:hint="eastAsia" w:ascii="仿宋_GB2312" w:hAnsi="仿宋_GB2312" w:eastAsia="仿宋_GB2312" w:cs="仿宋_GB2312"/>
          <w:b w:val="0"/>
          <w:bCs w:val="0"/>
          <w:sz w:val="32"/>
          <w:szCs w:val="32"/>
          <w:lang w:val="en-US" w:eastAsia="zh-CN"/>
        </w:rPr>
        <w:t>年度内发生重大安全生产事件；因医院领导班子成员</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lang w:val="en-US" w:eastAsia="zh-CN"/>
        </w:rPr>
        <w:t>民营医院出资人发生职务违法犯罪</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lang w:val="en-US" w:eastAsia="zh-CN"/>
        </w:rPr>
        <w:t>严重违纪事件造成严重不良社会影响等情形的。</w:t>
      </w:r>
    </w:p>
    <w:p w14:paraId="0A65F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医疗机构编制床位核定流程如下：</w:t>
      </w:r>
    </w:p>
    <w:p w14:paraId="0043EF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1.由医疗机构对照医疗机构编制床位合规性审查综合评分表进行自评，自评达到85分以上的，可向县卫生健康行政部门提出编制床位核定请示。</w:t>
      </w:r>
    </w:p>
    <w:p w14:paraId="7C181F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2.县卫生健康行政部门负责编制床位审查科室进行医疗机构编制床位合规性审查，对通过审查的，由其提出核定相应编制床位建议。医疗机构需按要求提供编制床位核定所需材料。</w:t>
      </w:r>
    </w:p>
    <w:p w14:paraId="4C756B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各级卫生健康行政部门按医疗机构编制床位核定分级权限及相关工作流程，进行医疗机构编制床位核定事项的受理、审查、过会、批复等工作。</w:t>
      </w:r>
    </w:p>
    <w:p w14:paraId="0D0CE3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4.县卫生健康行政部门负责执业登记科室根据</w:t>
      </w:r>
      <w:r>
        <w:rPr>
          <w:rFonts w:hint="eastAsia" w:ascii="仿宋_GB2312" w:hAnsi="仿宋_GB2312" w:eastAsia="仿宋_GB2312" w:cs="仿宋_GB2312"/>
          <w:b w:val="0"/>
          <w:bCs w:val="0"/>
          <w:sz w:val="32"/>
          <w:szCs w:val="32"/>
          <w:lang w:eastAsia="zh-CN"/>
        </w:rPr>
        <w:t>各级卫生健康行政部门印发的医疗机构</w:t>
      </w:r>
      <w:r>
        <w:rPr>
          <w:rFonts w:hint="eastAsia" w:ascii="仿宋_GB2312" w:hAnsi="仿宋_GB2312" w:eastAsia="仿宋_GB2312" w:cs="仿宋_GB2312"/>
          <w:b w:val="0"/>
          <w:bCs w:val="0"/>
          <w:sz w:val="32"/>
          <w:szCs w:val="32"/>
          <w:lang w:val="en-US" w:eastAsia="zh-CN"/>
        </w:rPr>
        <w:t>编制床位核定批复文件，办理医疗机构执业许可证编制床位变更登记。</w:t>
      </w:r>
    </w:p>
    <w:p w14:paraId="2998F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三、开放床位备案管理</w:t>
      </w:r>
    </w:p>
    <w:p w14:paraId="1494E6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bidi="ar-SA"/>
        </w:rPr>
        <w:t>对辖区内医疗机构的精神病区等特殊专科（科室）</w:t>
      </w:r>
      <w:r>
        <w:rPr>
          <w:rFonts w:hint="eastAsia" w:ascii="仿宋_GB2312" w:hAnsi="仿宋_GB2312" w:eastAsia="仿宋_GB2312" w:cs="仿宋_GB2312"/>
          <w:b w:val="0"/>
          <w:bCs w:val="0"/>
          <w:snapToGrid w:val="0"/>
          <w:color w:val="auto"/>
          <w:kern w:val="0"/>
          <w:sz w:val="32"/>
          <w:szCs w:val="32"/>
          <w:highlight w:val="none"/>
          <w:lang w:eastAsia="zh-CN" w:bidi="ar-SA"/>
        </w:rPr>
        <w:t>开放</w:t>
      </w:r>
      <w:r>
        <w:rPr>
          <w:rFonts w:hint="eastAsia" w:ascii="仿宋_GB2312" w:hAnsi="仿宋_GB2312" w:eastAsia="仿宋_GB2312" w:cs="仿宋_GB2312"/>
          <w:b w:val="0"/>
          <w:bCs w:val="0"/>
          <w:snapToGrid w:val="0"/>
          <w:color w:val="auto"/>
          <w:kern w:val="0"/>
          <w:sz w:val="32"/>
          <w:szCs w:val="32"/>
          <w:highlight w:val="none"/>
          <w:lang w:val="en-US" w:eastAsia="zh-CN" w:bidi="ar-SA"/>
        </w:rPr>
        <w:t>床位数量执行备案管理制度，允许医疗机构特殊专科（科室）在保证医疗安全前提下，适当增加开放床位。对</w:t>
      </w:r>
      <w:r>
        <w:rPr>
          <w:rFonts w:hint="eastAsia" w:ascii="仿宋_GB2312" w:hAnsi="仿宋_GB2312" w:eastAsia="仿宋_GB2312" w:cs="仿宋_GB2312"/>
          <w:b w:val="0"/>
          <w:bCs w:val="0"/>
          <w:sz w:val="32"/>
          <w:szCs w:val="32"/>
          <w:lang w:eastAsia="zh-CN"/>
        </w:rPr>
        <w:t>医疗机构内设置养老床位的，应分别明确机构内的医疗床位数与养老床位数，严格实行区分管理，并按程序向县卫生健康行政部门进行备案。</w:t>
      </w:r>
    </w:p>
    <w:p w14:paraId="0F57B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四、提高床位使用效率</w:t>
      </w:r>
    </w:p>
    <w:p w14:paraId="2E30B2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机构要做好医院就诊流程管理，二级以上医疗机构要持续推动日间手术、日间病房开展，依托住院服务中心，对全院床位资源实行统一管理、统筹调配，提高床位使用效率。医共体牵头医院要加强与成员单位的床位资源共享，依托县域双向转诊平台，做好分级诊疗、双向转诊，提供标准化、一体化、同质化服务，提高医共体的床位使用率。</w:t>
      </w:r>
    </w:p>
    <w:p w14:paraId="11778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黑体" w:hAnsi="黑体" w:eastAsia="黑体" w:cs="黑体"/>
          <w:b w:val="0"/>
          <w:bCs w:val="0"/>
          <w:color w:val="auto"/>
          <w:sz w:val="32"/>
          <w:szCs w:val="32"/>
          <w:lang w:eastAsia="zh-CN"/>
        </w:rPr>
        <w:t>五、严格床位使用监督</w:t>
      </w:r>
    </w:p>
    <w:p w14:paraId="5B1102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eastAsia="zh-CN"/>
        </w:rPr>
        <w:t>县卫生健康行政部门严格落实辖区医疗床位全流程监管职责，在机构审批、校验、等级评审等过程中，对医疗床位的使用进行重点管理。</w:t>
      </w:r>
      <w:r>
        <w:rPr>
          <w:rFonts w:hint="eastAsia" w:ascii="仿宋_GB2312" w:hAnsi="仿宋_GB2312" w:eastAsia="仿宋_GB2312" w:cs="仿宋_GB2312"/>
          <w:b w:val="0"/>
          <w:bCs w:val="0"/>
          <w:sz w:val="32"/>
          <w:szCs w:val="32"/>
          <w:lang w:eastAsia="zh-CN"/>
        </w:rPr>
        <w:t>依据《医疗机构校验管理办法》（试行）的相关规定，县卫生健康行政部门将医疗机构住院床位使用、医护人员配比等相关内容纳入对医疗机构的校验管理。对不符合校验标准的医疗机构，县卫生健康行政部门视具体情况给予</w:t>
      </w:r>
      <w:r>
        <w:rPr>
          <w:rFonts w:hint="eastAsia" w:ascii="仿宋_GB2312" w:hAnsi="仿宋_GB2312" w:eastAsia="仿宋_GB2312" w:cs="仿宋_GB2312"/>
          <w:b w:val="0"/>
          <w:bCs w:val="0"/>
          <w:sz w:val="32"/>
          <w:szCs w:val="32"/>
          <w:lang w:val="en-US" w:eastAsia="zh-CN"/>
        </w:rPr>
        <w:t>1-6个月</w:t>
      </w:r>
      <w:r>
        <w:rPr>
          <w:rFonts w:hint="eastAsia" w:ascii="仿宋_GB2312" w:hAnsi="仿宋_GB2312" w:eastAsia="仿宋_GB2312" w:cs="仿宋_GB2312"/>
          <w:b w:val="0"/>
          <w:bCs w:val="0"/>
          <w:sz w:val="32"/>
          <w:szCs w:val="32"/>
          <w:lang w:eastAsia="zh-CN"/>
        </w:rPr>
        <w:t>暂缓校验期，下达整改通知书，并通报医保部门。医疗机构在暂缓校验期内，除急救外不得开展门诊业务和收治新病人。</w:t>
      </w:r>
      <w:r>
        <w:rPr>
          <w:rFonts w:hint="eastAsia" w:ascii="仿宋_GB2312" w:hAnsi="仿宋_GB2312" w:eastAsia="仿宋_GB2312" w:cs="仿宋_GB2312"/>
          <w:b w:val="0"/>
          <w:bCs w:val="0"/>
          <w:color w:val="auto"/>
          <w:sz w:val="32"/>
          <w:szCs w:val="32"/>
          <w:lang w:eastAsia="zh-CN"/>
        </w:rPr>
        <w:t>医疗机构要规范、合理地使用医疗床位资源，严格把握患者入院指征</w:t>
      </w:r>
      <w:r>
        <w:rPr>
          <w:rFonts w:hint="eastAsia" w:ascii="仿宋_GB2312" w:hAnsi="仿宋_GB2312" w:eastAsia="仿宋_GB2312" w:cs="仿宋_GB2312"/>
          <w:b w:val="0"/>
          <w:bCs w:val="0"/>
          <w:sz w:val="32"/>
          <w:szCs w:val="32"/>
          <w:lang w:eastAsia="zh-CN"/>
        </w:rPr>
        <w:t>，对处于慢病稳定期等无需住院的人员，应选择门诊用药，不得放宽指征收入住院。医疗卫生机构的编制床位、实际开放床位要及时、准确上报卫生统计直报系统，并纳入“浙江省医疗卫生资源配置管理系统（床位资源）”实行全程数字化管理。</w:t>
      </w:r>
    </w:p>
    <w:p w14:paraId="7F4D9B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黑体" w:hAnsi="黑体" w:eastAsia="黑体" w:cs="黑体"/>
          <w:b w:val="0"/>
          <w:bCs w:val="0"/>
          <w:sz w:val="32"/>
          <w:szCs w:val="32"/>
          <w:lang w:eastAsia="zh-CN"/>
        </w:rPr>
        <w:t>六、强化执纪执法检查</w:t>
      </w:r>
    </w:p>
    <w:p w14:paraId="278B1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eastAsia="zh-CN"/>
        </w:rPr>
        <w:t>县卫生健康行政部门对医疗机构存在违法、违规行为的，依法、依规进行处理，并跟进监督执纪检查，依据</w:t>
      </w:r>
      <w:r>
        <w:rPr>
          <w:rFonts w:hint="eastAsia" w:ascii="仿宋_GB2312" w:hAnsi="仿宋_GB2312" w:eastAsia="仿宋_GB2312" w:cs="仿宋_GB2312"/>
          <w:b w:val="0"/>
          <w:bCs w:val="0"/>
          <w:sz w:val="32"/>
          <w:szCs w:val="32"/>
          <w:lang w:val="en-US" w:eastAsia="zh-CN"/>
        </w:rPr>
        <w:t>监督执纪“四种形态”</w:t>
      </w:r>
      <w:r>
        <w:rPr>
          <w:rFonts w:hint="eastAsia" w:ascii="仿宋_GB2312" w:hAnsi="仿宋_GB2312" w:eastAsia="仿宋_GB2312" w:cs="仿宋_GB2312"/>
          <w:b w:val="0"/>
          <w:bCs w:val="0"/>
          <w:sz w:val="32"/>
          <w:szCs w:val="32"/>
          <w:lang w:eastAsia="zh-CN"/>
        </w:rPr>
        <w:t>，对相关责任人进行处理。</w:t>
      </w:r>
      <w:r>
        <w:rPr>
          <w:rFonts w:hint="eastAsia" w:ascii="仿宋_GB2312" w:hAnsi="仿宋_GB2312" w:eastAsia="仿宋_GB2312" w:cs="仿宋_GB2312"/>
          <w:b w:val="0"/>
          <w:bCs w:val="0"/>
          <w:color w:val="auto"/>
          <w:sz w:val="32"/>
          <w:szCs w:val="32"/>
          <w:lang w:eastAsia="zh-CN"/>
        </w:rPr>
        <w:t>医疗机构未经核准或备案，超核定范围开放床位的，县卫生健康行政部门可联合医保等部门依照相关规定进行处理。</w:t>
      </w:r>
      <w:bookmarkStart w:id="0" w:name="_GoBack"/>
      <w:bookmarkEnd w:id="0"/>
    </w:p>
    <w:p w14:paraId="016D3C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本通知</w:t>
      </w:r>
      <w:r>
        <w:rPr>
          <w:rFonts w:hint="eastAsia" w:ascii="仿宋_GB2312" w:hAnsi="仿宋_GB2312" w:eastAsia="仿宋_GB2312" w:cs="仿宋_GB2312"/>
          <w:b w:val="0"/>
          <w:bCs w:val="0"/>
          <w:sz w:val="32"/>
          <w:szCs w:val="32"/>
          <w:lang w:eastAsia="zh-CN"/>
        </w:rPr>
        <w:t>自</w:t>
      </w:r>
      <w:r>
        <w:rPr>
          <w:rFonts w:hint="eastAsia" w:ascii="仿宋_GB2312" w:hAnsi="仿宋_GB2312" w:eastAsia="仿宋_GB2312" w:cs="仿宋_GB2312"/>
          <w:b w:val="0"/>
          <w:bCs w:val="0"/>
          <w:sz w:val="32"/>
          <w:szCs w:val="32"/>
          <w:lang w:val="en-US" w:eastAsia="zh-CN"/>
        </w:rPr>
        <w:t>2025年**</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eastAsia="zh-CN"/>
        </w:rPr>
        <w:t>起施行，《武义县卫生健康局关于进一步规范医疗机构住院床位管理工作的通知》（武卫健〔2023〕111号）同时废止。</w:t>
      </w:r>
    </w:p>
    <w:p w14:paraId="06C48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联系科室：县卫生健康局行政审批科，电话</w:t>
      </w:r>
      <w:r>
        <w:rPr>
          <w:rFonts w:hint="eastAsia" w:ascii="仿宋_GB2312" w:hAnsi="仿宋_GB2312" w:eastAsia="仿宋_GB2312" w:cs="仿宋_GB2312"/>
          <w:b w:val="0"/>
          <w:bCs w:val="0"/>
          <w:sz w:val="32"/>
          <w:szCs w:val="32"/>
          <w:lang w:val="en-US" w:eastAsia="zh-CN"/>
        </w:rPr>
        <w:t>89072720；</w:t>
      </w:r>
    </w:p>
    <w:p w14:paraId="1E1DDC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县卫生健康局医政医管科，电话89072798。</w:t>
      </w:r>
    </w:p>
    <w:p w14:paraId="6EF80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CD484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附件：医疗机构编制床位合规性审查综合评分表</w:t>
      </w:r>
    </w:p>
    <w:p w14:paraId="6FC59D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F4F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F9EB38C">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武义县卫生健康局</w:t>
      </w:r>
    </w:p>
    <w:p w14:paraId="514791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sectPr>
          <w:headerReference r:id="rId3" w:type="default"/>
          <w:footerReference r:id="rId4" w:type="default"/>
          <w:pgSz w:w="11906" w:h="16838"/>
          <w:pgMar w:top="1701" w:right="1474" w:bottom="1588" w:left="1531" w:header="851" w:footer="1134"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 xml:space="preserve">                                   2025年**月**日</w:t>
      </w:r>
    </w:p>
    <w:p w14:paraId="04937C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w:t>
      </w:r>
    </w:p>
    <w:p w14:paraId="532D4C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医疗机构编制床位合规性审查综合评分表</w:t>
      </w:r>
    </w:p>
    <w:p w14:paraId="6ABE11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7"/>
        <w:tblpPr w:leftFromText="180" w:rightFromText="180" w:vertAnchor="text" w:horzAnchor="margin" w:tblpY="44"/>
        <w:tblW w:w="8902" w:type="dxa"/>
        <w:tblInd w:w="0" w:type="dxa"/>
        <w:tblLayout w:type="fixed"/>
        <w:tblCellMar>
          <w:top w:w="0" w:type="dxa"/>
          <w:left w:w="0" w:type="dxa"/>
          <w:bottom w:w="0" w:type="dxa"/>
          <w:right w:w="0" w:type="dxa"/>
        </w:tblCellMar>
      </w:tblPr>
      <w:tblGrid>
        <w:gridCol w:w="875"/>
        <w:gridCol w:w="1012"/>
        <w:gridCol w:w="434"/>
        <w:gridCol w:w="2828"/>
        <w:gridCol w:w="1172"/>
        <w:gridCol w:w="1480"/>
        <w:gridCol w:w="550"/>
        <w:gridCol w:w="551"/>
      </w:tblGrid>
      <w:tr w14:paraId="12A22490">
        <w:tblPrEx>
          <w:tblCellMar>
            <w:top w:w="0" w:type="dxa"/>
            <w:left w:w="0" w:type="dxa"/>
            <w:bottom w:w="0" w:type="dxa"/>
            <w:right w:w="0" w:type="dxa"/>
          </w:tblCellMar>
        </w:tblPrEx>
        <w:trPr>
          <w:trHeight w:val="539" w:hRule="atLeast"/>
        </w:trPr>
        <w:tc>
          <w:tcPr>
            <w:tcW w:w="8902" w:type="dxa"/>
            <w:gridSpan w:val="8"/>
            <w:tcBorders>
              <w:top w:val="single" w:color="000000" w:sz="4" w:space="0"/>
              <w:left w:val="single" w:color="000000" w:sz="4" w:space="0"/>
              <w:bottom w:val="single" w:color="000000" w:sz="4" w:space="0"/>
              <w:right w:val="single" w:color="000000" w:sz="4" w:space="0"/>
            </w:tcBorders>
            <w:shd w:val="clear" w:color="auto" w:fill="D6DCE4"/>
            <w:noWrap/>
            <w:tcMar>
              <w:top w:w="15" w:type="dxa"/>
              <w:left w:w="15" w:type="dxa"/>
              <w:right w:w="15" w:type="dxa"/>
            </w:tcMar>
            <w:vAlign w:val="center"/>
          </w:tcPr>
          <w:p w14:paraId="0E95E8DE">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24"/>
              </w:rPr>
              <w:t>基础信息（由申请医院据实填报）</w:t>
            </w:r>
          </w:p>
        </w:tc>
      </w:tr>
      <w:tr w14:paraId="4401D676">
        <w:tblPrEx>
          <w:tblCellMar>
            <w:top w:w="0" w:type="dxa"/>
            <w:left w:w="0" w:type="dxa"/>
            <w:bottom w:w="0" w:type="dxa"/>
            <w:right w:w="0" w:type="dxa"/>
          </w:tblCellMar>
        </w:tblPrEx>
        <w:trPr>
          <w:trHeight w:val="69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52D8">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医院  名称</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75CF">
            <w:pPr>
              <w:jc w:val="left"/>
              <w:rPr>
                <w:rFonts w:ascii="仿宋_GB2312" w:hAnsi="宋体" w:eastAsia="仿宋_GB2312" w:cs="仿宋_GB2312"/>
                <w:color w:val="000000"/>
                <w:sz w:val="24"/>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7A4D">
            <w:pPr>
              <w:jc w:val="left"/>
              <w:rPr>
                <w:rFonts w:ascii="仿宋_GB2312" w:hAnsi="宋体" w:eastAsia="仿宋_GB2312" w:cs="仿宋_GB2312"/>
                <w:color w:val="000000"/>
                <w:sz w:val="24"/>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5FED">
            <w:pPr>
              <w:jc w:val="left"/>
              <w:rPr>
                <w:rFonts w:ascii="仿宋_GB2312" w:hAnsi="宋体" w:eastAsia="仿宋_GB2312" w:cs="仿宋_GB2312"/>
                <w:color w:val="000000"/>
                <w:sz w:val="24"/>
              </w:rPr>
            </w:pPr>
          </w:p>
        </w:tc>
      </w:tr>
      <w:tr w14:paraId="17F22E8E">
        <w:tblPrEx>
          <w:tblCellMar>
            <w:top w:w="0" w:type="dxa"/>
            <w:left w:w="0" w:type="dxa"/>
            <w:bottom w:w="0" w:type="dxa"/>
            <w:right w:w="0" w:type="dxa"/>
          </w:tblCellMar>
        </w:tblPrEx>
        <w:trPr>
          <w:trHeight w:val="62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334E">
            <w:pPr>
              <w:jc w:val="left"/>
              <w:rPr>
                <w:rFonts w:ascii="仿宋_GB2312" w:hAnsi="宋体" w:eastAsia="仿宋_GB2312" w:cs="仿宋_GB2312"/>
                <w:color w:val="000000"/>
                <w:sz w:val="24"/>
              </w:rPr>
            </w:pPr>
            <w:r>
              <w:rPr>
                <w:rFonts w:hint="eastAsia" w:ascii="仿宋_GB2312" w:hAnsi="宋体" w:eastAsia="仿宋_GB2312" w:cs="仿宋_GB2312"/>
                <w:color w:val="000000"/>
                <w:sz w:val="24"/>
              </w:rPr>
              <w:t>联系人</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D219">
            <w:pPr>
              <w:jc w:val="left"/>
              <w:rPr>
                <w:rFonts w:hint="eastAsia" w:ascii="仿宋_GB2312" w:hAnsi="宋体" w:eastAsia="仿宋_GB2312" w:cs="仿宋_GB2312"/>
                <w:color w:val="000000"/>
                <w:sz w:val="24"/>
                <w:lang w:val="en-US" w:eastAsia="zh-CN"/>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BA0E">
            <w:pPr>
              <w:jc w:val="left"/>
              <w:rPr>
                <w:rFonts w:ascii="仿宋_GB2312" w:hAnsi="宋体" w:eastAsia="仿宋_GB2312" w:cs="仿宋_GB2312"/>
                <w:color w:val="000000"/>
                <w:sz w:val="24"/>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11E82">
            <w:pPr>
              <w:jc w:val="left"/>
              <w:rPr>
                <w:rFonts w:ascii="仿宋_GB2312" w:hAnsi="宋体" w:eastAsia="仿宋_GB2312" w:cs="仿宋_GB2312"/>
                <w:color w:val="000000"/>
                <w:sz w:val="24"/>
              </w:rPr>
            </w:pPr>
          </w:p>
        </w:tc>
      </w:tr>
      <w:tr w14:paraId="679993E3">
        <w:tblPrEx>
          <w:tblCellMar>
            <w:top w:w="0" w:type="dxa"/>
            <w:left w:w="0" w:type="dxa"/>
            <w:bottom w:w="0" w:type="dxa"/>
            <w:right w:w="0" w:type="dxa"/>
          </w:tblCellMar>
        </w:tblPrEx>
        <w:trPr>
          <w:trHeight w:val="6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51519">
            <w:pPr>
              <w:jc w:val="left"/>
              <w:rPr>
                <w:rFonts w:ascii="仿宋_GB2312" w:hAnsi="宋体" w:eastAsia="仿宋_GB2312" w:cs="仿宋_GB2312"/>
                <w:color w:val="000000"/>
                <w:sz w:val="24"/>
              </w:rPr>
            </w:pPr>
            <w:r>
              <w:rPr>
                <w:rFonts w:hint="eastAsia" w:ascii="仿宋_GB2312" w:hAnsi="宋体" w:eastAsia="仿宋_GB2312" w:cs="仿宋_GB2312"/>
                <w:color w:val="000000"/>
                <w:sz w:val="24"/>
              </w:rPr>
              <w:t>总用地（㎡）</w:t>
            </w:r>
          </w:p>
        </w:tc>
        <w:tc>
          <w:tcPr>
            <w:tcW w:w="802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B7F9">
            <w:pPr>
              <w:jc w:val="left"/>
              <w:rPr>
                <w:rFonts w:ascii="仿宋_GB2312" w:hAnsi="宋体" w:eastAsia="仿宋_GB2312" w:cs="仿宋_GB2312"/>
                <w:color w:val="000000"/>
                <w:sz w:val="24"/>
              </w:rPr>
            </w:pPr>
          </w:p>
        </w:tc>
      </w:tr>
      <w:tr w14:paraId="5E6968F1">
        <w:tblPrEx>
          <w:tblCellMar>
            <w:top w:w="0" w:type="dxa"/>
            <w:left w:w="0" w:type="dxa"/>
            <w:bottom w:w="0" w:type="dxa"/>
            <w:right w:w="0" w:type="dxa"/>
          </w:tblCellMar>
        </w:tblPrEx>
        <w:trPr>
          <w:trHeight w:val="10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59B4">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总建筑面积（</w:t>
            </w:r>
            <w:r>
              <w:rPr>
                <w:rFonts w:ascii="宋体" w:hAnsi="宋体" w:cs="宋体"/>
                <w:color w:val="000000"/>
                <w:kern w:val="0"/>
                <w:sz w:val="24"/>
              </w:rPr>
              <w:t>㎡</w:t>
            </w:r>
            <w:r>
              <w:rPr>
                <w:rFonts w:hint="eastAsia" w:ascii="黑体" w:hAnsi="宋体" w:eastAsia="黑体" w:cs="黑体"/>
                <w:color w:val="000000"/>
                <w:kern w:val="0"/>
                <w:sz w:val="24"/>
              </w:rPr>
              <w:t>）</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4F84">
            <w:pPr>
              <w:widowControl/>
              <w:jc w:val="center"/>
              <w:textAlignment w:val="center"/>
              <w:rPr>
                <w:rFonts w:ascii="黑体" w:hAnsi="宋体" w:eastAsia="黑体" w:cs="黑体"/>
                <w:color w:val="000000"/>
                <w:sz w:val="24"/>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05F0">
            <w:pPr>
              <w:jc w:val="center"/>
              <w:rPr>
                <w:rFonts w:ascii="仿宋_GB2312" w:hAnsi="宋体" w:eastAsia="仿宋_GB2312" w:cs="仿宋_GB2312"/>
                <w:color w:val="000000"/>
                <w:sz w:val="24"/>
              </w:rPr>
            </w:pPr>
            <w:r>
              <w:rPr>
                <w:rFonts w:hint="eastAsia" w:ascii="黑体" w:hAnsi="宋体" w:eastAsia="黑体" w:cs="黑体"/>
                <w:color w:val="000000"/>
                <w:kern w:val="0"/>
                <w:sz w:val="24"/>
              </w:rPr>
              <w:t>其中教学用房面积</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89C0">
            <w:pPr>
              <w:widowControl/>
              <w:jc w:val="center"/>
              <w:textAlignment w:val="center"/>
              <w:rPr>
                <w:rFonts w:ascii="黑体" w:hAnsi="宋体" w:eastAsia="黑体" w:cs="黑体"/>
                <w:color w:val="000000"/>
                <w:sz w:val="22"/>
                <w:szCs w:val="22"/>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8173">
            <w:pPr>
              <w:jc w:val="center"/>
              <w:rPr>
                <w:rFonts w:ascii="黑体" w:hAnsi="宋体" w:eastAsia="黑体" w:cs="黑体"/>
                <w:color w:val="000000"/>
                <w:kern w:val="0"/>
                <w:sz w:val="24"/>
              </w:rPr>
            </w:pPr>
            <w:r>
              <w:rPr>
                <w:rFonts w:hint="eastAsia" w:ascii="黑体" w:hAnsi="宋体" w:eastAsia="黑体" w:cs="黑体"/>
                <w:color w:val="000000"/>
                <w:kern w:val="0"/>
                <w:sz w:val="24"/>
              </w:rPr>
              <w:t>科研用房</w:t>
            </w:r>
          </w:p>
          <w:p w14:paraId="4BBF3FD4">
            <w:pPr>
              <w:jc w:val="center"/>
              <w:rPr>
                <w:rFonts w:ascii="仿宋_GB2312" w:hAnsi="宋体" w:eastAsia="仿宋_GB2312" w:cs="仿宋_GB2312"/>
                <w:color w:val="000000"/>
                <w:sz w:val="22"/>
                <w:szCs w:val="22"/>
              </w:rPr>
            </w:pPr>
            <w:r>
              <w:rPr>
                <w:rFonts w:hint="eastAsia" w:ascii="黑体" w:hAnsi="宋体" w:eastAsia="黑体" w:cs="黑体"/>
                <w:color w:val="000000"/>
                <w:kern w:val="0"/>
                <w:sz w:val="24"/>
              </w:rPr>
              <w:t>面积</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28E6">
            <w:pPr>
              <w:jc w:val="center"/>
              <w:rPr>
                <w:rFonts w:ascii="仿宋_GB2312" w:hAnsi="宋体" w:eastAsia="仿宋_GB2312" w:cs="仿宋_GB2312"/>
                <w:color w:val="000000"/>
                <w:sz w:val="22"/>
                <w:szCs w:val="22"/>
              </w:rPr>
            </w:pPr>
          </w:p>
        </w:tc>
      </w:tr>
      <w:tr w14:paraId="612C7D3D">
        <w:tblPrEx>
          <w:tblCellMar>
            <w:top w:w="0" w:type="dxa"/>
            <w:left w:w="0" w:type="dxa"/>
            <w:bottom w:w="0" w:type="dxa"/>
            <w:right w:w="0" w:type="dxa"/>
          </w:tblCellMar>
        </w:tblPrEx>
        <w:trPr>
          <w:trHeight w:val="821"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2400">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2"/>
                <w:szCs w:val="22"/>
              </w:rPr>
              <w:t>现有编制床位数</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AD94">
            <w:pPr>
              <w:jc w:val="center"/>
              <w:rPr>
                <w:rFonts w:hint="default" w:ascii="仿宋_GB2312" w:hAnsi="宋体" w:eastAsia="仿宋_GB2312" w:cs="仿宋_GB2312"/>
                <w:color w:val="000000"/>
                <w:sz w:val="24"/>
                <w:lang w:val="en-US" w:eastAsia="zh-CN"/>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A148">
            <w:pPr>
              <w:jc w:val="center"/>
              <w:rPr>
                <w:rFonts w:ascii="仿宋_GB2312" w:hAnsi="宋体" w:eastAsia="仿宋_GB2312" w:cs="仿宋_GB2312"/>
                <w:color w:val="000000"/>
                <w:sz w:val="24"/>
              </w:rPr>
            </w:pPr>
            <w:r>
              <w:rPr>
                <w:rFonts w:hint="eastAsia" w:ascii="黑体" w:hAnsi="宋体" w:eastAsia="黑体" w:cs="黑体"/>
                <w:color w:val="000000"/>
                <w:kern w:val="0"/>
                <w:sz w:val="24"/>
              </w:rPr>
              <w:t>实际开放床位数</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1CAE">
            <w:pPr>
              <w:jc w:val="center"/>
              <w:rPr>
                <w:rFonts w:hint="default" w:ascii="仿宋_GB2312" w:hAnsi="宋体" w:eastAsia="仿宋_GB2312" w:cs="仿宋_GB2312"/>
                <w:color w:val="000000"/>
                <w:sz w:val="24"/>
                <w:lang w:val="en-US"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F452">
            <w:pPr>
              <w:jc w:val="center"/>
              <w:rPr>
                <w:rFonts w:ascii="黑体" w:hAnsi="宋体" w:eastAsia="黑体" w:cs="黑体"/>
                <w:color w:val="000000"/>
                <w:kern w:val="0"/>
                <w:sz w:val="24"/>
              </w:rPr>
            </w:pPr>
            <w:r>
              <w:rPr>
                <w:rFonts w:hint="eastAsia" w:ascii="黑体" w:hAnsi="宋体" w:eastAsia="黑体" w:cs="黑体"/>
                <w:color w:val="000000"/>
                <w:kern w:val="0"/>
                <w:sz w:val="24"/>
              </w:rPr>
              <w:t>床位使用率</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6A5C">
            <w:pPr>
              <w:jc w:val="center"/>
              <w:rPr>
                <w:rFonts w:ascii="仿宋_GB2312" w:hAnsi="宋体" w:eastAsia="仿宋_GB2312" w:cs="仿宋_GB2312"/>
                <w:color w:val="000000"/>
                <w:sz w:val="24"/>
              </w:rPr>
            </w:pPr>
          </w:p>
        </w:tc>
      </w:tr>
      <w:tr w14:paraId="30101CC1">
        <w:tblPrEx>
          <w:tblCellMar>
            <w:top w:w="0" w:type="dxa"/>
            <w:left w:w="0" w:type="dxa"/>
            <w:bottom w:w="0" w:type="dxa"/>
            <w:right w:w="0" w:type="dxa"/>
          </w:tblCellMar>
        </w:tblPrEx>
        <w:trPr>
          <w:trHeight w:val="68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7F04">
            <w:pPr>
              <w:jc w:val="center"/>
              <w:rPr>
                <w:rFonts w:ascii="黑体" w:hAnsi="宋体" w:eastAsia="黑体" w:cs="黑体"/>
                <w:color w:val="000000"/>
                <w:kern w:val="0"/>
                <w:sz w:val="24"/>
              </w:rPr>
            </w:pPr>
            <w:r>
              <w:rPr>
                <w:rFonts w:hint="eastAsia" w:ascii="黑体" w:hAnsi="宋体" w:eastAsia="黑体" w:cs="黑体"/>
                <w:color w:val="000000"/>
                <w:kern w:val="0"/>
                <w:sz w:val="24"/>
              </w:rPr>
              <w:t>卫技人员数</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11C4">
            <w:pPr>
              <w:jc w:val="center"/>
              <w:rPr>
                <w:rFonts w:hint="default" w:ascii="黑体" w:hAnsi="宋体" w:eastAsia="黑体" w:cs="黑体"/>
                <w:color w:val="000000"/>
                <w:kern w:val="0"/>
                <w:sz w:val="24"/>
                <w:lang w:val="en-US" w:eastAsia="zh-CN"/>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64D3">
            <w:pPr>
              <w:jc w:val="center"/>
              <w:rPr>
                <w:rFonts w:ascii="黑体" w:hAnsi="宋体" w:eastAsia="黑体" w:cs="黑体"/>
                <w:color w:val="000000"/>
                <w:kern w:val="0"/>
                <w:sz w:val="24"/>
              </w:rPr>
            </w:pPr>
            <w:r>
              <w:rPr>
                <w:rFonts w:hint="eastAsia" w:ascii="黑体" w:hAnsi="宋体" w:eastAsia="黑体" w:cs="黑体"/>
                <w:color w:val="000000"/>
                <w:kern w:val="0"/>
                <w:sz w:val="24"/>
              </w:rPr>
              <w:t>执业（助理）医师数</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F23B">
            <w:pPr>
              <w:jc w:val="center"/>
              <w:rPr>
                <w:rFonts w:hint="default" w:ascii="仿宋_GB2312" w:hAnsi="宋体" w:eastAsia="仿宋_GB2312" w:cs="仿宋_GB2312"/>
                <w:color w:val="000000"/>
                <w:sz w:val="24"/>
                <w:lang w:val="en-US" w:eastAsia="zh-CN"/>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978E">
            <w:pPr>
              <w:jc w:val="center"/>
              <w:rPr>
                <w:rFonts w:ascii="黑体" w:hAnsi="宋体" w:eastAsia="黑体" w:cs="黑体"/>
                <w:color w:val="000000"/>
                <w:kern w:val="0"/>
                <w:sz w:val="24"/>
              </w:rPr>
            </w:pPr>
            <w:r>
              <w:rPr>
                <w:rFonts w:hint="eastAsia" w:ascii="黑体" w:hAnsi="宋体" w:eastAsia="黑体" w:cs="黑体"/>
                <w:color w:val="000000"/>
                <w:kern w:val="0"/>
                <w:sz w:val="24"/>
              </w:rPr>
              <w:t>注册护士数</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CFCD">
            <w:pPr>
              <w:jc w:val="center"/>
              <w:rPr>
                <w:rFonts w:hint="default" w:ascii="仿宋_GB2312" w:hAnsi="宋体" w:eastAsia="仿宋_GB2312" w:cs="仿宋_GB2312"/>
                <w:color w:val="000000"/>
                <w:sz w:val="24"/>
                <w:lang w:val="en-US" w:eastAsia="zh-CN"/>
              </w:rPr>
            </w:pPr>
          </w:p>
        </w:tc>
      </w:tr>
      <w:tr w14:paraId="104D28FC">
        <w:tblPrEx>
          <w:tblCellMar>
            <w:top w:w="0" w:type="dxa"/>
            <w:left w:w="0" w:type="dxa"/>
            <w:bottom w:w="0" w:type="dxa"/>
            <w:right w:w="0" w:type="dxa"/>
          </w:tblCellMar>
        </w:tblPrEx>
        <w:trPr>
          <w:trHeight w:val="973" w:hRule="atLeast"/>
        </w:trPr>
        <w:tc>
          <w:tcPr>
            <w:tcW w:w="2321"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A3EA519">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申请事项</w:t>
            </w:r>
          </w:p>
        </w:tc>
        <w:tc>
          <w:tcPr>
            <w:tcW w:w="65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71">
            <w:pPr>
              <w:jc w:val="left"/>
              <w:rPr>
                <w:rFonts w:ascii="仿宋_GB2312" w:hAnsi="宋体" w:eastAsia="仿宋_GB2312" w:cs="仿宋_GB2312"/>
                <w:color w:val="000000"/>
                <w:sz w:val="24"/>
                <w:u w:val="single"/>
              </w:rPr>
            </w:pPr>
            <w:r>
              <w:rPr>
                <w:rFonts w:hint="eastAsia" w:ascii="仿宋_GB2312" w:hAnsi="宋体" w:eastAsia="仿宋_GB2312" w:cs="仿宋_GB2312"/>
                <w:color w:val="000000"/>
                <w:sz w:val="24"/>
              </w:rPr>
              <w:t>申请核增编制床位</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张，核增后建议总编制床位</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张。</w:t>
            </w:r>
          </w:p>
        </w:tc>
      </w:tr>
      <w:tr w14:paraId="68C779CF">
        <w:tblPrEx>
          <w:tblCellMar>
            <w:top w:w="0" w:type="dxa"/>
            <w:left w:w="0" w:type="dxa"/>
            <w:bottom w:w="0" w:type="dxa"/>
            <w:right w:w="0" w:type="dxa"/>
          </w:tblCellMar>
        </w:tblPrEx>
        <w:trPr>
          <w:trHeight w:val="559" w:hRule="atLeast"/>
        </w:trPr>
        <w:tc>
          <w:tcPr>
            <w:tcW w:w="8902" w:type="dxa"/>
            <w:gridSpan w:val="8"/>
            <w:tcBorders>
              <w:top w:val="single" w:color="000000" w:sz="4" w:space="0"/>
              <w:left w:val="single" w:color="000000" w:sz="4" w:space="0"/>
              <w:bottom w:val="single" w:color="000000" w:sz="4" w:space="0"/>
              <w:right w:val="single" w:color="000000" w:sz="4" w:space="0"/>
            </w:tcBorders>
            <w:shd w:val="clear" w:color="auto" w:fill="D6DCE4"/>
            <w:tcMar>
              <w:top w:w="15" w:type="dxa"/>
              <w:left w:w="15" w:type="dxa"/>
              <w:right w:w="15" w:type="dxa"/>
            </w:tcMar>
            <w:vAlign w:val="center"/>
          </w:tcPr>
          <w:p w14:paraId="297E18EE">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24"/>
              </w:rPr>
              <w:t>评价指标（由主管部门评价填报）</w:t>
            </w:r>
          </w:p>
        </w:tc>
      </w:tr>
      <w:tr w14:paraId="7BEF8E99">
        <w:tblPrEx>
          <w:tblCellMar>
            <w:top w:w="0" w:type="dxa"/>
            <w:left w:w="0" w:type="dxa"/>
            <w:bottom w:w="0" w:type="dxa"/>
            <w:right w:w="0" w:type="dxa"/>
          </w:tblCellMar>
        </w:tblPrEx>
        <w:trPr>
          <w:trHeight w:val="72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FAEE">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一级      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05D8">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二级指标</w:t>
            </w:r>
          </w:p>
        </w:tc>
        <w:tc>
          <w:tcPr>
            <w:tcW w:w="43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2F4CD2B">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分值</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FEBD">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评分细则</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34AD">
            <w:pPr>
              <w:widowControl/>
              <w:jc w:val="center"/>
              <w:textAlignment w:val="center"/>
              <w:rPr>
                <w:rFonts w:ascii="黑体" w:hAnsi="宋体" w:eastAsia="黑体" w:cs="黑体"/>
                <w:color w:val="000000"/>
                <w:kern w:val="0"/>
                <w:sz w:val="24"/>
                <w:highlight w:val="yellow"/>
              </w:rPr>
            </w:pPr>
            <w:r>
              <w:rPr>
                <w:rFonts w:hint="eastAsia" w:ascii="黑体" w:hAnsi="宋体" w:eastAsia="黑体" w:cs="黑体"/>
                <w:color w:val="000000"/>
                <w:kern w:val="0"/>
                <w:sz w:val="24"/>
              </w:rPr>
              <w:t>审查情况</w:t>
            </w:r>
          </w:p>
        </w:tc>
        <w:tc>
          <w:tcPr>
            <w:tcW w:w="5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E16F54">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得分</w:t>
            </w:r>
          </w:p>
        </w:tc>
      </w:tr>
      <w:tr w14:paraId="552238C1">
        <w:tblPrEx>
          <w:tblCellMar>
            <w:top w:w="0" w:type="dxa"/>
            <w:left w:w="0" w:type="dxa"/>
            <w:bottom w:w="0" w:type="dxa"/>
            <w:right w:w="0" w:type="dxa"/>
          </w:tblCellMar>
        </w:tblPrEx>
        <w:trPr>
          <w:trHeight w:val="1020" w:hRule="atLeast"/>
        </w:trPr>
        <w:tc>
          <w:tcPr>
            <w:tcW w:w="8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320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一.基础设施符合性（20分）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1696">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1.建筑面积</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806D">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8AE54C">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床均建筑面积≥110平米（中医及中西医结合医院、妇保院≥80平米，精神专科医院≥60平米）得满分，每降10%扣1分，最多扣3分。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CB44">
            <w:pPr>
              <w:jc w:val="center"/>
              <w:rPr>
                <w:rFonts w:ascii="仿宋_GB2312" w:hAnsi="宋体" w:eastAsia="仿宋_GB2312" w:cs="仿宋_GB2312"/>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4CE2">
            <w:pPr>
              <w:jc w:val="center"/>
              <w:rPr>
                <w:rFonts w:hint="default" w:ascii="宋体" w:hAnsi="宋体" w:eastAsia="宋体" w:cs="宋体"/>
                <w:sz w:val="24"/>
                <w:lang w:val="en-US" w:eastAsia="zh-CN"/>
              </w:rPr>
            </w:pPr>
          </w:p>
        </w:tc>
      </w:tr>
      <w:tr w14:paraId="4B242135">
        <w:tblPrEx>
          <w:tblCellMar>
            <w:top w:w="0" w:type="dxa"/>
            <w:left w:w="0" w:type="dxa"/>
            <w:bottom w:w="0" w:type="dxa"/>
            <w:right w:w="0" w:type="dxa"/>
          </w:tblCellMar>
        </w:tblPrEx>
        <w:trPr>
          <w:trHeight w:val="720" w:hRule="atLeast"/>
        </w:trPr>
        <w:tc>
          <w:tcPr>
            <w:tcW w:w="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488C">
            <w:pPr>
              <w:jc w:val="center"/>
              <w:rPr>
                <w:rFonts w:ascii="黑体" w:hAnsi="宋体" w:eastAsia="黑体" w:cs="黑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E98E">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2.用房结构</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BC91">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043AE7">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临床、教学、科研等用房结构符合《医院建设标准》得满分，不符合的扣0.5-1.5分，最多扣1.5分。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7EE6">
            <w:pPr>
              <w:jc w:val="center"/>
              <w:rPr>
                <w:rFonts w:ascii="仿宋_GB2312" w:hAnsi="宋体" w:eastAsia="仿宋_GB2312" w:cs="仿宋_GB2312"/>
                <w:color w:val="000000"/>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F495">
            <w:pPr>
              <w:jc w:val="center"/>
              <w:rPr>
                <w:rFonts w:ascii="宋体" w:hAnsi="宋体" w:cs="宋体"/>
                <w:color w:val="000000"/>
                <w:sz w:val="24"/>
              </w:rPr>
            </w:pPr>
          </w:p>
        </w:tc>
      </w:tr>
      <w:tr w14:paraId="7B1EC398">
        <w:tblPrEx>
          <w:tblCellMar>
            <w:top w:w="0" w:type="dxa"/>
            <w:left w:w="0" w:type="dxa"/>
            <w:bottom w:w="0" w:type="dxa"/>
            <w:right w:w="0" w:type="dxa"/>
          </w:tblCellMar>
        </w:tblPrEx>
        <w:trPr>
          <w:trHeight w:val="1080" w:hRule="atLeast"/>
        </w:trPr>
        <w:tc>
          <w:tcPr>
            <w:tcW w:w="8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1376FE">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二.人力资源匹配性（30分）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1A25">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3.床均卫技人员数</w:t>
            </w:r>
          </w:p>
        </w:tc>
        <w:tc>
          <w:tcPr>
            <w:tcW w:w="4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88E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9A9410">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三甲综合医院每床</w:t>
            </w:r>
            <w:r>
              <w:rPr>
                <w:rFonts w:ascii="宋体" w:hAnsi="宋体" w:eastAsia="仿宋_GB2312" w:cs="宋体"/>
                <w:color w:val="000000"/>
                <w:kern w:val="0"/>
                <w:sz w:val="24"/>
              </w:rPr>
              <w:t>≥</w:t>
            </w:r>
            <w:r>
              <w:rPr>
                <w:rFonts w:hint="eastAsia" w:ascii="仿宋_GB2312" w:hAnsi="宋体" w:eastAsia="仿宋_GB2312" w:cs="仿宋_GB2312"/>
                <w:color w:val="000000"/>
                <w:kern w:val="0"/>
                <w:sz w:val="24"/>
              </w:rPr>
              <w:t>1.25人，三乙综合每床≥1.15人，二甲综合</w:t>
            </w:r>
            <w:r>
              <w:rPr>
                <w:rFonts w:ascii="宋体" w:hAnsi="宋体" w:eastAsia="仿宋_GB2312" w:cs="宋体"/>
                <w:color w:val="000000"/>
                <w:kern w:val="0"/>
                <w:sz w:val="24"/>
              </w:rPr>
              <w:t>≥</w:t>
            </w:r>
            <w:r>
              <w:rPr>
                <w:rFonts w:hint="eastAsia" w:ascii="仿宋_GB2312" w:hAnsi="宋体" w:eastAsia="仿宋_GB2312" w:cs="仿宋_GB2312"/>
                <w:color w:val="000000"/>
                <w:kern w:val="0"/>
                <w:sz w:val="24"/>
              </w:rPr>
              <w:t xml:space="preserve"> 1人（中医及中西医结合、专科医院、妇幼保健院分别≥1.25人、1.15人和1人）得满分，每降10%扣1分。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E330">
            <w:pPr>
              <w:jc w:val="center"/>
              <w:rPr>
                <w:rFonts w:ascii="仿宋_GB2312" w:hAnsi="宋体" w:eastAsia="仿宋_GB2312" w:cs="仿宋_GB2312"/>
                <w:color w:val="000000"/>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1290">
            <w:pPr>
              <w:jc w:val="center"/>
              <w:rPr>
                <w:rFonts w:hint="eastAsia" w:ascii="宋体" w:hAnsi="宋体" w:eastAsia="宋体" w:cs="宋体"/>
                <w:color w:val="000000"/>
                <w:sz w:val="24"/>
                <w:lang w:eastAsia="zh-CN"/>
              </w:rPr>
            </w:pPr>
          </w:p>
        </w:tc>
      </w:tr>
      <w:tr w14:paraId="63B33AF1">
        <w:tblPrEx>
          <w:tblCellMar>
            <w:top w:w="0" w:type="dxa"/>
            <w:left w:w="0" w:type="dxa"/>
            <w:bottom w:w="0" w:type="dxa"/>
            <w:right w:w="0" w:type="dxa"/>
          </w:tblCellMar>
        </w:tblPrEx>
        <w:trPr>
          <w:trHeight w:val="720" w:hRule="atLeast"/>
        </w:trPr>
        <w:tc>
          <w:tcPr>
            <w:tcW w:w="8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64BE95">
            <w:pPr>
              <w:jc w:val="center"/>
              <w:rPr>
                <w:rFonts w:ascii="黑体" w:hAnsi="宋体" w:eastAsia="黑体" w:cs="黑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E25D">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4.卫技人员占比</w:t>
            </w:r>
          </w:p>
        </w:tc>
        <w:tc>
          <w:tcPr>
            <w:tcW w:w="4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A1C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5F5167">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卫技人员占职工总数比例</w:t>
            </w:r>
            <w:r>
              <w:rPr>
                <w:rFonts w:ascii="宋体" w:hAnsi="宋体" w:eastAsia="仿宋_GB2312" w:cs="宋体"/>
                <w:color w:val="000000"/>
                <w:kern w:val="0"/>
                <w:sz w:val="24"/>
              </w:rPr>
              <w:t>≥</w:t>
            </w:r>
            <w:r>
              <w:rPr>
                <w:rFonts w:hint="eastAsia" w:ascii="仿宋_GB2312" w:hAnsi="宋体" w:eastAsia="仿宋_GB2312" w:cs="仿宋_GB2312"/>
                <w:color w:val="000000"/>
                <w:kern w:val="0"/>
                <w:sz w:val="24"/>
              </w:rPr>
              <w:t>70%得满分，每降10%扣1分，最多扣3分。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9DAE">
            <w:pPr>
              <w:jc w:val="center"/>
              <w:rPr>
                <w:rFonts w:ascii="仿宋_GB2312" w:hAnsi="宋体" w:eastAsia="仿宋_GB2312" w:cs="仿宋_GB2312"/>
                <w:color w:val="000000"/>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AAFD">
            <w:pPr>
              <w:jc w:val="center"/>
              <w:rPr>
                <w:rFonts w:ascii="宋体" w:hAnsi="宋体" w:cs="宋体"/>
                <w:color w:val="000000"/>
                <w:sz w:val="24"/>
              </w:rPr>
            </w:pPr>
          </w:p>
        </w:tc>
      </w:tr>
      <w:tr w14:paraId="7EEB8289">
        <w:tblPrEx>
          <w:tblCellMar>
            <w:top w:w="0" w:type="dxa"/>
            <w:left w:w="0" w:type="dxa"/>
            <w:bottom w:w="0" w:type="dxa"/>
            <w:right w:w="0" w:type="dxa"/>
          </w:tblCellMar>
        </w:tblPrEx>
        <w:trPr>
          <w:trHeight w:val="942" w:hRule="atLeast"/>
        </w:trPr>
        <w:tc>
          <w:tcPr>
            <w:tcW w:w="8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3E41D6">
            <w:pPr>
              <w:jc w:val="center"/>
              <w:rPr>
                <w:rFonts w:ascii="黑体" w:hAnsi="宋体" w:eastAsia="黑体" w:cs="黑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61C8">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5.床均注册护士数</w:t>
            </w:r>
          </w:p>
        </w:tc>
        <w:tc>
          <w:tcPr>
            <w:tcW w:w="4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20A9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0DAE36">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三甲综合医院每床在岗护士≥0.7人，三乙综合≥0.65人，二甲综合每床在岗护士</w:t>
            </w:r>
            <w:r>
              <w:rPr>
                <w:rFonts w:ascii="宋体" w:hAnsi="宋体" w:eastAsia="仿宋_GB2312" w:cs="宋体"/>
                <w:color w:val="000000"/>
                <w:kern w:val="0"/>
                <w:sz w:val="24"/>
              </w:rPr>
              <w:t>≥</w:t>
            </w:r>
            <w:r>
              <w:rPr>
                <w:rFonts w:hint="eastAsia" w:ascii="仿宋_GB2312" w:hAnsi="宋体" w:eastAsia="仿宋_GB2312" w:cs="仿宋_GB2312"/>
                <w:color w:val="000000"/>
                <w:kern w:val="0"/>
                <w:sz w:val="24"/>
              </w:rPr>
              <w:t>0.6人（中医及中西医结合、专科医院、妇幼保健院分别≥0.65人、0.6人和0.6人）得满分，每降10%扣1分，最多扣3分。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575D">
            <w:pPr>
              <w:jc w:val="center"/>
              <w:rPr>
                <w:rFonts w:ascii="仿宋_GB2312" w:hAnsi="宋体" w:eastAsia="仿宋_GB2312" w:cs="仿宋_GB2312"/>
                <w:color w:val="000000"/>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3D67">
            <w:pPr>
              <w:jc w:val="center"/>
              <w:rPr>
                <w:rFonts w:ascii="宋体" w:hAnsi="宋体" w:cs="宋体"/>
                <w:color w:val="000000"/>
                <w:sz w:val="24"/>
              </w:rPr>
            </w:pPr>
          </w:p>
        </w:tc>
      </w:tr>
      <w:tr w14:paraId="7368F3F7">
        <w:tblPrEx>
          <w:tblCellMar>
            <w:top w:w="0" w:type="dxa"/>
            <w:left w:w="0" w:type="dxa"/>
            <w:bottom w:w="0" w:type="dxa"/>
            <w:right w:w="0" w:type="dxa"/>
          </w:tblCellMar>
        </w:tblPrEx>
        <w:trPr>
          <w:trHeight w:val="66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FD2E">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三、运营绩效先进性（50分）</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66761C">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6.病床使用率</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15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4E2B12">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病床使用率90%及以上得满分，每降5个百分点扣1分。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805D">
            <w:pPr>
              <w:jc w:val="center"/>
              <w:rPr>
                <w:rFonts w:ascii="仿宋_GB2312" w:hAnsi="宋体" w:eastAsia="仿宋_GB2312" w:cs="仿宋_GB2312"/>
                <w:sz w:val="24"/>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10FB">
            <w:pPr>
              <w:jc w:val="center"/>
              <w:rPr>
                <w:rFonts w:hint="default" w:ascii="宋体" w:hAnsi="宋体" w:eastAsia="宋体" w:cs="宋体"/>
                <w:sz w:val="24"/>
                <w:lang w:val="en-US" w:eastAsia="zh-CN"/>
              </w:rPr>
            </w:pPr>
          </w:p>
        </w:tc>
      </w:tr>
      <w:tr w14:paraId="25379D66">
        <w:tblPrEx>
          <w:tblCellMar>
            <w:top w:w="0" w:type="dxa"/>
            <w:left w:w="0" w:type="dxa"/>
            <w:bottom w:w="0" w:type="dxa"/>
            <w:right w:w="0" w:type="dxa"/>
          </w:tblCellMar>
        </w:tblPrEx>
        <w:trPr>
          <w:trHeight w:val="1275"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32C5">
            <w:pPr>
              <w:jc w:val="center"/>
              <w:rPr>
                <w:rFonts w:ascii="黑体" w:hAnsi="宋体" w:eastAsia="黑体" w:cs="黑体"/>
                <w:color w:val="000000"/>
                <w:sz w:val="24"/>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8E156">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7.平均住院日</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04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DE627F">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平均住院日三甲综合&lt;6.5天，三乙&lt;7.5天，二甲&lt;8.5天得满分，每增加10%扣1分；中医及中西医结合、专科医院、妇幼保健院达到同类同级别医院平均值得基准分8分。每增10%扣0.5分，每降10%加0.5分。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3890">
            <w:pPr>
              <w:jc w:val="center"/>
              <w:rPr>
                <w:rFonts w:hint="default" w:ascii="仿宋_GB2312" w:hAnsi="宋体" w:eastAsia="仿宋_GB2312" w:cs="仿宋_GB2312"/>
                <w:sz w:val="24"/>
                <w:lang w:val="en-US" w:eastAsia="zh-CN"/>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77CB">
            <w:pPr>
              <w:jc w:val="center"/>
              <w:rPr>
                <w:rFonts w:hint="eastAsia" w:ascii="宋体" w:hAnsi="宋体" w:eastAsia="宋体" w:cs="宋体"/>
                <w:sz w:val="24"/>
                <w:lang w:eastAsia="zh-CN"/>
              </w:rPr>
            </w:pPr>
          </w:p>
        </w:tc>
      </w:tr>
      <w:tr w14:paraId="30324766">
        <w:tblPrEx>
          <w:tblCellMar>
            <w:top w:w="0" w:type="dxa"/>
            <w:left w:w="0" w:type="dxa"/>
            <w:bottom w:w="0" w:type="dxa"/>
            <w:right w:w="0" w:type="dxa"/>
          </w:tblCellMar>
        </w:tblPrEx>
        <w:trPr>
          <w:trHeight w:val="108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BD18">
            <w:pPr>
              <w:jc w:val="center"/>
              <w:rPr>
                <w:rFonts w:ascii="黑体" w:hAnsi="宋体" w:eastAsia="黑体" w:cs="黑体"/>
                <w:color w:val="000000"/>
                <w:sz w:val="24"/>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51308">
            <w:pPr>
              <w:widowControl/>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8.下转病人增幅</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6BFF">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899088">
            <w:pPr>
              <w:widowControl/>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市级医院下转到医联体同比增幅10%以上、县级牵头医院下转成员单位病人同比增幅10%以上得满分，每降低1个百分点扣0.5分</w:t>
            </w:r>
            <w:r>
              <w:rPr>
                <w:rFonts w:hint="eastAsia" w:ascii="仿宋_GB2312" w:hAnsi="宋体" w:eastAsia="仿宋_GB2312" w:cs="仿宋_GB2312"/>
                <w:color w:val="000000"/>
                <w:kern w:val="0"/>
                <w:sz w:val="24"/>
              </w:rPr>
              <w:t>，最多扣2分。</w:t>
            </w:r>
            <w:r>
              <w:rPr>
                <w:rFonts w:hint="eastAsia" w:ascii="仿宋_GB2312" w:hAnsi="宋体" w:eastAsia="仿宋_GB2312" w:cs="仿宋_GB2312"/>
                <w:kern w:val="0"/>
                <w:sz w:val="24"/>
              </w:rPr>
              <w:t>省级医院得基准分9分。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75D5">
            <w:pPr>
              <w:jc w:val="center"/>
              <w:rPr>
                <w:rFonts w:hint="default" w:ascii="仿宋_GB2312" w:hAnsi="宋体" w:eastAsia="仿宋_GB2312" w:cs="仿宋_GB2312"/>
                <w:color w:val="000000"/>
                <w:sz w:val="24"/>
                <w:lang w:val="en-US" w:eastAsia="zh-CN"/>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5E60">
            <w:pPr>
              <w:jc w:val="center"/>
              <w:rPr>
                <w:rFonts w:ascii="宋体" w:hAnsi="宋体" w:cs="宋体"/>
                <w:color w:val="000000"/>
                <w:sz w:val="24"/>
              </w:rPr>
            </w:pPr>
          </w:p>
        </w:tc>
      </w:tr>
      <w:tr w14:paraId="65833CF4">
        <w:tblPrEx>
          <w:tblCellMar>
            <w:top w:w="0" w:type="dxa"/>
            <w:left w:w="0" w:type="dxa"/>
            <w:bottom w:w="0" w:type="dxa"/>
            <w:right w:w="0" w:type="dxa"/>
          </w:tblCellMar>
        </w:tblPrEx>
        <w:trPr>
          <w:trHeight w:val="126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9D9A">
            <w:pPr>
              <w:jc w:val="center"/>
              <w:rPr>
                <w:rFonts w:ascii="黑体" w:hAnsi="宋体" w:eastAsia="黑体" w:cs="黑体"/>
                <w:color w:val="000000"/>
                <w:sz w:val="24"/>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FF7684">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9.三四类手术占比</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67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753A83">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甲综合医院三四类手术占比≥40%，三乙综合医院≥30%得满分，三甲中医医院、中西医结合医院三四类手术占比≥15%，三乙中医医院、中西医结合医院≥10%得满分，二级综合医院、中医医院、中西医结合医院、专科医院、妇幼保健院</w:t>
            </w:r>
            <w:r>
              <w:rPr>
                <w:rFonts w:hint="eastAsia" w:ascii="仿宋_GB2312" w:hAnsi="宋体" w:eastAsia="仿宋_GB2312" w:cs="仿宋_GB2312"/>
                <w:kern w:val="0"/>
                <w:sz w:val="24"/>
              </w:rPr>
              <w:t>二</w:t>
            </w:r>
            <w:r>
              <w:rPr>
                <w:rFonts w:hint="eastAsia" w:ascii="仿宋_GB2312" w:hAnsi="宋体" w:eastAsia="仿宋_GB2312" w:cs="仿宋_GB2312"/>
                <w:color w:val="000000"/>
                <w:kern w:val="0"/>
                <w:sz w:val="24"/>
              </w:rPr>
              <w:t>级手术占比处于上一年度平均水平得基准分8分。每降1个百分点扣0.5分，最多扣2分。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9081">
            <w:pPr>
              <w:jc w:val="center"/>
              <w:rPr>
                <w:rFonts w:hint="default" w:ascii="仿宋_GB2312" w:hAnsi="宋体" w:eastAsia="仿宋_GB2312" w:cs="仿宋_GB2312"/>
                <w:sz w:val="24"/>
                <w:lang w:val="en-US" w:eastAsia="zh-CN"/>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6332">
            <w:pPr>
              <w:jc w:val="center"/>
              <w:rPr>
                <w:rFonts w:hint="default" w:ascii="宋体" w:hAnsi="宋体" w:eastAsia="宋体" w:cs="宋体"/>
                <w:sz w:val="24"/>
                <w:lang w:val="en-US" w:eastAsia="zh-CN"/>
              </w:rPr>
            </w:pPr>
          </w:p>
        </w:tc>
      </w:tr>
      <w:tr w14:paraId="71E74954">
        <w:tblPrEx>
          <w:tblCellMar>
            <w:top w:w="0" w:type="dxa"/>
            <w:left w:w="0" w:type="dxa"/>
            <w:bottom w:w="0" w:type="dxa"/>
            <w:right w:w="0" w:type="dxa"/>
          </w:tblCellMar>
        </w:tblPrEx>
        <w:trPr>
          <w:trHeight w:val="1062"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4DFE">
            <w:pPr>
              <w:jc w:val="center"/>
              <w:rPr>
                <w:rFonts w:ascii="黑体" w:hAnsi="宋体" w:eastAsia="黑体" w:cs="黑体"/>
                <w:color w:val="000000"/>
                <w:sz w:val="24"/>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A8DEA8">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10.医院CMI值</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B3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40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40752A">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三级综合医院≥1.0，二级综合医院≥0.85，三级中医医院及专科医院≥0.8，二级中医医院及专科医院、妇幼保健院≥0.7，得满分，每降低10%扣0.5分，最多扣2分。</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887C">
            <w:pPr>
              <w:jc w:val="center"/>
              <w:rPr>
                <w:rFonts w:hint="default" w:ascii="仿宋_GB2312" w:hAnsi="宋体" w:eastAsia="仿宋_GB2312" w:cs="仿宋_GB2312"/>
                <w:sz w:val="24"/>
                <w:lang w:val="en-US" w:eastAsia="zh-CN"/>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5682">
            <w:pPr>
              <w:jc w:val="center"/>
              <w:rPr>
                <w:rFonts w:hint="default" w:ascii="宋体" w:hAnsi="宋体" w:eastAsia="宋体" w:cs="宋体"/>
                <w:sz w:val="24"/>
                <w:lang w:val="en-US" w:eastAsia="zh-CN"/>
              </w:rPr>
            </w:pPr>
          </w:p>
        </w:tc>
      </w:tr>
      <w:tr w14:paraId="6AA6795D">
        <w:tblPrEx>
          <w:tblCellMar>
            <w:top w:w="0" w:type="dxa"/>
            <w:left w:w="0" w:type="dxa"/>
            <w:bottom w:w="0" w:type="dxa"/>
            <w:right w:w="0" w:type="dxa"/>
          </w:tblCellMar>
        </w:tblPrEx>
        <w:trPr>
          <w:trHeight w:val="540" w:hRule="atLeast"/>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587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合计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37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400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742EA0">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C5F4">
            <w:pPr>
              <w:widowControl/>
              <w:jc w:val="center"/>
              <w:textAlignment w:val="center"/>
              <w:rPr>
                <w:rFonts w:ascii="宋体" w:hAnsi="宋体" w:cs="宋体"/>
                <w:color w:val="000000"/>
                <w:sz w:val="22"/>
                <w:szCs w:val="22"/>
                <w:highlight w:val="yellow"/>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6342">
            <w:pPr>
              <w:rPr>
                <w:rFonts w:hint="default" w:ascii="宋体" w:hAnsi="宋体" w:eastAsia="宋体" w:cs="宋体"/>
                <w:color w:val="000000"/>
                <w:sz w:val="22"/>
                <w:szCs w:val="22"/>
                <w:lang w:val="en-US" w:eastAsia="zh-CN"/>
              </w:rPr>
            </w:pPr>
          </w:p>
        </w:tc>
      </w:tr>
      <w:tr w14:paraId="109FA6DF">
        <w:tblPrEx>
          <w:tblCellMar>
            <w:top w:w="0" w:type="dxa"/>
            <w:left w:w="0" w:type="dxa"/>
            <w:bottom w:w="0" w:type="dxa"/>
            <w:right w:w="0" w:type="dxa"/>
          </w:tblCellMar>
        </w:tblPrEx>
        <w:trPr>
          <w:trHeight w:val="1022" w:hRule="atLeast"/>
        </w:trPr>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6B84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审查意见</w:t>
            </w:r>
          </w:p>
        </w:tc>
        <w:tc>
          <w:tcPr>
            <w:tcW w:w="701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BC9F">
            <w:pPr>
              <w:jc w:val="center"/>
              <w:rPr>
                <w:rFonts w:ascii="宋体" w:hAnsi="宋体" w:cs="宋体"/>
                <w:color w:val="000000"/>
                <w:sz w:val="22"/>
                <w:szCs w:val="22"/>
              </w:rPr>
            </w:pPr>
          </w:p>
        </w:tc>
      </w:tr>
    </w:tbl>
    <w:p w14:paraId="3CA56B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sectPr>
      <w:pgSz w:w="11906" w:h="16838"/>
      <w:pgMar w:top="1701" w:right="1474" w:bottom="1588"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F807">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36F2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36F2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67F6">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3D"/>
    <w:rsid w:val="000C34C1"/>
    <w:rsid w:val="000F32CB"/>
    <w:rsid w:val="00134B8A"/>
    <w:rsid w:val="001842BD"/>
    <w:rsid w:val="00190DB4"/>
    <w:rsid w:val="001B70F9"/>
    <w:rsid w:val="00212678"/>
    <w:rsid w:val="00216AF3"/>
    <w:rsid w:val="00234B09"/>
    <w:rsid w:val="002A054B"/>
    <w:rsid w:val="002A181D"/>
    <w:rsid w:val="002B7476"/>
    <w:rsid w:val="002E2E3D"/>
    <w:rsid w:val="00390D59"/>
    <w:rsid w:val="0041121B"/>
    <w:rsid w:val="00452E4D"/>
    <w:rsid w:val="0045651B"/>
    <w:rsid w:val="00467D72"/>
    <w:rsid w:val="004D2401"/>
    <w:rsid w:val="00555889"/>
    <w:rsid w:val="00560A08"/>
    <w:rsid w:val="005E2CA1"/>
    <w:rsid w:val="006007E0"/>
    <w:rsid w:val="006670F7"/>
    <w:rsid w:val="00693704"/>
    <w:rsid w:val="006C1914"/>
    <w:rsid w:val="00707A00"/>
    <w:rsid w:val="007544B1"/>
    <w:rsid w:val="00794AC1"/>
    <w:rsid w:val="007C26D0"/>
    <w:rsid w:val="007D3995"/>
    <w:rsid w:val="007D6A15"/>
    <w:rsid w:val="00832A27"/>
    <w:rsid w:val="008526AA"/>
    <w:rsid w:val="008A33B4"/>
    <w:rsid w:val="008A52F8"/>
    <w:rsid w:val="008C1D53"/>
    <w:rsid w:val="00903ED5"/>
    <w:rsid w:val="00941808"/>
    <w:rsid w:val="009E4BEE"/>
    <w:rsid w:val="00A85E33"/>
    <w:rsid w:val="00AA0B94"/>
    <w:rsid w:val="00AC3E0B"/>
    <w:rsid w:val="00AE14E9"/>
    <w:rsid w:val="00B83266"/>
    <w:rsid w:val="00B8613C"/>
    <w:rsid w:val="00C2428B"/>
    <w:rsid w:val="00C86E14"/>
    <w:rsid w:val="00D21FFA"/>
    <w:rsid w:val="00E777B4"/>
    <w:rsid w:val="00E7793D"/>
    <w:rsid w:val="00F650CE"/>
    <w:rsid w:val="00FF425B"/>
    <w:rsid w:val="00FF4BD9"/>
    <w:rsid w:val="0269462E"/>
    <w:rsid w:val="09090095"/>
    <w:rsid w:val="0D6C1521"/>
    <w:rsid w:val="19496696"/>
    <w:rsid w:val="1BD62A76"/>
    <w:rsid w:val="1D4444E5"/>
    <w:rsid w:val="1DBD749F"/>
    <w:rsid w:val="1DE33CF8"/>
    <w:rsid w:val="1F04710D"/>
    <w:rsid w:val="221153A1"/>
    <w:rsid w:val="245D1051"/>
    <w:rsid w:val="24940B61"/>
    <w:rsid w:val="2531200F"/>
    <w:rsid w:val="25AD4127"/>
    <w:rsid w:val="2B594E37"/>
    <w:rsid w:val="2BAD1007"/>
    <w:rsid w:val="2C162C60"/>
    <w:rsid w:val="2D7905D1"/>
    <w:rsid w:val="30E373D7"/>
    <w:rsid w:val="340136CF"/>
    <w:rsid w:val="38B70CC1"/>
    <w:rsid w:val="3A9D0F25"/>
    <w:rsid w:val="3E371071"/>
    <w:rsid w:val="434A2E4C"/>
    <w:rsid w:val="441C5524"/>
    <w:rsid w:val="469E38D8"/>
    <w:rsid w:val="535521AD"/>
    <w:rsid w:val="536657CC"/>
    <w:rsid w:val="64C15100"/>
    <w:rsid w:val="66A5237C"/>
    <w:rsid w:val="677E0E43"/>
    <w:rsid w:val="6780639D"/>
    <w:rsid w:val="69B072B6"/>
    <w:rsid w:val="6A653171"/>
    <w:rsid w:val="6BF7296D"/>
    <w:rsid w:val="6CC240FE"/>
    <w:rsid w:val="6D8F36E9"/>
    <w:rsid w:val="6FCA345B"/>
    <w:rsid w:val="70E472E0"/>
    <w:rsid w:val="786655C2"/>
    <w:rsid w:val="79F44631"/>
    <w:rsid w:val="7C2B5D73"/>
    <w:rsid w:val="7C686370"/>
    <w:rsid w:val="7D8BD905"/>
    <w:rsid w:val="8B536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qFormat/>
    <w:uiPriority w:val="0"/>
    <w:rPr>
      <w:rFonts w:ascii="宋体" w:hAnsi="Courier New"/>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列出段落1"/>
    <w:basedOn w:val="1"/>
    <w:qFormat/>
    <w:uiPriority w:val="34"/>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Picture caption|1"/>
    <w:basedOn w:val="1"/>
    <w:qFormat/>
    <w:uiPriority w:val="0"/>
    <w:pPr>
      <w:widowControl w:val="0"/>
      <w:shd w:val="clear" w:color="auto" w:fill="auto"/>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3551</Words>
  <Characters>3750</Characters>
  <Lines>6</Lines>
  <Paragraphs>1</Paragraphs>
  <TotalTime>1</TotalTime>
  <ScaleCrop>false</ScaleCrop>
  <LinksUpToDate>false</LinksUpToDate>
  <CharactersWithSpaces>3809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2021-07-01T23:21:00Z</dcterms:created>
  <dc:creator>微软用户</dc:creator>
  <cp:lastModifiedBy>珏</cp:lastModifiedBy>
  <cp:lastPrinted>2021-07-15T00:29:00Z</cp:lastPrinted>
  <dcterms:modified xsi:type="dcterms:W3CDTF">2025-07-16T08:21:26Z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2CF08ED11C854AF499F6EB8CAB5BFA58</vt:lpwstr>
  </property>
  <property fmtid="{D5CDD505-2E9C-101B-9397-08002B2CF9AE}" pid="4" name="KSOSaveFontToCloudKey">
    <vt:lpwstr>462326146_btnclosed</vt:lpwstr>
  </property>
  <property fmtid="{D5CDD505-2E9C-101B-9397-08002B2CF9AE}" pid="5" name="KSOTemplateDocerSaveRecord">
    <vt:lpwstr>eyJoZGlkIjoiMTEyNTZjOWViZTg3ZGI0M2JkODAwNWMzMjAzYTA3NWIiLCJ1c2VySWQiOiI0NTI3NTczMDcifQ==</vt:lpwstr>
  </property>
</Properties>
</file>