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B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衢江区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电竞产业政策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 w14:paraId="7C7D8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送审稿）</w:t>
      </w:r>
      <w:bookmarkStart w:id="0" w:name="_GoBack"/>
      <w:bookmarkEnd w:id="0"/>
    </w:p>
    <w:p w14:paraId="3A133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为深度挖掘电竞产业潜力，推动文旅体融合发展打造全新经济增长极，加速我区经济结构优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化转型，参照省内外电竞产业政策文件，紧密贴合衢江区实际情况，特制定本政策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2F471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一、支持数字文创产业发展</w:t>
      </w:r>
    </w:p>
    <w:p w14:paraId="00275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（一）支持游戏产品研发上线</w:t>
      </w:r>
    </w:p>
    <w:p w14:paraId="6825E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1.发行游戏支持：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注册在衢江区的公司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获得国家新闻出版署审批通过游戏版号、上年度首次正式上线运营的游戏产品，分别给予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注册在衢江区的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游戏研发企业、游戏运营企业一次性奖励。</w:t>
      </w:r>
    </w:p>
    <w:p w14:paraId="646C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奖励金额：每款产品分别给予游戏研发企业、游戏运营企业各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万元，每家企业每年最高不超过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 w14:paraId="1407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（二）鼓励游戏企业出海发行</w:t>
      </w:r>
    </w:p>
    <w:p w14:paraId="59E32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公开测试支持：对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注册在衢江区的公司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在苹果商店、谷歌商城等平台开展公开测试的游戏产品，根据测试用户数给予支持。</w:t>
      </w:r>
    </w:p>
    <w:p w14:paraId="2BE82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奖励金额：测试用户数5000人（含）以上的，每款游戏给予5万元支持，每家企业每年最高不超过20万元。</w:t>
      </w:r>
    </w:p>
    <w:p w14:paraId="64008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二、支持电子竞技产业落地</w:t>
      </w:r>
    </w:p>
    <w:p w14:paraId="6E970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（一）支持举办顶尖电竞赛事</w:t>
      </w:r>
    </w:p>
    <w:p w14:paraId="43FA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经费补助：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对在衢江区举办赛事的公司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按照赛事等级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给予一次性经费补助。</w:t>
      </w:r>
    </w:p>
    <w:p w14:paraId="5946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奖励金额：</w:t>
      </w:r>
    </w:p>
    <w:p w14:paraId="0DE1C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承办顶尖国际电竞职业赛事（总奖金200万美元及以上）：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奖励350万元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1F546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承办顶级全国电竞职业赛事（总奖金额500万元及以上）：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奖励150万元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ADC3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承办次级全国电竞职业赛事（总奖金额200万元及以上）：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奖励50万元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C0F2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（二）支持电竞俱乐部加快发展</w:t>
      </w:r>
    </w:p>
    <w:p w14:paraId="6CC5EF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赛事成绩奖励：对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落户在衢江区的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参加国际、国内电竞赛事并取得优异成绩的电竞俱乐部给予一次性奖励。</w:t>
      </w:r>
    </w:p>
    <w:p w14:paraId="221B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奖励金额：</w:t>
      </w:r>
    </w:p>
    <w:p w14:paraId="597FA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参加顶尖国际电竞职业赛事并荣获冠、亚、季军的，分别给予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0万元奖励。</w:t>
      </w:r>
    </w:p>
    <w:p w14:paraId="6C639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参加顶级全国电竞职业赛事并荣获冠、亚、季军的，分别给予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0万元奖励。</w:t>
      </w:r>
    </w:p>
    <w:p w14:paraId="0BC6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参加次级全国电竞职业赛事并荣获冠、亚、季军的，分别给予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0万元、10万元奖励。</w:t>
      </w:r>
    </w:p>
    <w:p w14:paraId="5213C7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  <w:lang w:eastAsia="zh-CN"/>
        </w:rPr>
      </w:pPr>
      <w:r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  <w:lang w:val="en-US" w:eastAsia="zh-CN"/>
        </w:rPr>
        <w:t>三</w:t>
      </w:r>
      <w:r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</w:rPr>
        <w:t>、申报</w:t>
      </w:r>
      <w:r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  <w:lang w:eastAsia="zh-CN"/>
        </w:rPr>
        <w:t>管理</w:t>
      </w:r>
    </w:p>
    <w:p w14:paraId="57D678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申报材料：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（1）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《衢江区电竞产业政策（试行）奖励补助资金审批表》（见附件）；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佐证材料。所有材料均应提供原件和复印件，复印件加盖申报主体公章。</w:t>
      </w:r>
    </w:p>
    <w:p w14:paraId="3CF33C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2.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自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202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年1月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日起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至2026年1月XX日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为一个申报周期，各申报对象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于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2026年X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X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日前向区文广旅体局提出申请。</w:t>
      </w:r>
    </w:p>
    <w:p w14:paraId="68D0442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加强对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申报内容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的管理和检查，自觉接受审计等部门对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申报材料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的监督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，积极配合提供详细的佐证材料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414658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对发生较大及以上安全事故、重大服务质量投诉事件且被查实、弄虚作假骗取政策奖励的，当年起3年内不再享受本文件政策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及后续出台的电竞产业政策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，对已颁发的奖金予以收回；构成违法犯罪的，依法移送相关部门</w:t>
      </w: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</w:p>
    <w:p w14:paraId="1B8133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5.同一类型升级评定，只奖励差额部分，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符合多个产业政策的，按照“就高不重复”原则执行。</w:t>
      </w:r>
    </w:p>
    <w:p w14:paraId="57162A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</w:rPr>
      </w:pPr>
      <w:r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  <w:lang w:val="en-US" w:eastAsia="zh-CN"/>
        </w:rPr>
        <w:t>四</w:t>
      </w:r>
      <w:r>
        <w:rPr>
          <w:rFonts w:hint="eastAsia" w:ascii="Times New Roman" w:hAnsi="Times New Roman" w:eastAsia="黑体"/>
          <w:strike w:val="0"/>
          <w:dstrike w:val="0"/>
          <w:color w:val="auto"/>
          <w:u w:val="none"/>
          <w:shd w:val="clear" w:color="auto" w:fill="auto"/>
        </w:rPr>
        <w:t>、附则</w:t>
      </w:r>
    </w:p>
    <w:p w14:paraId="43FFED5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color w:val="auto"/>
          <w:u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本文件自公布之日起生效，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试行一年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文件中所涉及奖励政策从202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年1月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日起</w:t>
      </w:r>
      <w:r>
        <w:rPr>
          <w:rFonts w:hint="eastAsia" w:ascii="Times New Roman" w:hAnsi="Times New Roman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计算，至2026年1月XX日截止</w:t>
      </w:r>
      <w:r>
        <w:rPr>
          <w:rFonts w:hint="eastAsia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今后中央、省、市另有规定</w:t>
      </w:r>
      <w:r>
        <w:rPr>
          <w:rFonts w:hint="default" w:ascii="Times New Roman" w:hAnsi="Times New Roman" w:eastAsia="仿宋_GB2312" w:cs="仿宋_GB2312"/>
          <w:color w:val="auto"/>
          <w:u w:val="none"/>
          <w:shd w:val="clear" w:color="auto" w:fill="auto"/>
          <w:lang w:val="en-US" w:eastAsia="zh-CN"/>
        </w:rPr>
        <w:t>的，按新规定执行。</w:t>
      </w:r>
    </w:p>
    <w:p w14:paraId="63C58C5B">
      <w:pPr>
        <w:pStyle w:val="3"/>
        <w:keepNext w:val="0"/>
        <w:keepLines w:val="0"/>
        <w:pageBreakBefore w:val="0"/>
        <w:widowControl w:val="0"/>
        <w:tabs>
          <w:tab w:val="right" w:pos="72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/>
        <w:jc w:val="both"/>
        <w:textAlignment w:val="auto"/>
        <w:rPr>
          <w:rFonts w:ascii="Times New Roman" w:hAnsi="Times New Roman"/>
          <w:color w:val="auto"/>
          <w:spacing w:val="-11"/>
          <w:u w:val="none"/>
          <w:shd w:val="clear" w:color="auto" w:fill="auto"/>
        </w:rPr>
      </w:pPr>
    </w:p>
    <w:p w14:paraId="7802FB1B">
      <w:pPr>
        <w:pStyle w:val="3"/>
        <w:keepNext w:val="0"/>
        <w:keepLines w:val="0"/>
        <w:pageBreakBefore w:val="0"/>
        <w:widowControl w:val="0"/>
        <w:tabs>
          <w:tab w:val="right" w:pos="724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1503" w:leftChars="290" w:right="0" w:hanging="894" w:hangingChars="300"/>
        <w:jc w:val="both"/>
        <w:textAlignment w:val="auto"/>
        <w:rPr>
          <w:rFonts w:hint="eastAsia" w:ascii="Times New Roman" w:hAnsi="Times New Roman"/>
          <w:b w:val="0"/>
          <w:bCs w:val="0"/>
          <w:color w:val="auto"/>
          <w:u w:val="none"/>
          <w:shd w:val="clear" w:color="auto" w:fill="auto"/>
          <w:lang w:val="en-US" w:eastAsia="zh-CN"/>
        </w:rPr>
      </w:pPr>
      <w:r>
        <w:rPr>
          <w:rFonts w:ascii="Times New Roman" w:hAnsi="Times New Roman"/>
          <w:b w:val="0"/>
          <w:bCs w:val="0"/>
          <w:color w:val="auto"/>
          <w:spacing w:val="-11"/>
          <w:u w:val="none"/>
          <w:shd w:val="clear" w:color="auto" w:fill="auto"/>
        </w:rPr>
        <w:t>附件：</w:t>
      </w:r>
      <w:r>
        <w:rPr>
          <w:rFonts w:hint="eastAsia" w:ascii="Times New Roman" w:hAnsi="Times New Roman" w:cs="仿宋_GB2312"/>
          <w:b w:val="0"/>
          <w:bCs w:val="0"/>
          <w:color w:val="auto"/>
          <w:u w:val="none"/>
          <w:shd w:val="clear" w:color="auto" w:fill="auto"/>
          <w:lang w:val="en-US" w:eastAsia="zh-CN"/>
        </w:rPr>
        <w:t>衢江区电竞产业政策（试行）奖励补助资金审批表</w:t>
      </w:r>
    </w:p>
    <w:p w14:paraId="0528A5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/>
        <w:textAlignment w:val="auto"/>
        <w:rPr>
          <w:rFonts w:hint="eastAsia" w:ascii="Times New Roman" w:hAnsi="Times New Roman"/>
          <w:color w:val="auto"/>
          <w:shd w:val="clear" w:color="auto" w:fill="auto"/>
          <w:lang w:val="en-US" w:eastAsia="zh-CN"/>
        </w:rPr>
      </w:pPr>
    </w:p>
    <w:p w14:paraId="01F72274">
      <w:pPr>
        <w:pStyle w:val="3"/>
        <w:rPr>
          <w:rFonts w:hint="eastAsia" w:ascii="Times New Roman" w:hAnsi="Times New Roman"/>
          <w:color w:val="auto"/>
          <w:shd w:val="clear" w:color="auto" w:fill="auto"/>
          <w:lang w:val="en-US" w:eastAsia="zh-CN"/>
        </w:rPr>
        <w:sectPr>
          <w:pgSz w:w="11910" w:h="16840"/>
          <w:pgMar w:top="1701" w:right="1587" w:bottom="1417" w:left="1587" w:header="0" w:footer="567" w:gutter="0"/>
          <w:pgNumType w:fmt="decimal"/>
          <w:cols w:space="720" w:num="1"/>
        </w:sectPr>
      </w:pPr>
    </w:p>
    <w:p w14:paraId="26CFC9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u w:val="none"/>
          <w:shd w:val="clear" w:color="auto" w:fill="auto"/>
          <w:lang w:val="en-US" w:eastAsia="zh-CN"/>
        </w:rPr>
        <w:t>附件</w:t>
      </w:r>
    </w:p>
    <w:p w14:paraId="6576668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u w:val="none"/>
          <w:shd w:val="clear" w:color="auto" w:fill="auto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sz w:val="36"/>
          <w:szCs w:val="36"/>
          <w:u w:val="none"/>
          <w:shd w:val="clear" w:color="auto" w:fill="auto"/>
          <w:lang w:eastAsia="zh-CN"/>
        </w:rPr>
        <w:t>衢江区电竞产业政策（试行）奖励补助资金审批表</w:t>
      </w:r>
    </w:p>
    <w:p w14:paraId="46660203">
      <w:pPr>
        <w:keepNext w:val="0"/>
        <w:keepLines w:val="0"/>
        <w:pageBreakBefore w:val="0"/>
        <w:widowControl w:val="0"/>
        <w:tabs>
          <w:tab w:val="left" w:pos="1679"/>
          <w:tab w:val="left" w:pos="2279"/>
          <w:tab w:val="left" w:pos="2879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4" w:line="240" w:lineRule="auto"/>
        <w:ind w:left="0" w:right="0" w:firstLine="0"/>
        <w:jc w:val="right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>填表时间：</w:t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ab/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>年</w:t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ab/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>月</w:t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ab/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</w:rPr>
        <w:t>日</w:t>
      </w:r>
      <w:r>
        <w:rPr>
          <w:rFonts w:hint="eastAsia" w:ascii="宋体" w:eastAsia="宋体"/>
          <w:color w:val="auto"/>
          <w:sz w:val="24"/>
          <w:u w:val="none"/>
          <w:shd w:val="clear" w:color="auto" w:fill="auto"/>
          <w:lang w:val="en-US" w:eastAsia="zh-CN"/>
        </w:rPr>
        <w:t xml:space="preserve">       </w:t>
      </w:r>
    </w:p>
    <w:tbl>
      <w:tblPr>
        <w:tblStyle w:val="6"/>
        <w:tblW w:w="129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61"/>
        <w:gridCol w:w="70"/>
        <w:gridCol w:w="1244"/>
        <w:gridCol w:w="676"/>
        <w:gridCol w:w="1720"/>
        <w:gridCol w:w="1710"/>
        <w:gridCol w:w="970"/>
        <w:gridCol w:w="1420"/>
        <w:gridCol w:w="1250"/>
        <w:gridCol w:w="2100"/>
      </w:tblGrid>
      <w:tr w14:paraId="3582F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10" w:type="dxa"/>
            <w:vMerge w:val="restart"/>
            <w:vAlign w:val="center"/>
          </w:tcPr>
          <w:p w14:paraId="1FF558C2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zh-CN" w:bidi="ar-SA"/>
              </w:rPr>
              <w:t>申请对象</w:t>
            </w:r>
          </w:p>
        </w:tc>
        <w:tc>
          <w:tcPr>
            <w:tcW w:w="1061" w:type="dxa"/>
            <w:vAlign w:val="center"/>
          </w:tcPr>
          <w:p w14:paraId="120B8E58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en-US" w:bidi="ar-SA"/>
              </w:rPr>
            </w:pPr>
            <w:r>
              <w:rPr>
                <w:rFonts w:hint="eastAsia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en-US" w:bidi="ar-SA"/>
              </w:rPr>
              <w:t>单位</w:t>
            </w:r>
          </w:p>
        </w:tc>
        <w:tc>
          <w:tcPr>
            <w:tcW w:w="1314" w:type="dxa"/>
            <w:gridSpan w:val="2"/>
            <w:vAlign w:val="center"/>
          </w:tcPr>
          <w:p w14:paraId="208BAB7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en-US" w:bidi="ar-SA"/>
              </w:rPr>
              <w:t>名 称</w:t>
            </w:r>
          </w:p>
        </w:tc>
        <w:tc>
          <w:tcPr>
            <w:tcW w:w="2396" w:type="dxa"/>
            <w:gridSpan w:val="2"/>
            <w:vAlign w:val="center"/>
          </w:tcPr>
          <w:p w14:paraId="28F4E188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  <w:tc>
          <w:tcPr>
            <w:tcW w:w="1710" w:type="dxa"/>
            <w:vAlign w:val="center"/>
          </w:tcPr>
          <w:p w14:paraId="46355646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联系人</w:t>
            </w:r>
          </w:p>
        </w:tc>
        <w:tc>
          <w:tcPr>
            <w:tcW w:w="2390" w:type="dxa"/>
            <w:gridSpan w:val="2"/>
            <w:vAlign w:val="center"/>
          </w:tcPr>
          <w:p w14:paraId="1F99DEC3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  <w:tc>
          <w:tcPr>
            <w:tcW w:w="1250" w:type="dxa"/>
            <w:vAlign w:val="center"/>
          </w:tcPr>
          <w:p w14:paraId="002F5E39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5B971BCF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</w:tr>
      <w:tr w14:paraId="4562D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10" w:type="dxa"/>
            <w:vMerge w:val="continue"/>
            <w:tcBorders>
              <w:top w:val="nil"/>
            </w:tcBorders>
          </w:tcPr>
          <w:p w14:paraId="7C9688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en-US" w:bidi="ar-SA"/>
              </w:rPr>
            </w:pPr>
          </w:p>
        </w:tc>
        <w:tc>
          <w:tcPr>
            <w:tcW w:w="1061" w:type="dxa"/>
            <w:vAlign w:val="center"/>
          </w:tcPr>
          <w:p w14:paraId="5D9EAC31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eastAsia" w:cs="宋体"/>
                <w:color w:val="auto"/>
                <w:sz w:val="24"/>
                <w:szCs w:val="22"/>
                <w:u w:val="none"/>
                <w:shd w:val="clear" w:color="auto" w:fill="auto"/>
                <w:lang w:val="en-US" w:eastAsia="zh-CN" w:bidi="ar-SA"/>
              </w:rPr>
              <w:t>□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个人</w:t>
            </w:r>
          </w:p>
        </w:tc>
        <w:tc>
          <w:tcPr>
            <w:tcW w:w="1314" w:type="dxa"/>
            <w:gridSpan w:val="2"/>
            <w:vAlign w:val="center"/>
          </w:tcPr>
          <w:p w14:paraId="1290D451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姓 名</w:t>
            </w:r>
          </w:p>
        </w:tc>
        <w:tc>
          <w:tcPr>
            <w:tcW w:w="2396" w:type="dxa"/>
            <w:gridSpan w:val="2"/>
            <w:vAlign w:val="center"/>
          </w:tcPr>
          <w:p w14:paraId="5092F9A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  <w:tc>
          <w:tcPr>
            <w:tcW w:w="1710" w:type="dxa"/>
            <w:vAlign w:val="center"/>
          </w:tcPr>
          <w:p w14:paraId="76AECA2C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身份证号</w:t>
            </w:r>
          </w:p>
        </w:tc>
        <w:tc>
          <w:tcPr>
            <w:tcW w:w="2390" w:type="dxa"/>
            <w:gridSpan w:val="2"/>
            <w:tcBorders>
              <w:right w:val="single" w:color="auto" w:sz="4" w:space="0"/>
            </w:tcBorders>
            <w:vAlign w:val="center"/>
          </w:tcPr>
          <w:p w14:paraId="56B58E39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  <w:tc>
          <w:tcPr>
            <w:tcW w:w="1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34139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  <w:t>联系电话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 w14:paraId="7D655616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left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en-US"/>
              </w:rPr>
            </w:pPr>
          </w:p>
        </w:tc>
      </w:tr>
      <w:tr w14:paraId="59CB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71" w:type="dxa"/>
            <w:gridSpan w:val="2"/>
            <w:vAlign w:val="center"/>
          </w:tcPr>
          <w:p w14:paraId="7C690B7E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申请奖励补助的</w:t>
            </w:r>
          </w:p>
          <w:p w14:paraId="40F45683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项目名称</w:t>
            </w:r>
          </w:p>
        </w:tc>
        <w:tc>
          <w:tcPr>
            <w:tcW w:w="3710" w:type="dxa"/>
            <w:gridSpan w:val="4"/>
            <w:tcBorders>
              <w:right w:val="single" w:color="auto" w:sz="4" w:space="0"/>
            </w:tcBorders>
            <w:vAlign w:val="center"/>
          </w:tcPr>
          <w:p w14:paraId="430FF1F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Times New Roman" w:eastAsia="宋体"/>
                <w:color w:val="auto"/>
                <w:sz w:val="24"/>
                <w:u w:val="none"/>
                <w:shd w:val="clear" w:color="auto" w:fill="auto"/>
                <w:lang w:eastAsia="zh-CN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8B8A5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申请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奖励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补助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资金（元）</w:t>
            </w:r>
          </w:p>
        </w:tc>
        <w:tc>
          <w:tcPr>
            <w:tcW w:w="5740" w:type="dxa"/>
            <w:gridSpan w:val="4"/>
            <w:tcBorders>
              <w:left w:val="single" w:color="auto" w:sz="4" w:space="0"/>
            </w:tcBorders>
            <w:vAlign w:val="center"/>
          </w:tcPr>
          <w:p w14:paraId="0BD97727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default" w:ascii="Times New Roman"/>
                <w:color w:val="auto"/>
                <w:sz w:val="24"/>
                <w:u w:val="none"/>
                <w:shd w:val="clear" w:color="auto" w:fill="auto"/>
              </w:rPr>
            </w:pPr>
          </w:p>
        </w:tc>
      </w:tr>
      <w:tr w14:paraId="443D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6" w:hRule="atLeast"/>
        </w:trPr>
        <w:tc>
          <w:tcPr>
            <w:tcW w:w="12931" w:type="dxa"/>
            <w:gridSpan w:val="11"/>
            <w:vAlign w:val="center"/>
          </w:tcPr>
          <w:p w14:paraId="4653074C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beforeAutospacing="0" w:afterAutospacing="0" w:line="240" w:lineRule="auto"/>
              <w:ind w:left="0" w:right="0"/>
              <w:jc w:val="both"/>
              <w:textAlignment w:val="auto"/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申报单位承诺：</w:t>
            </w:r>
          </w:p>
          <w:p w14:paraId="5D21685C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beforeAutospacing="0" w:afterAutospacing="0" w:line="240" w:lineRule="auto"/>
              <w:ind w:left="0" w:right="0" w:firstLine="480" w:firstLineChars="200"/>
              <w:jc w:val="both"/>
              <w:textAlignment w:val="auto"/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本单位郑重承诺，所填内容和申报材料真实、有效，并承担相应的法律责任。</w:t>
            </w:r>
          </w:p>
          <w:p w14:paraId="01B5B401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beforeAutospacing="0" w:afterAutospacing="0" w:line="240" w:lineRule="auto"/>
              <w:ind w:left="0" w:right="0"/>
              <w:jc w:val="both"/>
              <w:textAlignment w:val="auto"/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</w:pPr>
          </w:p>
          <w:p w14:paraId="24DEA31F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6"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申报单位（盖章）：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                          法定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负责人（签字）：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       </w:t>
            </w:r>
          </w:p>
        </w:tc>
      </w:tr>
      <w:tr w14:paraId="4A928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841" w:type="dxa"/>
            <w:gridSpan w:val="3"/>
            <w:vAlign w:val="center"/>
          </w:tcPr>
          <w:p w14:paraId="5AD5FDD0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衢江区文化和广电旅游体育局相关科室初审意见</w:t>
            </w:r>
          </w:p>
        </w:tc>
        <w:tc>
          <w:tcPr>
            <w:tcW w:w="1920" w:type="dxa"/>
            <w:gridSpan w:val="2"/>
            <w:vAlign w:val="bottom"/>
          </w:tcPr>
          <w:p w14:paraId="0DD68DC2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</w:p>
          <w:p w14:paraId="102BA8B4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right"/>
              <w:textAlignment w:val="auto"/>
              <w:rPr>
                <w:rFonts w:hint="eastAsia" w:eastAsia="宋体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日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720" w:type="dxa"/>
            <w:vAlign w:val="center"/>
          </w:tcPr>
          <w:p w14:paraId="74DD43B9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衢江区文化和广电旅游体育局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eastAsia="zh-CN"/>
              </w:rPr>
              <w:t>分管领导审核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意见</w:t>
            </w:r>
          </w:p>
        </w:tc>
        <w:tc>
          <w:tcPr>
            <w:tcW w:w="2680" w:type="dxa"/>
            <w:gridSpan w:val="2"/>
            <w:vAlign w:val="bottom"/>
          </w:tcPr>
          <w:p w14:paraId="55AB6549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34"/>
                <w:tab w:val="left" w:pos="31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beforeAutospacing="0" w:afterAutospacing="0" w:line="240" w:lineRule="auto"/>
              <w:ind w:right="0"/>
              <w:jc w:val="right"/>
              <w:textAlignment w:val="auto"/>
              <w:rPr>
                <w:rFonts w:hint="eastAsia" w:eastAsia="宋体"/>
                <w:color w:val="auto"/>
                <w:sz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日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21262ABD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衢江区文化和广电旅游体育局意见</w:t>
            </w:r>
          </w:p>
        </w:tc>
        <w:tc>
          <w:tcPr>
            <w:tcW w:w="3350" w:type="dxa"/>
            <w:gridSpan w:val="2"/>
            <w:vAlign w:val="bottom"/>
          </w:tcPr>
          <w:p w14:paraId="5101C6F2">
            <w:pPr>
              <w:pStyle w:val="8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535"/>
                <w:tab w:val="left" w:pos="31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beforeAutospacing="0" w:afterAutospacing="0" w:line="240" w:lineRule="auto"/>
              <w:ind w:right="0"/>
              <w:jc w:val="right"/>
              <w:textAlignment w:val="auto"/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</w:pP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年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月</w:t>
            </w:r>
            <w:r>
              <w:rPr>
                <w:rFonts w:hint="eastAsia"/>
                <w:color w:val="auto"/>
                <w:sz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/>
                <w:color w:val="auto"/>
                <w:sz w:val="24"/>
                <w:u w:val="none"/>
                <w:shd w:val="clear" w:color="auto" w:fill="auto"/>
              </w:rPr>
              <w:t>日</w:t>
            </w:r>
          </w:p>
        </w:tc>
      </w:tr>
    </w:tbl>
    <w:p w14:paraId="4FC48F5A">
      <w:pPr>
        <w:keepNext w:val="0"/>
        <w:keepLines w:val="0"/>
        <w:pageBreakBefore w:val="0"/>
        <w:widowControl w:val="0"/>
        <w:tabs>
          <w:tab w:val="left" w:pos="1679"/>
          <w:tab w:val="left" w:pos="2279"/>
          <w:tab w:val="left" w:pos="28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240" w:lineRule="auto"/>
        <w:ind w:left="0" w:right="0" w:firstLine="0"/>
        <w:jc w:val="both"/>
        <w:textAlignment w:val="auto"/>
      </w:pPr>
      <w:r>
        <w:rPr>
          <w:rFonts w:hint="eastAsia" w:ascii="宋体" w:hAnsi="宋体" w:eastAsia="宋体"/>
          <w:b/>
          <w:color w:val="auto"/>
          <w:sz w:val="24"/>
          <w:szCs w:val="24"/>
          <w:u w:val="none"/>
          <w:shd w:val="clear" w:color="auto" w:fill="auto"/>
        </w:rPr>
        <w:t>说明：</w:t>
      </w:r>
      <w:r>
        <w:rPr>
          <w:rFonts w:ascii="Times New Roman" w:hAnsi="Times New Roman" w:eastAsia="Times New Roman"/>
          <w:color w:val="auto"/>
          <w:sz w:val="24"/>
          <w:szCs w:val="24"/>
          <w:u w:val="none"/>
          <w:shd w:val="clear" w:color="auto" w:fill="auto"/>
        </w:rPr>
        <w:t>1.</w:t>
      </w:r>
      <w:r>
        <w:rPr>
          <w:rFonts w:hint="eastAsia" w:ascii="宋体" w:hAnsi="宋体" w:eastAsia="宋体"/>
          <w:color w:val="auto"/>
          <w:sz w:val="24"/>
          <w:szCs w:val="24"/>
          <w:u w:val="none"/>
          <w:shd w:val="clear" w:color="auto" w:fill="auto"/>
        </w:rPr>
        <w:t>凡申请奖励补助资金的</w:t>
      </w:r>
      <w:r>
        <w:rPr>
          <w:rFonts w:hint="eastAsia" w:ascii="宋体" w:hAnsi="宋体" w:eastAsia="宋体"/>
          <w:color w:val="auto"/>
          <w:sz w:val="24"/>
          <w:szCs w:val="24"/>
          <w:u w:val="none"/>
          <w:shd w:val="clear" w:color="auto" w:fill="auto"/>
          <w:lang w:eastAsia="zh-CN"/>
        </w:rPr>
        <w:t>单位</w:t>
      </w:r>
      <w:r>
        <w:rPr>
          <w:rFonts w:hint="eastAsia" w:ascii="宋体" w:hAnsi="宋体" w:eastAsia="宋体"/>
          <w:color w:val="auto"/>
          <w:sz w:val="24"/>
          <w:szCs w:val="24"/>
          <w:u w:val="none"/>
          <w:shd w:val="clear" w:color="auto" w:fill="auto"/>
        </w:rPr>
        <w:t>或个人，此表必填；</w:t>
      </w:r>
      <w:r>
        <w:rPr>
          <w:rFonts w:ascii="Times New Roman" w:hAnsi="Times New Roman" w:eastAsia="Times New Roman"/>
          <w:color w:val="auto"/>
          <w:sz w:val="24"/>
          <w:szCs w:val="24"/>
          <w:u w:val="none"/>
          <w:shd w:val="clear" w:color="auto" w:fill="auto"/>
        </w:rPr>
        <w:t>2.</w:t>
      </w:r>
      <w:r>
        <w:rPr>
          <w:rFonts w:hint="eastAsia" w:ascii="宋体" w:hAnsi="宋体" w:eastAsia="宋体"/>
          <w:color w:val="auto"/>
          <w:sz w:val="24"/>
          <w:szCs w:val="24"/>
          <w:u w:val="none"/>
          <w:shd w:val="clear" w:color="auto" w:fill="auto"/>
        </w:rPr>
        <w:t>在对应的框内</w:t>
      </w:r>
      <w:r>
        <w:rPr>
          <w:rFonts w:ascii="Times New Roman" w:hAnsi="Times New Roman" w:eastAsia="Times New Roman"/>
          <w:color w:val="auto"/>
          <w:sz w:val="24"/>
          <w:szCs w:val="24"/>
          <w:u w:val="none"/>
          <w:shd w:val="clear" w:color="auto" w:fill="auto"/>
        </w:rPr>
        <w:t>□</w:t>
      </w:r>
      <w:r>
        <w:rPr>
          <w:rFonts w:hint="eastAsia" w:ascii="宋体" w:hAnsi="宋体" w:eastAsia="宋体"/>
          <w:color w:val="auto"/>
          <w:sz w:val="24"/>
          <w:szCs w:val="24"/>
          <w:u w:val="none"/>
          <w:shd w:val="clear" w:color="auto" w:fill="auto"/>
        </w:rPr>
        <w:t>划</w:t>
      </w:r>
      <w:r>
        <w:rPr>
          <w:rFonts w:ascii="Times New Roman" w:hAnsi="Times New Roman" w:eastAsia="Times New Roman"/>
          <w:color w:val="auto"/>
          <w:sz w:val="24"/>
          <w:szCs w:val="24"/>
          <w:u w:val="none"/>
          <w:shd w:val="clear" w:color="auto" w:fill="auto"/>
        </w:rPr>
        <w:t>“√”</w:t>
      </w:r>
      <w:r>
        <w:rPr>
          <w:rFonts w:hint="eastAsia" w:ascii="Times New Roman" w:hAnsi="Times New Roman" w:eastAsia="宋体"/>
          <w:color w:val="auto"/>
          <w:sz w:val="24"/>
          <w:szCs w:val="24"/>
          <w:u w:val="none"/>
          <w:shd w:val="clear" w:color="auto" w:fill="auto"/>
          <w:lang w:eastAsia="zh-CN"/>
        </w:rPr>
        <w:t>；</w:t>
      </w:r>
      <w:r>
        <w:rPr>
          <w:rFonts w:hint="eastAsia" w:ascii="Times New Roman" w:hAnsi="Times New Roman" w:eastAsia="宋体"/>
          <w:color w:val="auto"/>
          <w:sz w:val="24"/>
          <w:szCs w:val="24"/>
          <w:u w:val="none"/>
          <w:shd w:val="clear" w:color="auto" w:fill="auto"/>
          <w:lang w:val="en-US" w:eastAsia="zh-CN"/>
        </w:rPr>
        <w:t>3.此表一式三份，区文广旅体局初审科室、财务和区财政局各留一份。</w:t>
      </w:r>
    </w:p>
    <w:sectPr>
      <w:pgSz w:w="16838" w:h="11911" w:orient="landscape"/>
      <w:pgMar w:top="1587" w:right="1701" w:bottom="1587" w:left="1417" w:header="0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43EF8"/>
    <w:rsid w:val="18943EF8"/>
    <w:rsid w:val="3B674E03"/>
    <w:rsid w:val="714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Body Text First Indent"/>
    <w:basedOn w:val="3"/>
    <w:next w:val="3"/>
    <w:unhideWhenUsed/>
    <w:qFormat/>
    <w:uiPriority w:val="0"/>
    <w:pPr>
      <w:ind w:firstLine="420" w:firstLineChars="100"/>
    </w:pPr>
  </w:style>
  <w:style w:type="paragraph" w:styleId="5">
    <w:name w:val="toc 1"/>
    <w:basedOn w:val="1"/>
    <w:next w:val="1"/>
    <w:unhideWhenUsed/>
    <w:qFormat/>
    <w:uiPriority w:val="39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2025-01-02T07:11:00Z</dcterms:created>
  <dc:creator>卡皮巴拉</dc:creator>
  <cp:lastModifiedBy>卡皮巴拉</cp:lastModifiedBy>
  <dcterms:modified xsi:type="dcterms:W3CDTF">2025-01-02T07:13:11Z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8970E763BAB44220AC2F298AA4181260_11</vt:lpwstr>
  </property>
  <property fmtid="{D5CDD505-2E9C-101B-9397-08002B2CF9AE}" pid="4" name="KSOTemplateDocerSaveRecord">
    <vt:lpwstr>eyJoZGlkIjoiNWVhZmFjMDA2NGEzYjk4NWIzMWU5N2QxMDNjYmEwMjYiLCJ1c2VySWQiOiIxNTkwMTA1Nzc5In0=</vt:lpwstr>
  </property>
</Properties>
</file>