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东阳市</w:t>
      </w:r>
      <w:r>
        <w:rPr>
          <w:rFonts w:ascii="方正小标宋简体" w:hAnsi="方正小标宋简体" w:eastAsia="方正小标宋简体" w:cs="方正小标宋简体"/>
          <w:bCs/>
          <w:color w:val="000000"/>
          <w:sz w:val="44"/>
          <w:szCs w:val="44"/>
        </w:rPr>
        <w:t>内培</w:t>
      </w:r>
      <w:r>
        <w:rPr>
          <w:rFonts w:hint="eastAsia" w:ascii="方正小标宋简体" w:hAnsi="方正小标宋简体" w:eastAsia="方正小标宋简体" w:cs="方正小标宋简体"/>
          <w:bCs/>
          <w:color w:val="000000"/>
          <w:sz w:val="44"/>
          <w:szCs w:val="44"/>
        </w:rPr>
        <w:t>工业企业“阳光供地”</w:t>
      </w:r>
      <w:r>
        <w:rPr>
          <w:rFonts w:ascii="方正小标宋简体" w:hAnsi="方正小标宋简体" w:eastAsia="方正小标宋简体" w:cs="方正小标宋简体"/>
          <w:bCs/>
          <w:color w:val="000000"/>
          <w:sz w:val="44"/>
          <w:szCs w:val="44"/>
        </w:rPr>
        <w:t>实施</w:t>
      </w:r>
      <w:r>
        <w:rPr>
          <w:rFonts w:hint="eastAsia" w:ascii="方正小标宋简体" w:hAnsi="方正小标宋简体" w:eastAsia="方正小标宋简体" w:cs="方正小标宋简体"/>
          <w:bCs/>
          <w:color w:val="000000"/>
          <w:sz w:val="44"/>
          <w:szCs w:val="44"/>
        </w:rPr>
        <w:t>办法</w:t>
      </w:r>
    </w:p>
    <w:p>
      <w:pPr>
        <w:pStyle w:val="2"/>
        <w:ind w:firstLine="320"/>
        <w:rPr>
          <w:rFonts w:ascii="楷体_GB2312" w:hAnsi="楷体_GB2312" w:eastAsia="楷体_GB2312" w:cs="楷体_GB2312"/>
          <w:sz w:val="32"/>
          <w:szCs w:val="32"/>
        </w:rPr>
      </w:pPr>
      <w:r>
        <w:rPr>
          <w:rFonts w:hint="eastAsia" w:ascii="楷体_GB2312" w:hAnsi="楷体_GB2312" w:eastAsia="楷体_GB2312" w:cs="楷体_GB2312"/>
          <w:bCs/>
          <w:color w:val="000000"/>
          <w:sz w:val="32"/>
          <w:szCs w:val="32"/>
        </w:rPr>
        <w:t>（征求意见稿）</w:t>
      </w:r>
    </w:p>
    <w:p>
      <w:pPr>
        <w:spacing w:line="600" w:lineRule="exact"/>
        <w:ind w:firstLine="640" w:firstLineChars="200"/>
        <w:rPr>
          <w:rFonts w:ascii="仿宋_GB2312" w:hAnsi="仿宋_GB2312" w:eastAsia="仿宋_GB2312" w:cs="仿宋_GB2312"/>
          <w:color w:val="000000"/>
          <w:sz w:val="32"/>
          <w:szCs w:val="32"/>
        </w:rPr>
      </w:pPr>
      <w:bookmarkStart w:id="0" w:name="OLE_LINK3"/>
      <w:r>
        <w:rPr>
          <w:rFonts w:hint="eastAsia" w:ascii="仿宋_GB2312" w:hAnsi="仿宋_GB2312" w:eastAsia="仿宋_GB2312" w:cs="仿宋_GB2312"/>
          <w:color w:val="000000"/>
          <w:sz w:val="32"/>
          <w:szCs w:val="32"/>
        </w:rPr>
        <w:t>为</w:t>
      </w:r>
      <w:bookmarkStart w:id="1" w:name="OLE_LINK2"/>
      <w:r>
        <w:rPr>
          <w:rFonts w:hint="eastAsia" w:ascii="仿宋_GB2312" w:hAnsi="仿宋_GB2312" w:eastAsia="仿宋_GB2312" w:cs="仿宋_GB2312"/>
          <w:color w:val="000000"/>
          <w:sz w:val="32"/>
          <w:szCs w:val="32"/>
        </w:rPr>
        <w:t>进一步营造公平公正的营商环境</w:t>
      </w:r>
      <w:bookmarkEnd w:id="1"/>
      <w:r>
        <w:rPr>
          <w:rFonts w:hint="eastAsia" w:ascii="仿宋_GB2312" w:hAnsi="仿宋_GB2312" w:eastAsia="仿宋_GB2312" w:cs="仿宋_GB2312"/>
          <w:color w:val="000000"/>
          <w:sz w:val="32"/>
          <w:szCs w:val="32"/>
        </w:rPr>
        <w:t>，推动工业用地“阳光”配置，助力东阳工业经济高质量发展，根据《浙江省人民政府关于深化“亩均论英雄”改革的指导意见》、《东阳市工业用地全生命周期管理实施办法》等文件精神，结合本市实际，制定本办法。</w:t>
      </w:r>
    </w:p>
    <w:bookmarkEnd w:id="0"/>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bCs/>
          <w:color w:val="000000"/>
          <w:sz w:val="32"/>
          <w:szCs w:val="32"/>
        </w:rPr>
        <w:t>一、</w:t>
      </w:r>
      <w:r>
        <w:rPr>
          <w:rFonts w:hint="eastAsia" w:ascii="Times New Roman" w:hAnsi="Times New Roman" w:eastAsia="黑体" w:cs="Times New Roman"/>
          <w:bCs/>
          <w:color w:val="000000"/>
          <w:sz w:val="32"/>
          <w:szCs w:val="32"/>
        </w:rPr>
        <w:t>申请供地条件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1.本市行政区域内规上企业；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2.上年度企业亩产效益综合评价为A、B类</w:t>
      </w:r>
      <w:r>
        <w:rPr>
          <w:rFonts w:hint="eastAsia" w:ascii="Times New Roman" w:hAnsi="Times New Roman" w:eastAsia="仿宋_GB2312" w:cs="Times New Roman"/>
          <w:color w:val="000000"/>
          <w:sz w:val="32"/>
          <w:szCs w:val="32"/>
        </w:rPr>
        <w:t>，且</w:t>
      </w:r>
      <w:bookmarkStart w:id="2" w:name="OLE_LINK7"/>
      <w:r>
        <w:rPr>
          <w:rFonts w:hint="eastAsia" w:ascii="Times New Roman" w:hAnsi="Times New Roman" w:eastAsia="仿宋_GB2312" w:cs="Times New Roman"/>
          <w:color w:val="000000"/>
          <w:sz w:val="32"/>
          <w:szCs w:val="32"/>
        </w:rPr>
        <w:t>亩均税收不低于12万元</w:t>
      </w:r>
      <w:bookmarkEnd w:id="2"/>
      <w:r>
        <w:rPr>
          <w:rFonts w:hint="eastAsia" w:ascii="Times New Roman" w:hAnsi="Times New Roman" w:eastAsia="仿宋_GB2312" w:cs="Times New Roman"/>
          <w:color w:val="000000"/>
          <w:sz w:val="32"/>
          <w:szCs w:val="32"/>
        </w:rPr>
        <w:t>；</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3.企业工业产值</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税收近三年</w:t>
      </w:r>
      <w:r>
        <w:rPr>
          <w:rFonts w:hint="eastAsia" w:ascii="Times New Roman" w:hAnsi="Times New Roman" w:eastAsia="仿宋_GB2312" w:cs="Times New Roman"/>
          <w:sz w:val="32"/>
          <w:szCs w:val="32"/>
        </w:rPr>
        <w:t>连续</w:t>
      </w:r>
      <w:r>
        <w:rPr>
          <w:rFonts w:ascii="Times New Roman" w:hAnsi="Times New Roman" w:eastAsia="仿宋_GB2312" w:cs="Times New Roman"/>
          <w:sz w:val="32"/>
          <w:szCs w:val="32"/>
        </w:rPr>
        <w:t>正增长</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企业成立</w:t>
      </w:r>
      <w:r>
        <w:rPr>
          <w:rFonts w:hint="eastAsia" w:ascii="Times New Roman" w:hAnsi="Times New Roman" w:eastAsia="仿宋_GB2312" w:cs="Times New Roman"/>
          <w:sz w:val="32"/>
          <w:szCs w:val="32"/>
        </w:rPr>
        <w:t>不满三年</w:t>
      </w:r>
      <w:r>
        <w:rPr>
          <w:rFonts w:hint="eastAsia" w:ascii="Times New Roman" w:hAnsi="Times New Roman" w:eastAsia="仿宋_GB2312" w:cs="Times New Roman"/>
          <w:sz w:val="32"/>
          <w:szCs w:val="32"/>
          <w:lang w:eastAsia="zh-CN"/>
        </w:rPr>
        <w:t>的当年产值达</w:t>
      </w:r>
      <w:r>
        <w:rPr>
          <w:rFonts w:hint="eastAsia" w:ascii="Times New Roman" w:hAnsi="Times New Roman" w:eastAsia="仿宋_GB2312" w:cs="Times New Roman"/>
          <w:sz w:val="32"/>
          <w:szCs w:val="32"/>
          <w:lang w:val="en-US" w:eastAsia="zh-CN"/>
        </w:rPr>
        <w:t>5000万元以上</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企业申请用地项目指标必须满足省“标准地”控制性指标要求</w:t>
      </w:r>
      <w:r>
        <w:rPr>
          <w:rFonts w:hint="eastAsia" w:ascii="Times New Roman" w:hAnsi="Times New Roman" w:eastAsia="仿宋_GB2312" w:cs="Times New Roman"/>
          <w:color w:val="000000"/>
          <w:sz w:val="32"/>
          <w:szCs w:val="32"/>
        </w:rPr>
        <w:t>且亩均税收不低于</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万元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w:t>
      </w:r>
      <w:r>
        <w:rPr>
          <w:rFonts w:hint="eastAsia" w:ascii="Times New Roman" w:hAnsi="Times New Roman" w:eastAsia="黑体" w:cs="Times New Roman"/>
          <w:bCs/>
          <w:sz w:val="32"/>
          <w:szCs w:val="32"/>
        </w:rPr>
        <w:t>阳光供地</w:t>
      </w:r>
      <w:r>
        <w:rPr>
          <w:rFonts w:ascii="Times New Roman" w:hAnsi="Times New Roman" w:eastAsia="黑体" w:cs="Times New Roman"/>
          <w:bCs/>
          <w:sz w:val="32"/>
          <w:szCs w:val="32"/>
        </w:rPr>
        <w:t>流程</w:t>
      </w:r>
    </w:p>
    <w:p>
      <w:pPr>
        <w:spacing w:line="600" w:lineRule="exact"/>
        <w:ind w:firstLine="640" w:firstLineChars="200"/>
        <w:rPr>
          <w:rFonts w:eastAsia="黑体"/>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地块</w:t>
      </w:r>
      <w:r>
        <w:rPr>
          <w:rFonts w:ascii="Times New Roman" w:hAnsi="Times New Roman" w:eastAsia="楷体_GB2312" w:cs="Times New Roman"/>
          <w:sz w:val="32"/>
          <w:szCs w:val="32"/>
        </w:rPr>
        <w:t>收集。</w:t>
      </w:r>
      <w:r>
        <w:rPr>
          <w:rFonts w:hint="eastAsia" w:ascii="仿宋_GB2312" w:hAnsi="仿宋_GB2312" w:eastAsia="仿宋_GB2312" w:cs="仿宋_GB2312"/>
          <w:sz w:val="32"/>
          <w:szCs w:val="32"/>
        </w:rPr>
        <w:t>各</w:t>
      </w:r>
      <w:r>
        <w:rPr>
          <w:rFonts w:hint="eastAsia" w:ascii="Times New Roman" w:hAnsi="Times New Roman" w:eastAsia="仿宋_GB2312" w:cs="Times New Roman"/>
          <w:sz w:val="32"/>
          <w:szCs w:val="32"/>
        </w:rPr>
        <w:t>乡镇街道、开发区</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向“阳光供地”系统提交拟出让成熟地块（指已完成政策处理、用地审批、三通一平等前期工作，具备直接出让条件的建设用地）信息，包括地块区域位置、面积大小、入驻行业类别（</w:t>
      </w:r>
      <w:bookmarkStart w:id="3" w:name="OLE_LINK14"/>
      <w:bookmarkStart w:id="4" w:name="OLE_LINK13"/>
      <w:r>
        <w:rPr>
          <w:rFonts w:hint="eastAsia" w:ascii="Times New Roman" w:hAnsi="Times New Roman" w:eastAsia="仿宋_GB2312" w:cs="Times New Roman"/>
          <w:sz w:val="32"/>
          <w:szCs w:val="32"/>
        </w:rPr>
        <w:t>按照国民经济</w:t>
      </w:r>
      <w:r>
        <w:rPr>
          <w:rFonts w:hint="eastAsia" w:ascii="Times New Roman" w:hAnsi="Times New Roman" w:eastAsia="仿宋_GB2312" w:cs="Times New Roman"/>
          <w:sz w:val="32"/>
          <w:szCs w:val="32"/>
          <w:lang w:eastAsia="zh-CN"/>
        </w:rPr>
        <w:t>行业三级代码</w:t>
      </w:r>
      <w:r>
        <w:rPr>
          <w:rFonts w:hint="eastAsia" w:ascii="Times New Roman" w:hAnsi="Times New Roman" w:eastAsia="仿宋_GB2312" w:cs="Times New Roman"/>
          <w:sz w:val="32"/>
          <w:szCs w:val="32"/>
        </w:rPr>
        <w:t>分类</w:t>
      </w:r>
      <w:bookmarkEnd w:id="3"/>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允许1-2个行业</w:t>
      </w:r>
      <w:bookmarkEnd w:id="4"/>
      <w:r>
        <w:rPr>
          <w:rFonts w:hint="eastAsia" w:ascii="Times New Roman" w:hAnsi="Times New Roman" w:eastAsia="仿宋_GB2312" w:cs="Times New Roman"/>
          <w:sz w:val="32"/>
          <w:szCs w:val="32"/>
        </w:rPr>
        <w:t>）、要素指标等内容。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）用地申请。</w:t>
      </w:r>
      <w:r>
        <w:rPr>
          <w:rFonts w:ascii="Times New Roman" w:hAnsi="Times New Roman" w:eastAsia="仿宋_GB2312" w:cs="Times New Roman"/>
          <w:sz w:val="32"/>
          <w:szCs w:val="32"/>
        </w:rPr>
        <w:t>有用地需求的内培工业企业通过东阳市工业企业“阳光供地”系统提交用地申请，包括</w:t>
      </w:r>
      <w:r>
        <w:rPr>
          <w:rFonts w:hint="eastAsia" w:ascii="Times New Roman" w:hAnsi="Times New Roman" w:eastAsia="仿宋_GB2312" w:cs="Times New Roman"/>
          <w:sz w:val="32"/>
          <w:szCs w:val="32"/>
        </w:rPr>
        <w:t>项目情况（含投资总额、投资强度、亩均产值、亩均税收</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）、用地需求</w:t>
      </w:r>
      <w:r>
        <w:rPr>
          <w:rFonts w:ascii="Times New Roman" w:hAnsi="Times New Roman" w:eastAsia="仿宋_GB2312" w:cs="Times New Roman"/>
          <w:sz w:val="32"/>
          <w:szCs w:val="32"/>
        </w:rPr>
        <w:t>等信息</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）评审赋分。</w:t>
      </w:r>
      <w:r>
        <w:rPr>
          <w:rFonts w:ascii="Times New Roman" w:hAnsi="Times New Roman" w:eastAsia="仿宋_GB2312" w:cs="Times New Roman"/>
          <w:sz w:val="32"/>
          <w:szCs w:val="32"/>
        </w:rPr>
        <w:t>市经信局通过东阳市工业企业“阳光供地”系统</w:t>
      </w:r>
      <w:r>
        <w:rPr>
          <w:rFonts w:hint="eastAsia" w:ascii="Times New Roman" w:hAnsi="Times New Roman" w:eastAsia="仿宋_GB2312" w:cs="Times New Roman"/>
          <w:sz w:val="32"/>
          <w:szCs w:val="32"/>
        </w:rPr>
        <w:t>（端口向市纪委开放并接受监督），</w:t>
      </w:r>
      <w:r>
        <w:rPr>
          <w:rFonts w:ascii="Times New Roman" w:hAnsi="Times New Roman" w:eastAsia="仿宋_GB2312" w:cs="Times New Roman"/>
          <w:sz w:val="32"/>
          <w:szCs w:val="32"/>
          <w:highlight w:val="none"/>
        </w:rPr>
        <w:t>根据经济效益、企业成长、</w:t>
      </w:r>
      <w:r>
        <w:rPr>
          <w:rFonts w:hint="eastAsia" w:ascii="Times New Roman" w:hAnsi="Times New Roman" w:eastAsia="仿宋_GB2312" w:cs="Times New Roman"/>
          <w:sz w:val="32"/>
          <w:szCs w:val="32"/>
          <w:highlight w:val="none"/>
        </w:rPr>
        <w:t>项目质量、</w:t>
      </w:r>
      <w:r>
        <w:rPr>
          <w:rFonts w:hint="eastAsia" w:ascii="Times New Roman" w:hAnsi="Times New Roman" w:eastAsia="仿宋_GB2312" w:cs="Times New Roman"/>
          <w:sz w:val="32"/>
          <w:szCs w:val="32"/>
          <w:highlight w:val="none"/>
          <w:lang w:eastAsia="zh-CN"/>
        </w:rPr>
        <w:t>科技</w:t>
      </w:r>
      <w:r>
        <w:rPr>
          <w:rFonts w:ascii="Times New Roman" w:hAnsi="Times New Roman" w:eastAsia="仿宋_GB2312" w:cs="Times New Roman"/>
          <w:sz w:val="32"/>
          <w:szCs w:val="32"/>
          <w:highlight w:val="none"/>
        </w:rPr>
        <w:t>创新、转型升级</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个性指标</w:t>
      </w:r>
      <w:r>
        <w:rPr>
          <w:rFonts w:hint="eastAsia" w:ascii="Times New Roman" w:hAnsi="Times New Roman" w:eastAsia="仿宋_GB2312" w:cs="Times New Roman"/>
          <w:sz w:val="32"/>
          <w:szCs w:val="32"/>
          <w:highlight w:val="none"/>
        </w:rPr>
        <w:t>6</w:t>
      </w:r>
      <w:r>
        <w:rPr>
          <w:rFonts w:ascii="Times New Roman" w:hAnsi="Times New Roman" w:eastAsia="仿宋_GB2312" w:cs="Times New Roman"/>
          <w:sz w:val="32"/>
          <w:szCs w:val="32"/>
          <w:highlight w:val="none"/>
        </w:rPr>
        <w:t>项内容（附件2）</w:t>
      </w:r>
      <w:r>
        <w:rPr>
          <w:rFonts w:hint="eastAsia" w:ascii="Times New Roman" w:hAnsi="Times New Roman" w:eastAsia="仿宋_GB2312" w:cs="Times New Roman"/>
          <w:sz w:val="32"/>
          <w:szCs w:val="32"/>
          <w:highlight w:val="none"/>
        </w:rPr>
        <w:t>进行赋分</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（四）匹配企业。</w:t>
      </w:r>
      <w:r>
        <w:rPr>
          <w:rFonts w:ascii="Times New Roman" w:hAnsi="Times New Roman" w:eastAsia="仿宋_GB2312" w:cs="Times New Roman"/>
          <w:sz w:val="32"/>
          <w:szCs w:val="32"/>
        </w:rPr>
        <w:t>市经信局</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地块信息和</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用地企业申报意愿、评审赋分情况，</w:t>
      </w:r>
      <w:r>
        <w:rPr>
          <w:rFonts w:hint="eastAsia" w:ascii="Times New Roman" w:hAnsi="Times New Roman" w:eastAsia="仿宋_GB2312" w:cs="Times New Roman"/>
          <w:sz w:val="32"/>
          <w:szCs w:val="32"/>
        </w:rPr>
        <w:t>每个地块</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用地需求企业</w:t>
      </w:r>
      <w:r>
        <w:rPr>
          <w:rFonts w:ascii="Times New Roman" w:hAnsi="Times New Roman" w:eastAsia="仿宋_GB2312" w:cs="Times New Roman"/>
          <w:sz w:val="32"/>
          <w:szCs w:val="32"/>
        </w:rPr>
        <w:t>分值高低进行匹配</w:t>
      </w:r>
      <w:r>
        <w:rPr>
          <w:rFonts w:hint="eastAsia" w:ascii="Times New Roman" w:hAnsi="Times New Roman" w:eastAsia="仿宋_GB2312" w:cs="Times New Roman"/>
          <w:sz w:val="32"/>
          <w:szCs w:val="32"/>
        </w:rPr>
        <w:t>，初步选取3家</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（五）实地考察。</w:t>
      </w:r>
      <w:r>
        <w:rPr>
          <w:rFonts w:ascii="Times New Roman" w:hAnsi="Times New Roman" w:eastAsia="仿宋_GB2312" w:cs="Times New Roman"/>
          <w:sz w:val="32"/>
          <w:szCs w:val="32"/>
        </w:rPr>
        <w:t>市经信局组织发改局、科技局、自然资源和规划局、应急管理局、生态环境局等部门和属地对企业开展“1+5+X”现场评审</w:t>
      </w:r>
      <w:r>
        <w:rPr>
          <w:rFonts w:hint="eastAsia" w:ascii="Times New Roman" w:hAnsi="Times New Roman" w:eastAsia="仿宋_GB2312" w:cs="Times New Roman"/>
          <w:sz w:val="32"/>
          <w:szCs w:val="32"/>
        </w:rPr>
        <w:t>（多次匹配的</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原则上只上门一次）</w:t>
      </w:r>
      <w:r>
        <w:rPr>
          <w:rFonts w:ascii="Times New Roman" w:hAnsi="Times New Roman" w:eastAsia="仿宋_GB2312" w:cs="Times New Roman"/>
          <w:sz w:val="32"/>
          <w:szCs w:val="32"/>
        </w:rPr>
        <w:t>，结合评审情况和项目可行性报告，提出</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匹配建议方案。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（六）结果</w:t>
      </w:r>
      <w:r>
        <w:rPr>
          <w:rFonts w:hint="eastAsia" w:ascii="Times New Roman" w:hAnsi="Times New Roman" w:eastAsia="楷体_GB2312" w:cs="Times New Roman"/>
          <w:sz w:val="32"/>
          <w:szCs w:val="32"/>
        </w:rPr>
        <w:t>运用</w:t>
      </w:r>
      <w:r>
        <w:rPr>
          <w:rFonts w:ascii="Times New Roman" w:hAnsi="Times New Roman" w:eastAsia="楷体_GB2312" w:cs="Times New Roman"/>
          <w:sz w:val="32"/>
          <w:szCs w:val="32"/>
        </w:rPr>
        <w:t>。</w:t>
      </w:r>
      <w:r>
        <w:rPr>
          <w:rFonts w:ascii="Times New Roman" w:hAnsi="Times New Roman" w:eastAsia="仿宋_GB2312" w:cs="Times New Roman"/>
          <w:sz w:val="32"/>
          <w:szCs w:val="32"/>
        </w:rPr>
        <w:t>召开市招商引智领导小组</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会议（10亩以上提交市政府常务会议</w:t>
      </w:r>
      <w:r>
        <w:rPr>
          <w:rFonts w:hint="eastAsia" w:ascii="Times New Roman" w:hAnsi="Times New Roman" w:eastAsia="仿宋_GB2312" w:cs="Times New Roman"/>
          <w:sz w:val="32"/>
          <w:szCs w:val="32"/>
        </w:rPr>
        <w:t>审议</w:t>
      </w:r>
      <w:r>
        <w:rPr>
          <w:rFonts w:ascii="Times New Roman" w:hAnsi="Times New Roman" w:eastAsia="仿宋_GB2312" w:cs="Times New Roman"/>
          <w:sz w:val="32"/>
          <w:szCs w:val="32"/>
        </w:rPr>
        <w:t>），综合考量</w:t>
      </w:r>
      <w:r>
        <w:rPr>
          <w:rFonts w:hint="eastAsia" w:ascii="Times New Roman" w:hAnsi="Times New Roman" w:eastAsia="仿宋_GB2312" w:cs="Times New Roman"/>
          <w:sz w:val="32"/>
          <w:szCs w:val="32"/>
        </w:rPr>
        <w:t>评审赋分情况、</w:t>
      </w:r>
      <w:r>
        <w:rPr>
          <w:rFonts w:ascii="Times New Roman" w:hAnsi="Times New Roman" w:eastAsia="仿宋_GB2312" w:cs="Times New Roman"/>
          <w:sz w:val="32"/>
          <w:szCs w:val="32"/>
        </w:rPr>
        <w:t>拟供地块</w:t>
      </w:r>
      <w:r>
        <w:rPr>
          <w:rFonts w:hint="eastAsia" w:ascii="Times New Roman" w:hAnsi="Times New Roman" w:eastAsia="仿宋_GB2312" w:cs="Times New Roman"/>
          <w:sz w:val="32"/>
          <w:szCs w:val="32"/>
        </w:rPr>
        <w:t>情况、负面清单征询、</w:t>
      </w:r>
      <w:r>
        <w:rPr>
          <w:rFonts w:ascii="Times New Roman" w:hAnsi="Times New Roman" w:eastAsia="仿宋_GB2312" w:cs="Times New Roman"/>
          <w:sz w:val="32"/>
          <w:szCs w:val="32"/>
        </w:rPr>
        <w:t>产业类型和企业意愿等因素，讨论确定拟供地企业</w:t>
      </w:r>
      <w:r>
        <w:rPr>
          <w:rFonts w:hint="eastAsia" w:ascii="Times New Roman" w:hAnsi="Times New Roman" w:eastAsia="仿宋_GB2312" w:cs="Times New Roman"/>
          <w:sz w:val="32"/>
          <w:szCs w:val="32"/>
        </w:rPr>
        <w:t>名单</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（七）阳光公示。</w:t>
      </w:r>
      <w:r>
        <w:rPr>
          <w:rFonts w:hint="eastAsia" w:ascii="Times New Roman" w:hAnsi="Times New Roman" w:eastAsia="仿宋_GB2312" w:cs="Times New Roman"/>
          <w:sz w:val="32"/>
          <w:szCs w:val="32"/>
        </w:rPr>
        <w:t>拟供地企业名单在东阳市人民政府网站按照要求进行7天公示，公示期间有举报投诉的第一时间进行核实并反馈。公示结束后，资规部门依法供地。</w:t>
      </w:r>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三、供地要求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（一）本市规上工业企业内培项目需</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“阳光供地”</w:t>
      </w:r>
      <w:r>
        <w:rPr>
          <w:rFonts w:hint="eastAsia" w:ascii="Times New Roman" w:hAnsi="Times New Roman" w:eastAsia="仿宋_GB2312" w:cs="Times New Roman"/>
          <w:sz w:val="32"/>
          <w:szCs w:val="32"/>
        </w:rPr>
        <w:t>流程进行供地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申请内培用地企业</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原企业</w:t>
      </w:r>
      <w:r>
        <w:rPr>
          <w:rFonts w:ascii="Times New Roman" w:hAnsi="Times New Roman" w:eastAsia="仿宋_GB2312" w:cs="Times New Roman"/>
          <w:sz w:val="32"/>
          <w:szCs w:val="32"/>
        </w:rPr>
        <w:t>产值</w:t>
      </w:r>
      <w:r>
        <w:rPr>
          <w:rFonts w:hint="eastAsia" w:ascii="Times New Roman" w:hAnsi="Times New Roman" w:eastAsia="仿宋_GB2312" w:cs="Times New Roman"/>
          <w:sz w:val="32"/>
          <w:szCs w:val="32"/>
        </w:rPr>
        <w:t>规模分档匹配工业用地</w:t>
      </w:r>
      <w:r>
        <w:rPr>
          <w:rFonts w:hint="eastAsia" w:ascii="Times New Roman" w:hAnsi="Times New Roman" w:eastAsia="仿宋_GB2312" w:cs="Times New Roman"/>
          <w:sz w:val="32"/>
          <w:szCs w:val="32"/>
          <w:lang w:eastAsia="zh-CN"/>
        </w:rPr>
        <w:t>（重大产业项目及其它特殊情况除外）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超亿元无地企业（含新注册控股子公司）</w:t>
      </w:r>
      <w:r>
        <w:rPr>
          <w:rFonts w:hint="eastAsia" w:ascii="Times New Roman" w:hAnsi="Times New Roman" w:eastAsia="仿宋_GB2312" w:cs="Times New Roman"/>
          <w:sz w:val="32"/>
          <w:szCs w:val="32"/>
        </w:rPr>
        <w:t>可申请超过</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0亩工业用地（也可向下兼容，下同）</w:t>
      </w:r>
      <w:r>
        <w:rPr>
          <w:rFonts w:ascii="Times New Roman" w:hAnsi="Times New Roman" w:eastAsia="仿宋_GB2312" w:cs="Times New Roman"/>
          <w:sz w:val="32"/>
          <w:szCs w:val="32"/>
        </w:rPr>
        <w:t>、产值超亿元</w:t>
      </w:r>
      <w:bookmarkStart w:id="5" w:name="OLE_LINK5"/>
      <w:r>
        <w:rPr>
          <w:rFonts w:ascii="Times New Roman" w:hAnsi="Times New Roman" w:eastAsia="仿宋_GB2312" w:cs="Times New Roman"/>
          <w:sz w:val="32"/>
          <w:szCs w:val="32"/>
        </w:rPr>
        <w:t>有</w:t>
      </w:r>
      <w:bookmarkEnd w:id="5"/>
      <w:r>
        <w:rPr>
          <w:rFonts w:ascii="Times New Roman" w:hAnsi="Times New Roman" w:eastAsia="仿宋_GB2312" w:cs="Times New Roman"/>
          <w:sz w:val="32"/>
          <w:szCs w:val="32"/>
        </w:rPr>
        <w:t>地企业</w:t>
      </w:r>
      <w:r>
        <w:rPr>
          <w:rFonts w:hint="eastAsia" w:ascii="Times New Roman" w:hAnsi="Times New Roman" w:eastAsia="仿宋_GB2312" w:cs="Times New Roman"/>
          <w:sz w:val="32"/>
          <w:szCs w:val="32"/>
        </w:rPr>
        <w:t>可申请30亩</w:t>
      </w:r>
      <w:r>
        <w:rPr>
          <w:rFonts w:ascii="Times New Roman" w:hAnsi="Times New Roman" w:eastAsia="仿宋_GB2312" w:cs="Times New Roman"/>
          <w:sz w:val="32"/>
          <w:szCs w:val="32"/>
        </w:rPr>
        <w:t>及</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工业用地、2000万元-1亿元无地企业可申请20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及</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工业用地、2000万元-1亿元有地企业可申请</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及</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工业用地</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（二）</w:t>
      </w:r>
      <w:bookmarkStart w:id="6" w:name="OLE_LINK9"/>
      <w:r>
        <w:rPr>
          <w:rFonts w:hint="eastAsia" w:ascii="Times New Roman" w:hAnsi="Times New Roman" w:eastAsia="仿宋_GB2312" w:cs="Times New Roman"/>
          <w:sz w:val="32"/>
          <w:szCs w:val="32"/>
        </w:rPr>
        <w:t>申请内培用地企业</w:t>
      </w:r>
      <w:bookmarkEnd w:id="6"/>
      <w:r>
        <w:rPr>
          <w:rFonts w:ascii="Times New Roman" w:hAnsi="Times New Roman" w:eastAsia="仿宋_GB2312" w:cs="Times New Roman"/>
          <w:sz w:val="32"/>
          <w:szCs w:val="32"/>
        </w:rPr>
        <w:t>存在</w:t>
      </w:r>
      <w:r>
        <w:rPr>
          <w:rFonts w:hint="eastAsia" w:ascii="Times New Roman" w:hAnsi="Times New Roman" w:eastAsia="仿宋_GB2312" w:cs="Times New Roman"/>
          <w:sz w:val="32"/>
          <w:szCs w:val="32"/>
        </w:rPr>
        <w:t>以下情形之一的，</w:t>
      </w:r>
      <w:r>
        <w:rPr>
          <w:rFonts w:ascii="Times New Roman" w:hAnsi="Times New Roman" w:eastAsia="仿宋_GB2312" w:cs="Times New Roman"/>
          <w:sz w:val="32"/>
          <w:szCs w:val="32"/>
        </w:rPr>
        <w:t>予以“一票否决”</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不符合国家产业政策导向</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不符合</w:t>
      </w:r>
      <w:r>
        <w:rPr>
          <w:rFonts w:hint="eastAsia" w:ascii="Times New Roman" w:hAnsi="Times New Roman" w:eastAsia="仿宋_GB2312" w:cs="Times New Roman"/>
          <w:sz w:val="32"/>
          <w:szCs w:val="32"/>
        </w:rPr>
        <w:t>应急、</w:t>
      </w:r>
      <w:r>
        <w:rPr>
          <w:rFonts w:ascii="Times New Roman" w:hAnsi="Times New Roman" w:eastAsia="仿宋_GB2312" w:cs="Times New Roman"/>
          <w:sz w:val="32"/>
          <w:szCs w:val="32"/>
        </w:rPr>
        <w:t>环保要求和能耗标准</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有严重失信行为、纳税信用等级税务机关评定C级或D级</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近3年发生安全生产亡人事故</w:t>
      </w:r>
      <w:r>
        <w:rPr>
          <w:rFonts w:hint="eastAsia" w:ascii="Times New Roman" w:hAnsi="Times New Roman" w:eastAsia="仿宋_GB2312" w:cs="Times New Roman"/>
          <w:sz w:val="32"/>
          <w:szCs w:val="32"/>
        </w:rPr>
        <w:t>；5.近5年企业有转让一级市场取得的工业用地；</w:t>
      </w:r>
      <w:r>
        <w:rPr>
          <w:rFonts w:ascii="Times New Roman" w:hAnsi="Times New Roman" w:eastAsia="仿宋_GB2312" w:cs="Times New Roman"/>
          <w:sz w:val="32"/>
          <w:szCs w:val="32"/>
        </w:rPr>
        <w:t>6.</w:t>
      </w:r>
      <w:r>
        <w:rPr>
          <w:rFonts w:ascii="Times New Roman" w:hAnsi="Times New Roman" w:eastAsia="仿宋_GB2312" w:cs="Times New Roman"/>
          <w:sz w:val="32"/>
          <w:szCs w:val="32"/>
          <w:shd w:val="clear" w:color="auto" w:fill="FFFFFF"/>
        </w:rPr>
        <w:t>企业存在拖欠税费行为的；7.企业大股东前期签订的全生命周期履约协议有违约行为的。</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企业有出租给其它</w:t>
      </w:r>
      <w:r>
        <w:rPr>
          <w:rFonts w:hint="eastAsia" w:ascii="Times New Roman" w:hAnsi="Times New Roman" w:eastAsia="仿宋_GB2312" w:cs="Times New Roman"/>
          <w:sz w:val="32"/>
          <w:szCs w:val="32"/>
        </w:rPr>
        <w:t>工业企业或个体工商户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w:t>
      </w:r>
      <w:r>
        <w:rPr>
          <w:rFonts w:ascii="Times New Roman" w:hAnsi="Times New Roman" w:eastAsia="仿宋_GB2312" w:cs="Times New Roman"/>
          <w:sz w:val="32"/>
          <w:szCs w:val="32"/>
        </w:rPr>
        <w:t>出租面积超过总建筑面积的</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0%以上的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出租给上下游配套企业除外）</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，予以审慎</w:t>
      </w:r>
      <w:r>
        <w:rPr>
          <w:rFonts w:hint="eastAsia" w:ascii="Times New Roman" w:hAnsi="Times New Roman" w:eastAsia="仿宋_GB2312" w:cs="Times New Roman"/>
          <w:sz w:val="32"/>
          <w:szCs w:val="32"/>
        </w:rPr>
        <w:t>供地</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申请内培用地企业</w:t>
      </w:r>
      <w:r>
        <w:rPr>
          <w:rFonts w:ascii="Times New Roman" w:hAnsi="Times New Roman" w:eastAsia="仿宋_GB2312" w:cs="Times New Roman"/>
          <w:sz w:val="32"/>
          <w:szCs w:val="32"/>
        </w:rPr>
        <w:t>综合评分低于50分，或当年度工业产值</w:t>
      </w:r>
      <w:r>
        <w:rPr>
          <w:rFonts w:hint="eastAsia" w:ascii="Times New Roman" w:hAnsi="Times New Roman" w:eastAsia="仿宋_GB2312" w:cs="Times New Roman"/>
          <w:sz w:val="32"/>
          <w:szCs w:val="32"/>
        </w:rPr>
        <w:t>税收</w:t>
      </w:r>
      <w:r>
        <w:rPr>
          <w:rFonts w:ascii="Times New Roman" w:hAnsi="Times New Roman" w:eastAsia="仿宋_GB2312" w:cs="Times New Roman"/>
          <w:sz w:val="32"/>
          <w:szCs w:val="32"/>
        </w:rPr>
        <w:t>增速明显下降，或</w:t>
      </w:r>
      <w:r>
        <w:rPr>
          <w:rFonts w:hint="eastAsia" w:ascii="Times New Roman" w:hAnsi="Times New Roman" w:eastAsia="仿宋_GB2312" w:cs="Times New Roman"/>
          <w:sz w:val="32"/>
          <w:szCs w:val="32"/>
        </w:rPr>
        <w:t>会议</w:t>
      </w:r>
      <w:r>
        <w:rPr>
          <w:rFonts w:ascii="Times New Roman" w:hAnsi="Times New Roman" w:eastAsia="仿宋_GB2312" w:cs="Times New Roman"/>
          <w:sz w:val="32"/>
          <w:szCs w:val="32"/>
        </w:rPr>
        <w:t>认为存在其他不适宜供地情</w:t>
      </w:r>
      <w:r>
        <w:rPr>
          <w:rFonts w:hint="eastAsia" w:ascii="Times New Roman" w:hAnsi="Times New Roman" w:eastAsia="仿宋_GB2312" w:cs="Times New Roman"/>
          <w:sz w:val="32"/>
          <w:szCs w:val="32"/>
        </w:rPr>
        <w:t>形</w:t>
      </w:r>
      <w:r>
        <w:rPr>
          <w:rFonts w:ascii="Times New Roman" w:hAnsi="Times New Roman" w:eastAsia="仿宋_GB2312" w:cs="Times New Roman"/>
          <w:sz w:val="32"/>
          <w:szCs w:val="32"/>
        </w:rPr>
        <w:t>的，予以暂缓供地。</w:t>
      </w:r>
    </w:p>
    <w:p>
      <w:pPr>
        <w:pStyle w:val="2"/>
        <w:spacing w:line="560" w:lineRule="exact"/>
        <w:ind w:firstLine="320"/>
        <w:jc w:val="both"/>
        <w:rPr>
          <w:rFonts w:eastAsia="仿宋_GB231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）已过会的内培用地企业需签订工业用地全生命周期</w:t>
      </w:r>
      <w:r>
        <w:rPr>
          <w:rFonts w:hint="eastAsia" w:ascii="Times New Roman" w:hAnsi="Times New Roman" w:eastAsia="仿宋_GB2312" w:cs="Times New Roman"/>
          <w:color w:val="000000"/>
          <w:sz w:val="32"/>
          <w:szCs w:val="32"/>
        </w:rPr>
        <w:t>履约协议。</w:t>
      </w:r>
    </w:p>
    <w:p>
      <w:pPr>
        <w:spacing w:line="560" w:lineRule="exact"/>
        <w:ind w:right="28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四、特殊情况</w:t>
      </w:r>
    </w:p>
    <w:p>
      <w:pPr>
        <w:spacing w:line="560" w:lineRule="exact"/>
        <w:ind w:right="28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历史遗留问题企业、</w:t>
      </w:r>
      <w:r>
        <w:rPr>
          <w:rFonts w:ascii="Times New Roman" w:hAnsi="Times New Roman" w:eastAsia="仿宋_GB2312" w:cs="Times New Roman"/>
          <w:color w:val="000000"/>
          <w:sz w:val="32"/>
          <w:szCs w:val="32"/>
        </w:rPr>
        <w:t>拆迁安置企业</w:t>
      </w:r>
      <w:r>
        <w:rPr>
          <w:rFonts w:hint="eastAsia" w:ascii="Times New Roman" w:hAnsi="Times New Roman" w:eastAsia="仿宋_GB2312" w:cs="Times New Roman"/>
          <w:color w:val="000000"/>
          <w:sz w:val="32"/>
          <w:szCs w:val="32"/>
        </w:rPr>
        <w:t>或其他特殊情况企业</w:t>
      </w:r>
      <w:r>
        <w:rPr>
          <w:rFonts w:ascii="Times New Roman" w:hAnsi="Times New Roman" w:eastAsia="仿宋_GB2312" w:cs="Times New Roman"/>
          <w:color w:val="000000"/>
          <w:sz w:val="32"/>
          <w:szCs w:val="32"/>
        </w:rPr>
        <w:t>参照内培企业阳光供地流程执行（</w:t>
      </w:r>
      <w:r>
        <w:rPr>
          <w:rFonts w:hint="eastAsia" w:ascii="仿宋_GB2312" w:hAnsi="仿宋_GB2312" w:eastAsia="仿宋_GB2312" w:cs="仿宋_GB2312"/>
          <w:color w:val="000000"/>
          <w:sz w:val="32"/>
          <w:szCs w:val="32"/>
        </w:rPr>
        <w:t>不对其进行赋分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pPr>
        <w:pStyle w:val="2"/>
        <w:ind w:firstLine="640" w:firstLineChars="200"/>
        <w:jc w:val="both"/>
      </w:pPr>
      <w:r>
        <w:rPr>
          <w:rFonts w:hint="eastAsia" w:ascii="黑体" w:hAnsi="黑体" w:eastAsia="黑体" w:cs="黑体"/>
          <w:color w:val="000000"/>
          <w:sz w:val="32"/>
          <w:szCs w:val="32"/>
        </w:rPr>
        <w:t>五、其它事项</w:t>
      </w:r>
    </w:p>
    <w:p>
      <w:pPr>
        <w:spacing w:line="60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color w:val="000000"/>
          <w:sz w:val="32"/>
          <w:szCs w:val="32"/>
        </w:rPr>
        <w:t>“阳光供地”</w:t>
      </w:r>
      <w:r>
        <w:rPr>
          <w:rFonts w:ascii="Times New Roman" w:hAnsi="Times New Roman" w:eastAsia="仿宋_GB2312" w:cs="Times New Roman"/>
          <w:color w:val="000000"/>
          <w:sz w:val="32"/>
          <w:szCs w:val="32"/>
        </w:rPr>
        <w:t>工作应当坚持公平公正，</w:t>
      </w:r>
      <w:r>
        <w:rPr>
          <w:rFonts w:hint="eastAsia" w:ascii="Times New Roman" w:hAnsi="Times New Roman" w:eastAsia="仿宋_GB2312" w:cs="Times New Roman"/>
          <w:color w:val="000000"/>
          <w:sz w:val="32"/>
          <w:szCs w:val="32"/>
        </w:rPr>
        <w:t>全流程</w:t>
      </w:r>
      <w:r>
        <w:rPr>
          <w:rFonts w:ascii="Times New Roman" w:hAnsi="Times New Roman" w:eastAsia="仿宋_GB2312" w:cs="Times New Roman"/>
          <w:color w:val="000000"/>
          <w:sz w:val="32"/>
          <w:szCs w:val="32"/>
        </w:rPr>
        <w:t>接受</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人大、政协和纪委监委监督。</w:t>
      </w:r>
      <w:r>
        <w:rPr>
          <w:rFonts w:hint="eastAsia" w:ascii="Times New Roman" w:hAnsi="Times New Roman" w:eastAsia="仿宋_GB2312" w:cs="Times New Roman"/>
          <w:color w:val="000000"/>
          <w:sz w:val="32"/>
          <w:szCs w:val="32"/>
        </w:rPr>
        <w:t>申请内培用地</w:t>
      </w:r>
      <w:r>
        <w:rPr>
          <w:rFonts w:ascii="Times New Roman" w:hAnsi="Times New Roman" w:eastAsia="仿宋_GB2312" w:cs="Times New Roman"/>
          <w:color w:val="000000"/>
          <w:sz w:val="32"/>
          <w:szCs w:val="32"/>
        </w:rPr>
        <w:t>企业应当如实提供佐证资料，凡弄虚作假的一律取消</w:t>
      </w:r>
      <w:r>
        <w:rPr>
          <w:rFonts w:hint="eastAsia" w:ascii="Times New Roman" w:hAnsi="Times New Roman" w:eastAsia="仿宋_GB2312" w:cs="Times New Roman"/>
          <w:color w:val="000000"/>
          <w:sz w:val="32"/>
          <w:szCs w:val="32"/>
        </w:rPr>
        <w:t>供地</w:t>
      </w:r>
      <w:r>
        <w:rPr>
          <w:rFonts w:ascii="Times New Roman" w:hAnsi="Times New Roman" w:eastAsia="仿宋_GB2312" w:cs="Times New Roman"/>
          <w:color w:val="000000"/>
          <w:sz w:val="32"/>
          <w:szCs w:val="32"/>
        </w:rPr>
        <w:t>资格，三年内不得</w:t>
      </w:r>
      <w:r>
        <w:rPr>
          <w:rFonts w:hint="eastAsia" w:ascii="Times New Roman" w:hAnsi="Times New Roman" w:eastAsia="仿宋_GB2312" w:cs="Times New Roman"/>
          <w:color w:val="000000"/>
          <w:sz w:val="32"/>
          <w:szCs w:val="32"/>
        </w:rPr>
        <w:t>再次申请</w:t>
      </w:r>
      <w:r>
        <w:rPr>
          <w:rFonts w:hint="eastAsia" w:ascii="Times New Roman" w:hAnsi="Times New Roman" w:eastAsia="仿宋_GB2312" w:cs="Times New Roman"/>
          <w:color w:val="FF0000"/>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本</w:t>
      </w:r>
      <w:r>
        <w:rPr>
          <w:rFonts w:hint="eastAsia" w:ascii="Times New Roman" w:hAnsi="Times New Roman" w:eastAsia="仿宋_GB2312" w:cs="Times New Roman"/>
          <w:color w:val="000000"/>
          <w:sz w:val="32"/>
          <w:szCs w:val="32"/>
        </w:rPr>
        <w:t>办法</w:t>
      </w:r>
      <w:r>
        <w:rPr>
          <w:rFonts w:ascii="Times New Roman" w:hAnsi="Times New Roman" w:eastAsia="仿宋_GB2312" w:cs="Times New Roman"/>
          <w:color w:val="000000"/>
          <w:sz w:val="32"/>
          <w:szCs w:val="32"/>
        </w:rPr>
        <w:t>自印发之日起实施，有效期3年。在实施过程中，将根据实际情况，作适当修订。</w:t>
      </w:r>
    </w:p>
    <w:p>
      <w:pPr>
        <w:spacing w:line="560" w:lineRule="exact"/>
        <w:ind w:firstLine="640" w:firstLineChars="200"/>
        <w:rPr>
          <w:rFonts w:ascii="Times New Roman" w:hAnsi="Times New Roman" w:eastAsia="仿宋_GB2312" w:cs="Times New Roman"/>
          <w:color w:val="000000"/>
          <w:sz w:val="32"/>
          <w:szCs w:val="32"/>
        </w:rPr>
      </w:pPr>
    </w:p>
    <w:p>
      <w:pPr>
        <w:pStyle w:val="2"/>
        <w:ind w:firstLine="210"/>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附件：1东阳市内培工业企业“阳光供地”实施流程图</w:t>
      </w:r>
    </w:p>
    <w:p>
      <w:pPr>
        <w:spacing w:line="560" w:lineRule="exact"/>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2东阳市内培工业企业“阳光供地”评审评分表</w:t>
      </w:r>
    </w:p>
    <w:p>
      <w:pPr>
        <w:spacing w:line="560" w:lineRule="exact"/>
        <w:ind w:left="1596" w:leftChars="76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3东阳市内培工业企业“阳光供地”评审相关资质荣誉指标说明</w:t>
      </w:r>
    </w:p>
    <w:p>
      <w:pPr>
        <w:spacing w:line="560" w:lineRule="exact"/>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4东阳市内培工业企业“阳光供地”评审单位职责分工</w:t>
      </w:r>
    </w:p>
    <w:p>
      <w:pPr>
        <w:rPr>
          <w:rFonts w:ascii="国标黑体" w:hAnsi="国标黑体" w:eastAsia="国标黑体" w:cs="国标黑体"/>
          <w:color w:val="000000"/>
          <w:sz w:val="32"/>
          <w:szCs w:val="32"/>
        </w:rPr>
      </w:pPr>
      <w:r>
        <w:rPr>
          <w:rFonts w:hint="eastAsia" w:ascii="国标黑体" w:hAnsi="国标黑体" w:eastAsia="国标黑体" w:cs="国标黑体"/>
          <w:color w:val="000000"/>
          <w:sz w:val="32"/>
          <w:szCs w:val="32"/>
        </w:rPr>
        <w:br w:type="page"/>
      </w:r>
    </w:p>
    <w:p>
      <w:pPr>
        <w:suppressAutoHyphens/>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2"/>
        <w:ind w:firstLine="402"/>
        <w:rPr>
          <w:rFonts w:ascii="方正小标宋简体" w:hAnsi="方正小标宋简体" w:eastAsia="方正小标宋简体" w:cs="方正小标宋简体"/>
          <w:spacing w:val="-19"/>
          <w:sz w:val="44"/>
          <w:szCs w:val="44"/>
        </w:rPr>
      </w:pPr>
      <w:r>
        <w:rPr>
          <w:rFonts w:hint="eastAsia" w:ascii="方正小标宋简体" w:hAnsi="方正小标宋简体" w:eastAsia="方正小标宋简体" w:cs="方正小标宋简体"/>
          <w:spacing w:val="-19"/>
          <w:sz w:val="44"/>
          <w:szCs w:val="44"/>
        </w:rPr>
        <w:t>东阳市</w:t>
      </w:r>
      <w:r>
        <w:rPr>
          <w:rFonts w:ascii="方正小标宋简体" w:hAnsi="方正小标宋简体" w:eastAsia="方正小标宋简体" w:cs="方正小标宋简体"/>
          <w:spacing w:val="-19"/>
          <w:sz w:val="44"/>
          <w:szCs w:val="44"/>
        </w:rPr>
        <w:t>内培</w:t>
      </w:r>
      <w:r>
        <w:rPr>
          <w:rFonts w:hint="eastAsia" w:ascii="方正小标宋简体" w:hAnsi="方正小标宋简体" w:eastAsia="方正小标宋简体" w:cs="方正小标宋简体"/>
          <w:spacing w:val="-19"/>
          <w:sz w:val="44"/>
          <w:szCs w:val="44"/>
        </w:rPr>
        <w:t>工业企业“阳光供地”</w:t>
      </w:r>
      <w:r>
        <w:rPr>
          <w:rFonts w:ascii="方正小标宋简体" w:hAnsi="方正小标宋简体" w:eastAsia="方正小标宋简体" w:cs="方正小标宋简体"/>
          <w:spacing w:val="-19"/>
          <w:sz w:val="44"/>
          <w:szCs w:val="44"/>
        </w:rPr>
        <w:t>实施</w:t>
      </w:r>
      <w:r>
        <w:rPr>
          <w:rFonts w:hint="eastAsia" w:ascii="方正小标宋简体" w:hAnsi="方正小标宋简体" w:eastAsia="方正小标宋简体" w:cs="方正小标宋简体"/>
          <w:spacing w:val="-19"/>
          <w:sz w:val="44"/>
          <w:szCs w:val="44"/>
        </w:rPr>
        <w:t>流程图</w:t>
      </w:r>
    </w:p>
    <w:p>
      <w:pPr>
        <w:pStyle w:val="2"/>
        <w:ind w:firstLine="210"/>
      </w:pPr>
      <w:r>
        <w:rPr>
          <w:rFonts w:ascii="宋体" w:hAnsi="宋体" w:eastAsia="宋体"/>
          <w:color w:val="000000"/>
        </w:rPr>
        <mc:AlternateContent>
          <mc:Choice Requires="wpg">
            <w:drawing>
              <wp:anchor distT="0" distB="0" distL="114300" distR="114300" simplePos="0" relativeHeight="251659264" behindDoc="0" locked="0" layoutInCell="1" allowOverlap="1">
                <wp:simplePos x="0" y="0"/>
                <wp:positionH relativeFrom="column">
                  <wp:posOffset>192405</wp:posOffset>
                </wp:positionH>
                <wp:positionV relativeFrom="paragraph">
                  <wp:posOffset>114300</wp:posOffset>
                </wp:positionV>
                <wp:extent cx="5472430" cy="7315200"/>
                <wp:effectExtent l="0" t="0" r="13970" b="19685"/>
                <wp:wrapNone/>
                <wp:docPr id="182" name="组合 13"/>
                <wp:cNvGraphicFramePr/>
                <a:graphic xmlns:a="http://schemas.openxmlformats.org/drawingml/2006/main">
                  <a:graphicData uri="http://schemas.microsoft.com/office/word/2010/wordprocessingGroup">
                    <wpg:wgp>
                      <wpg:cNvGrpSpPr/>
                      <wpg:grpSpPr>
                        <a:xfrm>
                          <a:off x="0" y="0"/>
                          <a:ext cx="5472430" cy="7315199"/>
                          <a:chOff x="0" y="-410973"/>
                          <a:chExt cx="33730863" cy="45090227"/>
                        </a:xfrm>
                      </wpg:grpSpPr>
                      <wps:wsp>
                        <wps:cNvPr id="183" name="矩形 183"/>
                        <wps:cNvSpPr/>
                        <wps:spPr>
                          <a:xfrm>
                            <a:off x="0" y="2527659"/>
                            <a:ext cx="7905666" cy="216248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地块收集</w:t>
                              </w:r>
                            </w:p>
                          </w:txbxContent>
                        </wps:txbx>
                        <wps:bodyPr anchor="ctr"/>
                      </wps:wsp>
                      <wps:wsp>
                        <wps:cNvPr id="184" name="矩形 184"/>
                        <wps:cNvSpPr/>
                        <wps:spPr>
                          <a:xfrm>
                            <a:off x="15801541" y="8277042"/>
                            <a:ext cx="17929322" cy="6221782"/>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有用地需求的内培工业企业通过东阳市工业企业“阳光供地”系统提交用地申请，包括项目情况（含投资总额、投资强度、亩均产值、亩均税收）、用地需求等信息。</w:t>
                              </w:r>
                            </w:p>
                          </w:txbxContent>
                        </wps:txbx>
                        <wps:bodyPr anchor="ctr"/>
                      </wps:wsp>
                      <wps:wsp>
                        <wps:cNvPr id="185" name="矩形 185"/>
                        <wps:cNvSpPr/>
                        <wps:spPr>
                          <a:xfrm>
                            <a:off x="15801538" y="14939973"/>
                            <a:ext cx="17929325" cy="637086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市经信局通过东阳市工业企业“阳光供地”系统（端口向市纪委开放并接受监督），根据经济效益、企业成长、项目质量、</w:t>
                              </w:r>
                              <w:r>
                                <w:rPr>
                                  <w:rFonts w:hint="eastAsia" w:ascii="仿宋_GB2312" w:eastAsia="仿宋_GB2312" w:cstheme="minorBidi"/>
                                  <w:color w:val="000000" w:themeColor="text1"/>
                                  <w:kern w:val="24"/>
                                  <w:sz w:val="22"/>
                                  <w:szCs w:val="22"/>
                                  <w:lang w:eastAsia="zh-CN"/>
                                  <w14:textFill>
                                    <w14:solidFill>
                                      <w14:schemeClr w14:val="tx1"/>
                                    </w14:solidFill>
                                  </w14:textFill>
                                </w:rPr>
                                <w:t>科技创新</w:t>
                              </w:r>
                              <w:r>
                                <w:rPr>
                                  <w:rFonts w:hint="eastAsia" w:ascii="仿宋_GB2312" w:eastAsia="仿宋_GB2312" w:cstheme="minorBidi"/>
                                  <w:color w:val="000000" w:themeColor="text1"/>
                                  <w:kern w:val="24"/>
                                  <w:sz w:val="22"/>
                                  <w:szCs w:val="22"/>
                                  <w14:textFill>
                                    <w14:solidFill>
                                      <w14:schemeClr w14:val="tx1"/>
                                    </w14:solidFill>
                                  </w14:textFill>
                                </w:rPr>
                                <w:t>、转型升级</w:t>
                              </w:r>
                              <w:r>
                                <w:rPr>
                                  <w:rFonts w:hint="eastAsia" w:ascii="仿宋_GB2312" w:eastAsia="仿宋_GB2312" w:cstheme="minorBidi"/>
                                  <w:color w:val="000000" w:themeColor="text1"/>
                                  <w:kern w:val="24"/>
                                  <w:sz w:val="22"/>
                                  <w:szCs w:val="22"/>
                                  <w:lang w:eastAsia="zh-CN"/>
                                  <w14:textFill>
                                    <w14:solidFill>
                                      <w14:schemeClr w14:val="tx1"/>
                                    </w14:solidFill>
                                  </w14:textFill>
                                </w:rPr>
                                <w:t>和</w:t>
                              </w:r>
                              <w:r>
                                <w:rPr>
                                  <w:rFonts w:hint="eastAsia" w:ascii="仿宋_GB2312" w:eastAsia="仿宋_GB2312" w:cstheme="minorBidi"/>
                                  <w:color w:val="000000" w:themeColor="text1"/>
                                  <w:kern w:val="24"/>
                                  <w:sz w:val="22"/>
                                  <w:szCs w:val="22"/>
                                  <w14:textFill>
                                    <w14:solidFill>
                                      <w14:schemeClr w14:val="tx1"/>
                                    </w14:solidFill>
                                  </w14:textFill>
                                </w:rPr>
                                <w:t>个性指标6项内容进行赋分。</w:t>
                              </w:r>
                            </w:p>
                          </w:txbxContent>
                        </wps:txbx>
                        <wps:bodyPr anchor="ctr"/>
                      </wps:wsp>
                      <wps:wsp>
                        <wps:cNvPr id="186" name="矩形 186"/>
                        <wps:cNvSpPr/>
                        <wps:spPr>
                          <a:xfrm>
                            <a:off x="15801538" y="21713851"/>
                            <a:ext cx="17929325" cy="4177806"/>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市经信局根据地块信息和申请用地企业申报意愿、评审赋分情况，每个地块按照用地需求企业分值高低进行匹配，初步选取3家。</w:t>
                              </w:r>
                            </w:p>
                          </w:txbxContent>
                        </wps:txbx>
                        <wps:bodyPr anchor="ctr"/>
                      </wps:wsp>
                      <wps:wsp>
                        <wps:cNvPr id="187" name="矩形 187"/>
                        <wps:cNvSpPr/>
                        <wps:spPr>
                          <a:xfrm>
                            <a:off x="15801538" y="26302636"/>
                            <a:ext cx="17929325" cy="603437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市经信局组织发改局、科技局、自然资源和规划局、应急管理局、生态环境局等部门和属地对企业开展“1+5+X”现场评审（多次匹配的原则上只上门一次），结合评审情况和项目可行性报告，提出初步匹配建议方案。</w:t>
                              </w:r>
                            </w:p>
                          </w:txbxContent>
                        </wps:txbx>
                        <wps:bodyPr anchor="ctr"/>
                      </wps:wsp>
                      <wps:wsp>
                        <wps:cNvPr id="188" name="矩形 188"/>
                        <wps:cNvSpPr/>
                        <wps:spPr>
                          <a:xfrm>
                            <a:off x="15801538" y="32748175"/>
                            <a:ext cx="17929325" cy="629480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召开市招商引智领导小组办公室会议（10亩以上提交市政府常务会议审议），综合考量评审赋分情况、拟供地块情况、负面清单征询、产业类型和企业意愿等因素，讨论确定拟供地企业名单。</w:t>
                              </w:r>
                            </w:p>
                          </w:txbxContent>
                        </wps:txbx>
                        <wps:bodyPr anchor="ctr"/>
                      </wps:wsp>
                      <wps:wsp>
                        <wps:cNvPr id="189" name="矩形 189"/>
                        <wps:cNvSpPr/>
                        <wps:spPr>
                          <a:xfrm>
                            <a:off x="15801538" y="-410973"/>
                            <a:ext cx="17929325" cy="8215888"/>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各乡镇街道、开发区等向东阳市工业企业“阳光供地”系统提交拟出让成熟地块（指已完成政策处理、用地审批、三通一平等前期工作，具备直接出让条件的建设用地）信息，包括地块区域位置、面积大小、入驻行业类别（按照国民经济</w:t>
                              </w:r>
                              <w:r>
                                <w:rPr>
                                  <w:rFonts w:hint="eastAsia" w:ascii="仿宋_GB2312" w:eastAsia="仿宋_GB2312" w:cstheme="minorBidi"/>
                                  <w:color w:val="000000" w:themeColor="text1"/>
                                  <w:kern w:val="24"/>
                                  <w:sz w:val="22"/>
                                  <w:szCs w:val="22"/>
                                  <w:lang w:eastAsia="zh-CN"/>
                                  <w14:textFill>
                                    <w14:solidFill>
                                      <w14:schemeClr w14:val="tx1"/>
                                    </w14:solidFill>
                                  </w14:textFill>
                                </w:rPr>
                                <w:t>行业三级代码分类，</w:t>
                              </w:r>
                              <w:r>
                                <w:rPr>
                                  <w:rFonts w:hint="eastAsia" w:ascii="仿宋_GB2312" w:eastAsia="仿宋_GB2312" w:cstheme="minorBidi"/>
                                  <w:color w:val="000000" w:themeColor="text1"/>
                                  <w:kern w:val="24"/>
                                  <w:sz w:val="22"/>
                                  <w:szCs w:val="22"/>
                                  <w14:textFill>
                                    <w14:solidFill>
                                      <w14:schemeClr w14:val="tx1"/>
                                    </w14:solidFill>
                                  </w14:textFill>
                                </w:rPr>
                                <w:t>允许1-2个行业）、要素指标等内容。</w:t>
                              </w:r>
                            </w:p>
                          </w:txbxContent>
                        </wps:txbx>
                        <wps:bodyPr anchor="ctr"/>
                      </wps:wsp>
                      <wps:wsp>
                        <wps:cNvPr id="190" name="右箭头 190"/>
                        <wps:cNvSpPr/>
                        <wps:spPr>
                          <a:xfrm>
                            <a:off x="8678617" y="2840773"/>
                            <a:ext cx="6340189" cy="1536244"/>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191" name="矩形 191"/>
                        <wps:cNvSpPr/>
                        <wps:spPr>
                          <a:xfrm>
                            <a:off x="0" y="10054188"/>
                            <a:ext cx="7905666" cy="216248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用地申请</w:t>
                              </w:r>
                            </w:p>
                          </w:txbxContent>
                        </wps:txbx>
                        <wps:bodyPr anchor="ctr"/>
                      </wps:wsp>
                      <wps:wsp>
                        <wps:cNvPr id="192" name="矩形 192"/>
                        <wps:cNvSpPr/>
                        <wps:spPr>
                          <a:xfrm>
                            <a:off x="0" y="16424016"/>
                            <a:ext cx="7905667" cy="2162484"/>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评审赋分</w:t>
                              </w:r>
                            </w:p>
                          </w:txbxContent>
                        </wps:txbx>
                        <wps:bodyPr anchor="ctr"/>
                      </wps:wsp>
                      <wps:wsp>
                        <wps:cNvPr id="193" name="矩形 193"/>
                        <wps:cNvSpPr/>
                        <wps:spPr>
                          <a:xfrm>
                            <a:off x="0" y="22559207"/>
                            <a:ext cx="7905666" cy="2152696"/>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匹配企业</w:t>
                              </w:r>
                            </w:p>
                          </w:txbxContent>
                        </wps:txbx>
                        <wps:bodyPr anchor="ctr"/>
                      </wps:wsp>
                      <wps:wsp>
                        <wps:cNvPr id="194" name="矩形 194"/>
                        <wps:cNvSpPr/>
                        <wps:spPr>
                          <a:xfrm>
                            <a:off x="0" y="28413232"/>
                            <a:ext cx="7905666" cy="2152696"/>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实地考察</w:t>
                              </w:r>
                            </w:p>
                          </w:txbxContent>
                        </wps:txbx>
                        <wps:bodyPr anchor="ctr"/>
                      </wps:wsp>
                      <wps:wsp>
                        <wps:cNvPr id="195" name="矩形 195"/>
                        <wps:cNvSpPr/>
                        <wps:spPr>
                          <a:xfrm>
                            <a:off x="0" y="34647337"/>
                            <a:ext cx="7905666" cy="2162484"/>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结果运用</w:t>
                              </w:r>
                            </w:p>
                          </w:txbxContent>
                        </wps:txbx>
                        <wps:bodyPr anchor="ctr"/>
                      </wps:wsp>
                      <wps:wsp>
                        <wps:cNvPr id="196" name="右箭头 196"/>
                        <wps:cNvSpPr/>
                        <wps:spPr>
                          <a:xfrm>
                            <a:off x="8678617" y="10357526"/>
                            <a:ext cx="6340189" cy="1555808"/>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197" name="右箭头 197"/>
                        <wps:cNvSpPr/>
                        <wps:spPr>
                          <a:xfrm>
                            <a:off x="8913441" y="16737135"/>
                            <a:ext cx="6340189" cy="1536245"/>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198" name="右箭头 198"/>
                        <wps:cNvSpPr/>
                        <wps:spPr>
                          <a:xfrm>
                            <a:off x="8913438" y="22862545"/>
                            <a:ext cx="6340189" cy="1546026"/>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199" name="右箭头 199"/>
                        <wps:cNvSpPr/>
                        <wps:spPr>
                          <a:xfrm>
                            <a:off x="8678617" y="28716571"/>
                            <a:ext cx="6340189" cy="1546026"/>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0" name="右箭头 200"/>
                        <wps:cNvSpPr/>
                        <wps:spPr>
                          <a:xfrm>
                            <a:off x="8678617" y="34960451"/>
                            <a:ext cx="6340189" cy="1546026"/>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1" name="右箭头 201"/>
                        <wps:cNvSpPr/>
                        <wps:spPr>
                          <a:xfrm rot="5400000">
                            <a:off x="2680787" y="6182837"/>
                            <a:ext cx="2544098" cy="1545907"/>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2" name="右箭头 202"/>
                        <wps:cNvSpPr/>
                        <wps:spPr>
                          <a:xfrm rot="5400000">
                            <a:off x="2685680" y="13587520"/>
                            <a:ext cx="2534308" cy="1545910"/>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3" name="右箭头 203"/>
                        <wps:cNvSpPr/>
                        <wps:spPr>
                          <a:xfrm rot="5400000">
                            <a:off x="2685680" y="19875273"/>
                            <a:ext cx="2534308" cy="1545910"/>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4" name="右箭头 204"/>
                        <wps:cNvSpPr/>
                        <wps:spPr>
                          <a:xfrm rot="5400000">
                            <a:off x="2680787" y="25773640"/>
                            <a:ext cx="2544098" cy="1545907"/>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5" name="右箭头 205"/>
                        <wps:cNvSpPr/>
                        <wps:spPr>
                          <a:xfrm rot="5400000">
                            <a:off x="2744379" y="31758230"/>
                            <a:ext cx="2534316" cy="1545907"/>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6" name="矩形 206"/>
                        <wps:cNvSpPr/>
                        <wps:spPr>
                          <a:xfrm>
                            <a:off x="15791769" y="39591051"/>
                            <a:ext cx="17929319" cy="5088203"/>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拟供地企业名单在东阳市人民政府网站按照要求进行7天公示，公示期间有举报投诉的第一时间进行核实并反馈。公示结束后，资规部门依法供地。</w:t>
                              </w:r>
                            </w:p>
                          </w:txbxContent>
                        </wps:txbx>
                        <wps:bodyPr anchor="ctr"/>
                      </wps:wsp>
                      <wps:wsp>
                        <wps:cNvPr id="207" name="矩形 207"/>
                        <wps:cNvSpPr/>
                        <wps:spPr>
                          <a:xfrm>
                            <a:off x="0" y="40863103"/>
                            <a:ext cx="7905666" cy="2162484"/>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阳光公示</w:t>
                              </w:r>
                            </w:p>
                          </w:txbxContent>
                        </wps:txbx>
                        <wps:bodyPr anchor="ctr"/>
                      </wps:wsp>
                      <wps:wsp>
                        <wps:cNvPr id="208" name="右箭头 208"/>
                        <wps:cNvSpPr/>
                        <wps:spPr>
                          <a:xfrm>
                            <a:off x="8678617" y="41166442"/>
                            <a:ext cx="6340189" cy="1546026"/>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s:wsp>
                        <wps:cNvPr id="209" name="右箭头 209"/>
                        <wps:cNvSpPr/>
                        <wps:spPr>
                          <a:xfrm rot="5400000">
                            <a:off x="2744379" y="37900905"/>
                            <a:ext cx="2534316" cy="1545907"/>
                          </a:xfrm>
                          <a:prstGeom prst="rightArrow">
                            <a:avLst/>
                          </a:prstGeom>
                          <a:solidFill>
                            <a:srgbClr val="00B0F0"/>
                          </a:solidFill>
                          <a:ln w="635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anchor="ctr"/>
                      </wps:wsp>
                    </wpg:wgp>
                  </a:graphicData>
                </a:graphic>
              </wp:anchor>
            </w:drawing>
          </mc:Choice>
          <mc:Fallback>
            <w:pict>
              <v:group id="组合 13" o:spid="_x0000_s1026" o:spt="203" style="position:absolute;left:0pt;margin-left:15.15pt;margin-top:9pt;height:576pt;width:430.9pt;z-index:251659264;mso-width-relative:page;mso-height-relative:page;" coordorigin="0,-410973" coordsize="33730863,45090227" o:gfxdata="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">
                <o:lock v:ext="edit" aspectratio="f"/>
                <v:rect id="_x0000_s1026" o:spid="_x0000_s1026" o:spt="1" style="position:absolute;left:0;top:2527659;height:2162485;width:7905666;v-text-anchor:middle;" fillcolor="#FFFFFF [3212]" filled="t" stroked="t" coordsize="21600,21600" o:gfxdata="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OM4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地块收集</w:t>
                        </w:r>
                      </w:p>
                    </w:txbxContent>
                  </v:textbox>
                </v:rect>
                <v:rect id="_x0000_s1026" o:spid="_x0000_s1026" o:spt="1" style="position:absolute;left:15801541;top:8277042;height:6221782;width:17929322;v-text-anchor:middle;" fillcolor="#FFFFFF [3212]" filled="t" stroked="t" coordsize="21600,21600" o:gfxdata="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0XtM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有用地需求的内培工业企业通过东阳市工业企业“阳光供地”系统提交用地申请，包括项目情况（含投资总额、投资强度、亩均产值、亩均税收）、用地需求等信息。</w:t>
                        </w:r>
                      </w:p>
                    </w:txbxContent>
                  </v:textbox>
                </v:rect>
                <v:rect id="_x0000_s1026" o:spid="_x0000_s1026" o:spt="1" style="position:absolute;left:15801538;top:14939973;height:6370869;width:17929325;v-text-anchor:middle;" fillcolor="#FFFFFF [3212]" filled="t" stroked="t" coordsize="21600,21600" o:gfxdata="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d7X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市经信局通过东阳市工业企业“阳光供地”系统（端口向市纪委开放并接受监督），根据经济效益、企业成长、项目质量、</w:t>
                        </w:r>
                        <w:r>
                          <w:rPr>
                            <w:rFonts w:hint="eastAsia" w:ascii="仿宋_GB2312" w:eastAsia="仿宋_GB2312" w:cstheme="minorBidi"/>
                            <w:color w:val="000000" w:themeColor="text1"/>
                            <w:kern w:val="24"/>
                            <w:sz w:val="22"/>
                            <w:szCs w:val="22"/>
                            <w:lang w:eastAsia="zh-CN"/>
                            <w14:textFill>
                              <w14:solidFill>
                                <w14:schemeClr w14:val="tx1"/>
                              </w14:solidFill>
                            </w14:textFill>
                          </w:rPr>
                          <w:t>科技创新</w:t>
                        </w:r>
                        <w:r>
                          <w:rPr>
                            <w:rFonts w:hint="eastAsia" w:ascii="仿宋_GB2312" w:eastAsia="仿宋_GB2312" w:cstheme="minorBidi"/>
                            <w:color w:val="000000" w:themeColor="text1"/>
                            <w:kern w:val="24"/>
                            <w:sz w:val="22"/>
                            <w:szCs w:val="22"/>
                            <w14:textFill>
                              <w14:solidFill>
                                <w14:schemeClr w14:val="tx1"/>
                              </w14:solidFill>
                            </w14:textFill>
                          </w:rPr>
                          <w:t>、转型升级</w:t>
                        </w:r>
                        <w:r>
                          <w:rPr>
                            <w:rFonts w:hint="eastAsia" w:ascii="仿宋_GB2312" w:eastAsia="仿宋_GB2312" w:cstheme="minorBidi"/>
                            <w:color w:val="000000" w:themeColor="text1"/>
                            <w:kern w:val="24"/>
                            <w:sz w:val="22"/>
                            <w:szCs w:val="22"/>
                            <w:lang w:eastAsia="zh-CN"/>
                            <w14:textFill>
                              <w14:solidFill>
                                <w14:schemeClr w14:val="tx1"/>
                              </w14:solidFill>
                            </w14:textFill>
                          </w:rPr>
                          <w:t>和</w:t>
                        </w:r>
                        <w:r>
                          <w:rPr>
                            <w:rFonts w:hint="eastAsia" w:ascii="仿宋_GB2312" w:eastAsia="仿宋_GB2312" w:cstheme="minorBidi"/>
                            <w:color w:val="000000" w:themeColor="text1"/>
                            <w:kern w:val="24"/>
                            <w:sz w:val="22"/>
                            <w:szCs w:val="22"/>
                            <w14:textFill>
                              <w14:solidFill>
                                <w14:schemeClr w14:val="tx1"/>
                              </w14:solidFill>
                            </w14:textFill>
                          </w:rPr>
                          <w:t>个性指标6项内容进行赋分。</w:t>
                        </w:r>
                      </w:p>
                    </w:txbxContent>
                  </v:textbox>
                </v:rect>
                <v:rect id="_x0000_s1026" o:spid="_x0000_s1026" o:spt="1" style="position:absolute;left:15801538;top:21713851;height:4177806;width:17929325;v-text-anchor:middle;" fillcolor="#FFFFFF [3212]" filled="t" stroked="t" coordsize="21600,21600" o:gfxdata="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0Cg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市经信局根据地块信息和申请用地企业申报意愿、评审赋分情况，每个地块按照用地需求企业分值高低进行匹配，初步选取3家。</w:t>
                        </w:r>
                      </w:p>
                    </w:txbxContent>
                  </v:textbox>
                </v:rect>
                <v:rect id="_x0000_s1026" o:spid="_x0000_s1026" o:spt="1" style="position:absolute;left:15801538;top:26302636;height:6034375;width:17929325;v-text-anchor:middle;" fillcolor="#FFFFFF [3212]" filled="t" stroked="t" coordsize="21600,21600" o:gfxdata="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PlO7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市经信局组织发改局、科技局、自然资源和规划局、应急管理局、生态环境局等部门和属地对企业开展“1+5+X”现场评审（多次匹配的原则上只上门一次），结合评审情况和项目可行性报告，提出初步匹配建议方案。</w:t>
                        </w:r>
                      </w:p>
                    </w:txbxContent>
                  </v:textbox>
                </v:rect>
                <v:rect id="_x0000_s1026" o:spid="_x0000_s1026" o:spt="1" style="position:absolute;left:15801538;top:32748175;height:6294800;width:17929325;v-text-anchor:middle;" fillcolor="#FFFFFF [3212]" filled="t" stroked="t" coordsize="21600,21600" o:gfxdata="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xxS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召开市招商引智领导小组办公室会议（10亩以上提交市政府常务会议审议），综合考量评审赋分情况、拟供地块情况、负面清单征询、产业类型和企业意愿等因素，讨论确定拟供地企业名单。</w:t>
                        </w:r>
                      </w:p>
                    </w:txbxContent>
                  </v:textbox>
                </v:rect>
                <v:rect id="_x0000_s1026" o:spid="_x0000_s1026" o:spt="1" style="position:absolute;left:15801538;top:-410973;height:8215888;width:17929325;v-text-anchor:middle;" fillcolor="#FFFFFF [3212]" filled="t" stroked="t" coordsize="21600,21600" o:gfxdata="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DU0r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各乡镇街道、开发区等向东阳市工业企业“阳光供地”系统提交拟出让成熟地块（指已完成政策处理、用地审批、三通一平等前期工作，具备直接出让条件的建设用地）信息，包括地块区域位置、面积大小、入驻行业类别（按照国民经济</w:t>
                        </w:r>
                        <w:r>
                          <w:rPr>
                            <w:rFonts w:hint="eastAsia" w:ascii="仿宋_GB2312" w:eastAsia="仿宋_GB2312" w:cstheme="minorBidi"/>
                            <w:color w:val="000000" w:themeColor="text1"/>
                            <w:kern w:val="24"/>
                            <w:sz w:val="22"/>
                            <w:szCs w:val="22"/>
                            <w:lang w:eastAsia="zh-CN"/>
                            <w14:textFill>
                              <w14:solidFill>
                                <w14:schemeClr w14:val="tx1"/>
                              </w14:solidFill>
                            </w14:textFill>
                          </w:rPr>
                          <w:t>行业三级代码分类，</w:t>
                        </w:r>
                        <w:r>
                          <w:rPr>
                            <w:rFonts w:hint="eastAsia" w:ascii="仿宋_GB2312" w:eastAsia="仿宋_GB2312" w:cstheme="minorBidi"/>
                            <w:color w:val="000000" w:themeColor="text1"/>
                            <w:kern w:val="24"/>
                            <w:sz w:val="22"/>
                            <w:szCs w:val="22"/>
                            <w14:textFill>
                              <w14:solidFill>
                                <w14:schemeClr w14:val="tx1"/>
                              </w14:solidFill>
                            </w14:textFill>
                          </w:rPr>
                          <w:t>允许1-2个行业）、要素指标等内容。</w:t>
                        </w:r>
                      </w:p>
                    </w:txbxContent>
                  </v:textbox>
                </v:rect>
                <v:shape id="_x0000_s1026" o:spid="_x0000_s1026" o:spt="13" type="#_x0000_t13" style="position:absolute;left:8678617;top:2840773;height:1536244;width:6340189;v-text-anchor:middle;" fillcolor="#00B0F0" filled="t" stroked="t" coordsize="21600,21600" o:gfxdata="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4a7vQAA&#10;ANwAAAAPAAAAAAAAAAEAIAAAACIAAABkcnMvZG93bnJldi54bWxQSwECFAAUAAAACACHTuJAMy8F&#10;njsAAAA5AAAAEAAAAAAAAAABACAAAAAMAQAAZHJzL3NoYXBleG1sLnhtbFBLBQYAAAAABgAGAFsB&#10;AAC2AwAAAAA=&#10;" adj="18984,5400">
                  <v:fill on="t" focussize="0,0"/>
                  <v:stroke weight="0.5pt" color="#000000 [3213]" joinstyle="round"/>
                  <v:imagedata o:title=""/>
                  <o:lock v:ext="edit" aspectratio="f"/>
                </v:shape>
                <v:rect id="_x0000_s1026" o:spid="_x0000_s1026" o:spt="1" style="position:absolute;left:0;top:10054188;height:2162485;width:7905666;v-text-anchor:middle;" fillcolor="#FFFFFF [3212]" filled="t" stroked="t" coordsize="21600,21600" o:gfxdata="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9OCb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用地申请</w:t>
                        </w:r>
                      </w:p>
                    </w:txbxContent>
                  </v:textbox>
                </v:rect>
                <v:rect id="_x0000_s1026" o:spid="_x0000_s1026" o:spt="1" style="position:absolute;left:0;top:16424016;height:2162484;width:7905667;v-text-anchor:middle;" fillcolor="#FFFFFF [3212]" filled="t" stroked="t" coordsize="21600,21600" o:gfxdata="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3Qfr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评审赋分</w:t>
                        </w:r>
                      </w:p>
                    </w:txbxContent>
                  </v:textbox>
                </v:rect>
                <v:rect id="_x0000_s1026" o:spid="_x0000_s1026" o:spt="1" style="position:absolute;left:0;top:22559207;height:2152696;width:7905666;v-text-anchor:middle;" fillcolor="#FFFFFF [3212]" filled="t" stroked="t" coordsize="21600,21600" o:gfxdata="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hdeW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匹配企业</w:t>
                        </w:r>
                      </w:p>
                    </w:txbxContent>
                  </v:textbox>
                </v:rect>
                <v:rect id="_x0000_s1026" o:spid="_x0000_s1026" o:spt="1" style="position:absolute;left:0;top:28413232;height:2152696;width:7905666;v-text-anchor:middle;" fillcolor="#FFFFFF [3212]" filled="t" stroked="t" coordsize="21600,21600" o:gfxdata="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I7ZG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实地考察</w:t>
                        </w:r>
                      </w:p>
                    </w:txbxContent>
                  </v:textbox>
                </v:rect>
                <v:rect id="_x0000_s1026" o:spid="_x0000_s1026" o:spt="1" style="position:absolute;left:0;top:34647337;height:2162484;width:7905666;v-text-anchor:middle;" fillcolor="#FFFFFF [3212]" filled="t" stroked="t" coordsize="21600,21600" o:gfxdata="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ESAq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结果运用</w:t>
                        </w:r>
                      </w:p>
                    </w:txbxContent>
                  </v:textbox>
                </v:rect>
                <v:shape id="_x0000_s1026" o:spid="_x0000_s1026" o:spt="13" type="#_x0000_t13" style="position:absolute;left:8678617;top:10357526;height:1555808;width:6340189;v-text-anchor:middle;" fillcolor="#00B0F0" filled="t" stroked="t" coordsize="21600,21600" o:gfxdata="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K0wSvQAA&#10;ANwAAAAPAAAAAAAAAAEAIAAAACIAAABkcnMvZG93bnJldi54bWxQSwECFAAUAAAACACHTuJAMy8F&#10;njsAAAA5AAAAEAAAAAAAAAABACAAAAAMAQAAZHJzL3NoYXBleG1sLnhtbFBLBQYAAAAABgAGAFsB&#10;AAC2AwAAAAA=&#10;" adj="18950,5400">
                  <v:fill on="t" focussize="0,0"/>
                  <v:stroke weight="0.5pt" color="#000000 [3213]" joinstyle="round"/>
                  <v:imagedata o:title=""/>
                  <o:lock v:ext="edit" aspectratio="f"/>
                </v:shape>
                <v:shape id="_x0000_s1026" o:spid="_x0000_s1026" o:spt="13" type="#_x0000_t13" style="position:absolute;left:8913441;top:16737135;height:1536245;width:6340189;v-text-anchor:middle;" fillcolor="#00B0F0" filled="t" stroked="t" coordsize="21600,21600" o:gfxdata="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2h7PugAAANwA&#10;AAAPAAAAAAAAAAEAIAAAACIAAABkcnMvZG93bnJldi54bWxQSwECFAAUAAAACACHTuJAMy8FnjsA&#10;AAA5AAAAEAAAAAAAAAABACAAAAAJAQAAZHJzL3NoYXBleG1sLnhtbFBLBQYAAAAABgAGAFsBAACz&#10;AwAAAAA=&#10;" adj="18984,5400">
                  <v:fill on="t" focussize="0,0"/>
                  <v:stroke weight="0.5pt" color="#000000 [3213]" joinstyle="round"/>
                  <v:imagedata o:title=""/>
                  <o:lock v:ext="edit" aspectratio="f"/>
                </v:shape>
                <v:shape id="_x0000_s1026" o:spid="_x0000_s1026" o:spt="13" type="#_x0000_t13" style="position:absolute;left:8913438;top:22862545;height:1546026;width:6340189;v-text-anchor:middle;" fillcolor="#00B0F0" filled="t" stroked="t" coordsize="21600,21600" o:gfxdata="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8MHL4A&#10;AADcAAAADwAAAAAAAAABACAAAAAiAAAAZHJzL2Rvd25yZXYueG1sUEsBAhQAFAAAAAgAh07iQDMv&#10;BZ47AAAAOQAAABAAAAAAAAAAAQAgAAAADQEAAGRycy9zaGFwZXhtbC54bWxQSwUGAAAAAAYABgBb&#10;AQAAtwMAAAAA&#10;" adj="18967,5400">
                  <v:fill on="t" focussize="0,0"/>
                  <v:stroke weight="0.5pt" color="#000000 [3213]" joinstyle="round"/>
                  <v:imagedata o:title=""/>
                  <o:lock v:ext="edit" aspectratio="f"/>
                </v:shape>
                <v:shape id="_x0000_s1026" o:spid="_x0000_s1026" o:spt="13" type="#_x0000_t13" style="position:absolute;left:8678617;top:28716571;height:1546026;width:6340189;v-text-anchor:middle;" fillcolor="#00B0F0" filled="t" stroked="t" coordsize="21600,21600" o:gfxdata="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46mHugAAANwA&#10;AAAPAAAAAAAAAAEAIAAAACIAAABkcnMvZG93bnJldi54bWxQSwECFAAUAAAACACHTuJAMy8FnjsA&#10;AAA5AAAAEAAAAAAAAAABACAAAAAJAQAAZHJzL3NoYXBleG1sLnhtbFBLBQYAAAAABgAGAFsBAACz&#10;AwAAAAA=&#10;" adj="18967,5400">
                  <v:fill on="t" focussize="0,0"/>
                  <v:stroke weight="0.5pt" color="#000000 [3213]" joinstyle="round"/>
                  <v:imagedata o:title=""/>
                  <o:lock v:ext="edit" aspectratio="f"/>
                </v:shape>
                <v:shape id="_x0000_s1026" o:spid="_x0000_s1026" o:spt="13" type="#_x0000_t13" style="position:absolute;left:8678617;top:34960451;height:1546026;width:6340189;v-text-anchor:middle;" fillcolor="#00B0F0" filled="t" stroked="t" coordsize="21600,21600" o:gfxdata="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29OG8AAAA&#10;3AAAAA8AAAAAAAAAAQAgAAAAIgAAAGRycy9kb3ducmV2LnhtbFBLAQIUABQAAAAIAIdO4kAzLwWe&#10;OwAAADkAAAAQAAAAAAAAAAEAIAAAAAsBAABkcnMvc2hhcGV4bWwueG1sUEsFBgAAAAAGAAYAWwEA&#10;ALUDAAAAAA==&#10;" adj="18967,5400">
                  <v:fill on="t" focussize="0,0"/>
                  <v:stroke weight="0.5pt" color="#000000 [3213]" joinstyle="round"/>
                  <v:imagedata o:title=""/>
                  <o:lock v:ext="edit" aspectratio="f"/>
                </v:shape>
                <v:shape id="_x0000_s1026" o:spid="_x0000_s1026" o:spt="13" type="#_x0000_t13" style="position:absolute;left:2680787;top:6182837;height:1545907;width:2544098;rotation:5898240f;v-text-anchor:middle;" fillcolor="#00B0F0" filled="t" stroked="t" coordsize="21600,21600" o:gfxdata="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7vL1vQAA&#10;ANwAAAAPAAAAAAAAAAEAIAAAACIAAABkcnMvZG93bnJldi54bWxQSwECFAAUAAAACACHTuJAMy8F&#10;njsAAAA5AAAAEAAAAAAAAAABACAAAAAMAQAAZHJzL3NoYXBleG1sLnhtbFBLBQYAAAAABgAGAFsB&#10;AAC2AwAAAAA=&#10;" adj="15038,5400">
                  <v:fill on="t" focussize="0,0"/>
                  <v:stroke weight="0.5pt" color="#000000 [3213]" joinstyle="round"/>
                  <v:imagedata o:title=""/>
                  <o:lock v:ext="edit" aspectratio="f"/>
                </v:shape>
                <v:shape id="_x0000_s1026" o:spid="_x0000_s1026" o:spt="13" type="#_x0000_t13" style="position:absolute;left:2685680;top:13587520;height:1545910;width:2534308;rotation:5898240f;v-text-anchor:middle;" fillcolor="#00B0F0" filled="t" stroked="t" coordsize="21600,21600" o:gfxdata="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g8RA&#10;wAAAANwAAAAPAAAAAAAAAAEAIAAAACIAAABkcnMvZG93bnJldi54bWxQSwECFAAUAAAACACHTuJA&#10;My8FnjsAAAA5AAAAEAAAAAAAAAABACAAAAAPAQAAZHJzL3NoYXBleG1sLnhtbFBLBQYAAAAABgAG&#10;AFsBAAC5AwAAAAA=&#10;" adj="15013,5400">
                  <v:fill on="t" focussize="0,0"/>
                  <v:stroke weight="0.5pt" color="#000000 [3213]" joinstyle="round"/>
                  <v:imagedata o:title=""/>
                  <o:lock v:ext="edit" aspectratio="f"/>
                </v:shape>
                <v:shape id="_x0000_s1026" o:spid="_x0000_s1026" o:spt="13" type="#_x0000_t13" style="position:absolute;left:2685680;top:19875273;height:1545910;width:2534308;rotation:5898240f;v-text-anchor:middle;" fillcolor="#00B0F0" filled="t" stroked="t" coordsize="21600,21600" o:gfxdata="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z2Hb&#10;wAAAANwAAAAPAAAAAAAAAAEAIAAAACIAAABkcnMvZG93bnJldi54bWxQSwECFAAUAAAACACHTuJA&#10;My8FnjsAAAA5AAAAEAAAAAAAAAABACAAAAAPAQAAZHJzL3NoYXBleG1sLnhtbFBLBQYAAAAABgAG&#10;AFsBAAC5AwAAAAA=&#10;" adj="15013,5400">
                  <v:fill on="t" focussize="0,0"/>
                  <v:stroke weight="0.5pt" color="#000000 [3213]" joinstyle="round"/>
                  <v:imagedata o:title=""/>
                  <o:lock v:ext="edit" aspectratio="f"/>
                </v:shape>
                <v:shape id="_x0000_s1026" o:spid="_x0000_s1026" o:spt="13" type="#_x0000_t13" style="position:absolute;left:2680787;top:25773640;height:1545907;width:2544098;rotation:5898240f;v-text-anchor:middle;" fillcolor="#00B0F0" filled="t" stroked="t" coordsize="21600,21600" o:gfxdata="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FtvQAA&#10;ANwAAAAPAAAAAAAAAAEAIAAAACIAAABkcnMvZG93bnJldi54bWxQSwECFAAUAAAACACHTuJAMy8F&#10;njsAAAA5AAAAEAAAAAAAAAABACAAAAAMAQAAZHJzL3NoYXBleG1sLnhtbFBLBQYAAAAABgAGAFsB&#10;AAC2AwAAAAA=&#10;" adj="15038,5400">
                  <v:fill on="t" focussize="0,0"/>
                  <v:stroke weight="0.5pt" color="#000000 [3213]" joinstyle="round"/>
                  <v:imagedata o:title=""/>
                  <o:lock v:ext="edit" aspectratio="f"/>
                </v:shape>
                <v:shape id="_x0000_s1026" o:spid="_x0000_s1026" o:spt="13" type="#_x0000_t13" style="position:absolute;left:2744379;top:31758230;height:1545907;width:2534316;rotation:5898240f;v-text-anchor:middle;" fillcolor="#00B0F0" filled="t" stroked="t" coordsize="21600,21600" o:gfxdata="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alw0&#10;wAAAANwAAAAPAAAAAAAAAAEAIAAAACIAAABkcnMvZG93bnJldi54bWxQSwECFAAUAAAACACHTuJA&#10;My8FnjsAAAA5AAAAEAAAAAAAAAABACAAAAAPAQAAZHJzL3NoYXBleG1sLnhtbFBLBQYAAAAABgAG&#10;AFsBAAC5AwAAAAA=&#10;" adj="15013,5400">
                  <v:fill on="t" focussize="0,0"/>
                  <v:stroke weight="0.5pt" color="#000000 [3213]" joinstyle="round"/>
                  <v:imagedata o:title=""/>
                  <o:lock v:ext="edit" aspectratio="f"/>
                </v:shape>
                <v:rect id="_x0000_s1026" o:spid="_x0000_s1026" o:spt="1" style="position:absolute;left:15791769;top:39591051;height:5088203;width:17929319;v-text-anchor:middle;" fillcolor="#FFFFFF [3212]" filled="t" stroked="t" coordsize="21600,21600" o:gfxdata="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kih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pStyle w:val="7"/>
                          <w:spacing w:before="0" w:beforeAutospacing="0" w:after="0" w:afterAutospacing="0"/>
                          <w:textAlignment w:val="baseline"/>
                        </w:pPr>
                        <w:r>
                          <w:rPr>
                            <w:rFonts w:hint="eastAsia" w:ascii="仿宋_GB2312" w:eastAsia="仿宋_GB2312" w:cstheme="minorBidi"/>
                            <w:color w:val="000000" w:themeColor="text1"/>
                            <w:kern w:val="24"/>
                            <w:sz w:val="22"/>
                            <w:szCs w:val="22"/>
                            <w14:textFill>
                              <w14:solidFill>
                                <w14:schemeClr w14:val="tx1"/>
                              </w14:solidFill>
                            </w14:textFill>
                          </w:rPr>
                          <w:t>拟供地企业名单在东阳市人民政府网站按照要求进行7天公示，公示期间有举报投诉的第一时间进行核实并反馈。公示结束后，资规部门依法供地。</w:t>
                        </w:r>
                      </w:p>
                    </w:txbxContent>
                  </v:textbox>
                </v:rect>
                <v:rect id="_x0000_s1026" o:spid="_x0000_s1026" o:spt="1" style="position:absolute;left:0;top:40863103;height:2162484;width:7905666;v-text-anchor:middle;" fillcolor="#FFFFFF [3212]" filled="t" stroked="t" coordsize="21600,21600" o:gfxdata="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HH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pStyle w:val="7"/>
                          <w:spacing w:before="0" w:beforeAutospacing="0" w:after="0" w:afterAutospacing="0"/>
                          <w:jc w:val="center"/>
                          <w:textAlignment w:val="baseline"/>
                        </w:pPr>
                        <w:r>
                          <w:rPr>
                            <w:rFonts w:hint="eastAsia" w:ascii="仿宋_GB2312" w:eastAsia="仿宋_GB2312" w:cstheme="minorBidi"/>
                            <w:color w:val="000000" w:themeColor="text1"/>
                            <w:kern w:val="24"/>
                            <w:sz w:val="28"/>
                            <w:szCs w:val="28"/>
                            <w14:textFill>
                              <w14:solidFill>
                                <w14:schemeClr w14:val="tx1"/>
                              </w14:solidFill>
                            </w14:textFill>
                          </w:rPr>
                          <w:t>阳光公示</w:t>
                        </w:r>
                      </w:p>
                    </w:txbxContent>
                  </v:textbox>
                </v:rect>
                <v:shape id="_x0000_s1026" o:spid="_x0000_s1026" o:spt="13" type="#_x0000_t13" style="position:absolute;left:8678617;top:41166442;height:1546026;width:6340189;v-text-anchor:middle;" fillcolor="#00B0F0" filled="t" stroked="t" coordsize="21600,21600" o:gfxdata="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D457sAAADc&#10;AAAADwAAAAAAAAABACAAAAAiAAAAZHJzL2Rvd25yZXYueG1sUEsBAhQAFAAAAAgAh07iQDMvBZ47&#10;AAAAOQAAABAAAAAAAAAAAQAgAAAACgEAAGRycy9zaGFwZXhtbC54bWxQSwUGAAAAAAYABgBbAQAA&#10;tAMAAAAA&#10;" adj="18967,5400">
                  <v:fill on="t" focussize="0,0"/>
                  <v:stroke weight="0.5pt" color="#000000 [3213]" joinstyle="round"/>
                  <v:imagedata o:title=""/>
                  <o:lock v:ext="edit" aspectratio="f"/>
                </v:shape>
                <v:shape id="_x0000_s1026" o:spid="_x0000_s1026" o:spt="13" type="#_x0000_t13" style="position:absolute;left:2744379;top:37900905;height:1545907;width:2534316;rotation:5898240f;v-text-anchor:middle;" fillcolor="#00B0F0" filled="t" stroked="t" coordsize="21600,21600" o:gfxdata="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nVjG/&#10;AAAA3AAAAA8AAAAAAAAAAQAgAAAAIgAAAGRycy9kb3ducmV2LnhtbFBLAQIUABQAAAAIAIdO4kAz&#10;LwWeOwAAADkAAAAQAAAAAAAAAAEAIAAAAA4BAABkcnMvc2hhcGV4bWwueG1sUEsFBgAAAAAGAAYA&#10;WwEAALgDAAAAAA==&#10;" adj="15013,5400">
                  <v:fill on="t" focussize="0,0"/>
                  <v:stroke weight="0.5pt" color="#000000 [3213]" joinstyle="round"/>
                  <v:imagedata o:title=""/>
                  <o:lock v:ext="edit" aspectratio="f"/>
                </v:shape>
              </v:group>
            </w:pict>
          </mc:Fallback>
        </mc:AlternateContent>
      </w:r>
    </w:p>
    <w:p>
      <w:pPr>
        <w:spacing w:line="360" w:lineRule="auto"/>
        <w:jc w:val="center"/>
        <w:rPr>
          <w:rFonts w:ascii="宋体" w:hAnsi="宋体" w:eastAsia="宋体"/>
          <w:color w:val="000000"/>
        </w:rPr>
      </w:pPr>
    </w:p>
    <w:p>
      <w:pPr>
        <w:rPr>
          <w:rFonts w:ascii="宋体" w:hAnsi="宋体" w:eastAsia="宋体"/>
          <w:color w:val="000000"/>
        </w:rPr>
      </w:pPr>
      <w:r>
        <w:rPr>
          <w:rFonts w:ascii="宋体" w:hAnsi="宋体" w:eastAsia="宋体"/>
          <w:color w:val="000000"/>
        </w:rPr>
        <w:br w:type="page"/>
      </w:r>
      <w:bookmarkStart w:id="15" w:name="_GoBack"/>
      <w:bookmarkEnd w:id="15"/>
    </w:p>
    <w:p>
      <w:pPr>
        <w:suppressAutoHyphens/>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line="360" w:lineRule="auto"/>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color w:val="000000"/>
          <w:sz w:val="44"/>
        </w:rPr>
        <w:t>东阳市</w:t>
      </w:r>
      <w:r>
        <w:rPr>
          <w:rFonts w:ascii="方正小标宋简体" w:hAnsi="方正小标宋简体" w:eastAsia="方正小标宋简体" w:cs="方正小标宋简体"/>
          <w:color w:val="000000"/>
          <w:sz w:val="44"/>
        </w:rPr>
        <w:t>内培</w:t>
      </w:r>
      <w:r>
        <w:rPr>
          <w:rFonts w:hint="eastAsia" w:ascii="方正小标宋简体" w:hAnsi="方正小标宋简体" w:eastAsia="方正小标宋简体" w:cs="方正小标宋简体"/>
          <w:color w:val="000000"/>
          <w:sz w:val="44"/>
        </w:rPr>
        <w:t>工业企业“阳光供地”评审评分表</w:t>
      </w:r>
    </w:p>
    <w:tbl>
      <w:tblPr>
        <w:tblStyle w:val="8"/>
        <w:tblW w:w="874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451"/>
        <w:gridCol w:w="1156"/>
        <w:gridCol w:w="6565"/>
        <w:gridCol w:w="56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宋体" w:hAnsi="宋体" w:eastAsia="宋体"/>
                <w:color w:val="000000"/>
                <w:sz w:val="22"/>
              </w:rPr>
              <w:t>序号</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宋体" w:hAnsi="宋体" w:eastAsia="宋体"/>
                <w:color w:val="000000"/>
                <w:sz w:val="22"/>
              </w:rPr>
              <w:t>评审指标</w:t>
            </w:r>
          </w:p>
        </w:tc>
        <w:tc>
          <w:tcPr>
            <w:tcW w:w="6565"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宋体" w:hAnsi="宋体" w:eastAsia="宋体"/>
                <w:color w:val="000000"/>
                <w:sz w:val="22"/>
              </w:rPr>
              <w:t>评审内容及评分标准</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宋体" w:hAnsi="宋体" w:eastAsia="宋体"/>
                <w:color w:val="000000"/>
                <w:sz w:val="22"/>
              </w:rPr>
              <w:t>得分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restart"/>
            <w:tcBorders>
              <w:top w:val="single" w:color="auto" w:sz="4" w:space="0"/>
              <w:left w:val="single" w:color="auto" w:sz="4" w:space="0"/>
              <w:bottom w:val="single" w:color="auto" w:sz="4" w:space="0"/>
              <w:right w:val="single" w:color="auto" w:sz="4" w:space="0"/>
            </w:tcBorders>
            <w:vAlign w:val="center"/>
          </w:tcPr>
          <w:p>
            <w:pPr>
              <w:spacing w:line="191" w:lineRule="auto"/>
              <w:jc w:val="center"/>
              <w:rPr>
                <w:sz w:val="22"/>
              </w:rPr>
            </w:pPr>
            <w:r>
              <w:rPr>
                <w:rFonts w:hint="eastAsia"/>
                <w:sz w:val="22"/>
              </w:rPr>
              <w:t>1</w:t>
            </w: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23"/>
              <w:jc w:val="center"/>
              <w:rPr>
                <w:sz w:val="22"/>
              </w:rPr>
            </w:pPr>
            <w:r>
              <w:rPr>
                <w:rFonts w:hint="eastAsia" w:ascii="宋体" w:hAnsi="宋体" w:eastAsia="宋体"/>
                <w:color w:val="000000"/>
                <w:sz w:val="22"/>
              </w:rPr>
              <w:t>经济效益</w:t>
            </w:r>
            <w:r>
              <w:rPr>
                <w:rFonts w:hint="eastAsia" w:ascii="Calibri" w:hAnsi="Calibri" w:eastAsia="Calibri"/>
                <w:color w:val="000000"/>
                <w:sz w:val="22"/>
              </w:rPr>
              <w:t>（</w:t>
            </w:r>
            <w:r>
              <w:rPr>
                <w:rFonts w:ascii="Calibri" w:hAnsi="Calibri" w:eastAsia="Calibri"/>
                <w:color w:val="000000"/>
                <w:sz w:val="22"/>
              </w:rPr>
              <w:t xml:space="preserve">20 </w:t>
            </w:r>
            <w:r>
              <w:rPr>
                <w:rFonts w:hint="eastAsia" w:ascii="宋体" w:hAnsi="宋体" w:eastAsia="宋体"/>
                <w:color w:val="000000"/>
                <w:sz w:val="22"/>
              </w:rPr>
              <w:t>分</w:t>
            </w:r>
            <w:r>
              <w:rPr>
                <w:rFonts w:hint="eastAsia" w:ascii="Calibri" w:hAnsi="Calibri" w:eastAsia="Calibri"/>
                <w:color w:val="000000"/>
                <w:sz w:val="22"/>
              </w:rPr>
              <w:t>）</w:t>
            </w:r>
          </w:p>
        </w:tc>
        <w:tc>
          <w:tcPr>
            <w:tcW w:w="6565" w:type="dxa"/>
            <w:tcBorders>
              <w:top w:val="single" w:color="auto" w:sz="4" w:space="0"/>
              <w:left w:val="single" w:color="auto" w:sz="4" w:space="0"/>
              <w:bottom w:val="single" w:color="auto" w:sz="4" w:space="0"/>
              <w:right w:val="single" w:color="auto" w:sz="4" w:space="0"/>
            </w:tcBorders>
            <w:vAlign w:val="center"/>
          </w:tcPr>
          <w:p>
            <w:pPr>
              <w:spacing w:before="40"/>
              <w:ind w:left="132" w:right="117" w:firstLine="20"/>
              <w:rPr>
                <w:rFonts w:hint="eastAsia" w:asciiTheme="minorEastAsia" w:hAnsiTheme="minorEastAsia" w:eastAsiaTheme="minorEastAsia" w:cstheme="minorEastAsia"/>
                <w:sz w:val="22"/>
              </w:rPr>
            </w:pPr>
            <w:bookmarkStart w:id="7" w:name="OLE_LINK4"/>
            <w:r>
              <w:rPr>
                <w:rFonts w:hint="eastAsia" w:asciiTheme="minorEastAsia" w:hAnsiTheme="minorEastAsia" w:eastAsiaTheme="minorEastAsia" w:cstheme="minorEastAsia"/>
                <w:color w:val="000000"/>
                <w:sz w:val="22"/>
              </w:rPr>
              <w:t>1.上一年度亩均增加值达本市规上工业企业平均水平的，得5分，每增（减）1个百分点，加（减）0.1分，最高分8分。</w:t>
            </w:r>
            <w:bookmarkEnd w:id="7"/>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5" w:line="288" w:lineRule="auto"/>
              <w:ind w:left="232" w:right="117" w:hanging="1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2.上一年度亩均税收达本市规上工业企业平均水平的，得5分，每增（减）1个百分点，加（减）0.1分，最高分8分。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19" w:line="278" w:lineRule="auto"/>
              <w:ind w:left="152" w:right="157" w:hanging="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3.上一年度亩均产值达本市规上工业企业平均水平的，得3分，每增（减）1个百分点，加（减）0.2分，最高分4分。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restart"/>
            <w:tcBorders>
              <w:top w:val="single" w:color="auto" w:sz="4" w:space="0"/>
              <w:left w:val="single" w:color="auto" w:sz="4" w:space="0"/>
              <w:bottom w:val="single" w:color="auto" w:sz="4" w:space="0"/>
              <w:right w:val="single" w:color="auto" w:sz="4" w:space="0"/>
            </w:tcBorders>
            <w:vAlign w:val="center"/>
          </w:tcPr>
          <w:p>
            <w:pPr>
              <w:spacing w:before="85"/>
              <w:jc w:val="center"/>
              <w:rPr>
                <w:sz w:val="22"/>
              </w:rPr>
            </w:pPr>
            <w:r>
              <w:rPr>
                <w:rFonts w:hint="eastAsia" w:ascii="Calibri" w:hAnsi="Calibri" w:eastAsia="宋体"/>
                <w:color w:val="000000"/>
                <w:sz w:val="22"/>
              </w:rPr>
              <w:t>2</w:t>
            </w: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248"/>
              <w:jc w:val="center"/>
              <w:rPr>
                <w:sz w:val="22"/>
              </w:rPr>
            </w:pPr>
            <w:r>
              <w:rPr>
                <w:rFonts w:hint="eastAsia" w:ascii="宋体" w:hAnsi="宋体" w:eastAsia="宋体"/>
                <w:color w:val="000000"/>
                <w:sz w:val="22"/>
              </w:rPr>
              <w:t>企业成长</w:t>
            </w:r>
            <w:r>
              <w:rPr>
                <w:rFonts w:hint="eastAsia" w:ascii="Calibri" w:hAnsi="Calibri" w:eastAsia="Calibri"/>
                <w:color w:val="000000"/>
                <w:sz w:val="22"/>
              </w:rPr>
              <w:t>（</w:t>
            </w:r>
            <w:r>
              <w:rPr>
                <w:rFonts w:hint="eastAsia" w:ascii="Calibri" w:hAnsi="Calibri" w:eastAsia="宋体"/>
                <w:color w:val="000000"/>
                <w:sz w:val="22"/>
              </w:rPr>
              <w:t>30</w:t>
            </w:r>
            <w:r>
              <w:rPr>
                <w:rFonts w:hint="eastAsia" w:ascii="宋体" w:hAnsi="宋体" w:eastAsia="宋体"/>
                <w:color w:val="000000"/>
                <w:sz w:val="22"/>
              </w:rPr>
              <w:t>分</w:t>
            </w:r>
            <w:r>
              <w:rPr>
                <w:rFonts w:hint="eastAsia" w:ascii="Calibri" w:hAnsi="Calibri" w:eastAsia="Calibri"/>
                <w:color w:val="000000"/>
                <w:sz w:val="22"/>
              </w:rPr>
              <w:t>）</w:t>
            </w:r>
          </w:p>
        </w:tc>
        <w:tc>
          <w:tcPr>
            <w:tcW w:w="6565" w:type="dxa"/>
            <w:tcBorders>
              <w:top w:val="single" w:color="auto" w:sz="4" w:space="0"/>
              <w:left w:val="single" w:color="auto" w:sz="4" w:space="0"/>
              <w:bottom w:val="single" w:color="auto" w:sz="4" w:space="0"/>
              <w:right w:val="single" w:color="auto" w:sz="4" w:space="0"/>
            </w:tcBorders>
            <w:vAlign w:val="center"/>
          </w:tcPr>
          <w:p>
            <w:pPr>
              <w:spacing w:before="3"/>
              <w:ind w:left="132" w:right="117" w:firstLine="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1.上一年度工业产值达2000万元得5分；</w:t>
            </w:r>
            <w:bookmarkStart w:id="8" w:name="OLE_LINK8"/>
            <w:r>
              <w:rPr>
                <w:rFonts w:hint="eastAsia" w:asciiTheme="minorEastAsia" w:hAnsiTheme="minorEastAsia" w:eastAsiaTheme="minorEastAsia" w:cstheme="minorEastAsia"/>
                <w:color w:val="000000"/>
                <w:sz w:val="22"/>
              </w:rPr>
              <w:t>每增加1000万元得0.5分</w:t>
            </w:r>
            <w:bookmarkEnd w:id="8"/>
            <w:r>
              <w:rPr>
                <w:rFonts w:hint="eastAsia" w:asciiTheme="minorEastAsia" w:hAnsiTheme="minorEastAsia" w:eastAsiaTheme="minorEastAsia" w:cstheme="minorEastAsia"/>
                <w:color w:val="000000"/>
                <w:sz w:val="22"/>
              </w:rPr>
              <w:t>，最高分10分。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1156"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41"/>
              <w:ind w:left="172" w:right="117" w:hanging="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2.</w:t>
            </w:r>
            <w:bookmarkStart w:id="9" w:name="OLE_LINK1"/>
            <w:r>
              <w:rPr>
                <w:rFonts w:hint="eastAsia" w:asciiTheme="minorEastAsia" w:hAnsiTheme="minorEastAsia" w:eastAsiaTheme="minorEastAsia" w:cstheme="minorEastAsia"/>
                <w:color w:val="000000"/>
                <w:sz w:val="22"/>
              </w:rPr>
              <w:t>近三年工业产值平均增长率</w:t>
            </w:r>
            <w:bookmarkEnd w:id="9"/>
            <w:r>
              <w:rPr>
                <w:rFonts w:hint="eastAsia" w:asciiTheme="minorEastAsia" w:hAnsiTheme="minorEastAsia" w:eastAsiaTheme="minorEastAsia" w:cstheme="minorEastAsia"/>
                <w:color w:val="000000"/>
                <w:sz w:val="22"/>
              </w:rPr>
              <w:t>达5％的，得1分，每增加0.5个百分点得0.1分，最高分5分。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1156"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20" w:lineRule="auto"/>
              <w:ind w:left="172" w:right="117" w:hanging="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3.上一年度税收实际贡献达100万元的，得1分；每增加10万元加0.1分，最高分10分。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1156"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30" w:lineRule="auto"/>
              <w:ind w:left="152" w:right="77" w:hanging="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4.近三年税收实际贡献平均增长率达5％的，得1分，每增长0.5个百分点得0.1分，最高分5分。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项目质量（</w:t>
            </w:r>
            <w:r>
              <w:rPr>
                <w:sz w:val="22"/>
              </w:rPr>
              <w:t>10</w:t>
            </w:r>
            <w:r>
              <w:rPr>
                <w:rFonts w:hint="eastAsia"/>
                <w:sz w:val="22"/>
              </w:rPr>
              <w:t>分）</w:t>
            </w:r>
          </w:p>
        </w:tc>
        <w:tc>
          <w:tcPr>
            <w:tcW w:w="6565" w:type="dxa"/>
            <w:tcBorders>
              <w:top w:val="single" w:color="auto" w:sz="4" w:space="0"/>
              <w:left w:val="single" w:color="auto" w:sz="4" w:space="0"/>
              <w:bottom w:val="single" w:color="auto" w:sz="4" w:space="0"/>
              <w:right w:val="single" w:color="auto" w:sz="4" w:space="0"/>
            </w:tcBorders>
            <w:vAlign w:val="center"/>
          </w:tcPr>
          <w:p>
            <w:pPr>
              <w:spacing w:line="230" w:lineRule="auto"/>
              <w:ind w:left="152" w:right="77" w:hanging="20"/>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1.项目约定固定资产投资5000万元以上得1分；每增加1000万元得0.1分，最高3分。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30" w:lineRule="auto"/>
              <w:ind w:left="152" w:right="77" w:hanging="20"/>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2.项目约定亩均投资强度达到省定标准的得1分，</w:t>
            </w:r>
            <w:bookmarkStart w:id="10" w:name="OLE_LINK10"/>
            <w:r>
              <w:rPr>
                <w:rFonts w:hint="eastAsia" w:asciiTheme="minorEastAsia" w:hAnsiTheme="minorEastAsia" w:eastAsiaTheme="minorEastAsia" w:cstheme="minorEastAsia"/>
                <w:color w:val="000000"/>
                <w:sz w:val="22"/>
              </w:rPr>
              <w:t>每增加20%得1分，最高2分。</w:t>
            </w:r>
            <w:bookmarkEnd w:id="10"/>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30" w:lineRule="auto"/>
              <w:ind w:left="152" w:right="77" w:hanging="20"/>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3.项目约定亩均税收达到省定标准且不低于</w:t>
            </w:r>
            <w:r>
              <w:rPr>
                <w:rFonts w:hint="eastAsia" w:asciiTheme="minorEastAsia" w:hAnsiTheme="minorEastAsia" w:eastAsiaTheme="minorEastAsia" w:cstheme="minorEastAsia"/>
                <w:color w:val="000000"/>
                <w:sz w:val="22"/>
                <w:lang w:val="en-US" w:eastAsia="zh-CN"/>
              </w:rPr>
              <w:t>20</w:t>
            </w:r>
            <w:r>
              <w:rPr>
                <w:rFonts w:hint="eastAsia" w:asciiTheme="minorEastAsia" w:hAnsiTheme="minorEastAsia" w:eastAsiaTheme="minorEastAsia" w:cstheme="minorEastAsia"/>
                <w:color w:val="000000"/>
                <w:sz w:val="22"/>
              </w:rPr>
              <w:t>万元/亩的得1分，每增加20%得0.5分，最高3分。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964"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bookmarkStart w:id="11" w:name="OLE_LINK6" w:colFirst="2" w:colLast="2"/>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30" w:lineRule="auto"/>
              <w:ind w:left="152" w:right="77" w:hanging="20"/>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4.项目约定亩均产值达500万元的得1分，每增加50万元得</w:t>
            </w:r>
            <w:r>
              <w:rPr>
                <w:rFonts w:hint="eastAsia" w:asciiTheme="minorEastAsia" w:hAnsiTheme="minorEastAsia" w:eastAsiaTheme="minorEastAsia" w:cstheme="minorEastAsia"/>
                <w:color w:val="000000"/>
                <w:sz w:val="22"/>
                <w:lang w:val="en-US" w:eastAsia="zh-CN"/>
              </w:rPr>
              <w:t>0.</w:t>
            </w:r>
            <w:r>
              <w:rPr>
                <w:rFonts w:hint="eastAsia" w:asciiTheme="minorEastAsia" w:hAnsiTheme="minorEastAsia" w:eastAsiaTheme="minorEastAsia" w:cstheme="minorEastAsia"/>
                <w:color w:val="000000"/>
                <w:sz w:val="22"/>
              </w:rPr>
              <w:t>1分，最高2分。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bookmarkEnd w:id="11"/>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restart"/>
            <w:tcBorders>
              <w:top w:val="single" w:color="auto" w:sz="4" w:space="0"/>
              <w:left w:val="single" w:color="auto" w:sz="4" w:space="0"/>
              <w:bottom w:val="single" w:color="auto" w:sz="4" w:space="0"/>
              <w:right w:val="single" w:color="auto" w:sz="4" w:space="0"/>
            </w:tcBorders>
            <w:vAlign w:val="center"/>
          </w:tcPr>
          <w:p>
            <w:pPr>
              <w:spacing w:line="191" w:lineRule="auto"/>
              <w:jc w:val="center"/>
              <w:rPr>
                <w:sz w:val="22"/>
              </w:rPr>
            </w:pPr>
            <w:r>
              <w:rPr>
                <w:rFonts w:hint="eastAsia" w:ascii="Calibri" w:hAnsi="Calibri" w:eastAsia="宋体"/>
                <w:color w:val="000000"/>
                <w:sz w:val="22"/>
              </w:rPr>
              <w:t>4</w:t>
            </w: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19"/>
              <w:jc w:val="center"/>
              <w:rPr>
                <w:sz w:val="22"/>
              </w:rPr>
            </w:pPr>
            <w:r>
              <w:rPr>
                <w:rFonts w:hint="eastAsia" w:ascii="宋体" w:hAnsi="宋体" w:eastAsia="宋体"/>
                <w:color w:val="000000"/>
                <w:sz w:val="22"/>
                <w:lang w:eastAsia="zh-CN"/>
              </w:rPr>
              <w:t>科技</w:t>
            </w:r>
            <w:r>
              <w:rPr>
                <w:rFonts w:hint="eastAsia" w:ascii="宋体" w:hAnsi="宋体" w:eastAsia="宋体"/>
                <w:color w:val="000000"/>
                <w:sz w:val="22"/>
              </w:rPr>
              <w:t>创新</w:t>
            </w:r>
            <w:r>
              <w:rPr>
                <w:rFonts w:hint="eastAsia" w:ascii="Calibri" w:hAnsi="Calibri" w:eastAsia="Calibri"/>
                <w:color w:val="000000"/>
                <w:sz w:val="22"/>
              </w:rPr>
              <w:t>（</w:t>
            </w:r>
            <w:r>
              <w:rPr>
                <w:rFonts w:hint="eastAsia" w:ascii="Calibri" w:hAnsi="Calibri" w:eastAsia="宋体"/>
                <w:color w:val="000000"/>
                <w:sz w:val="22"/>
              </w:rPr>
              <w:t>30</w:t>
            </w:r>
            <w:r>
              <w:rPr>
                <w:rFonts w:hint="eastAsia" w:ascii="宋体" w:hAnsi="宋体" w:eastAsia="宋体"/>
                <w:color w:val="000000"/>
                <w:sz w:val="22"/>
              </w:rPr>
              <w:t>分</w:t>
            </w:r>
            <w:r>
              <w:rPr>
                <w:rFonts w:hint="eastAsia" w:ascii="Calibri" w:hAnsi="Calibri" w:eastAsia="Calibri"/>
                <w:color w:val="000000"/>
                <w:sz w:val="22"/>
              </w:rPr>
              <w:t>）</w:t>
            </w:r>
          </w:p>
        </w:tc>
        <w:tc>
          <w:tcPr>
            <w:tcW w:w="6565" w:type="dxa"/>
            <w:tcBorders>
              <w:top w:val="single" w:color="auto" w:sz="4" w:space="0"/>
              <w:left w:val="single" w:color="auto" w:sz="4" w:space="0"/>
              <w:bottom w:val="single" w:color="auto" w:sz="4" w:space="0"/>
              <w:right w:val="single" w:color="auto" w:sz="4" w:space="0"/>
            </w:tcBorders>
            <w:vAlign w:val="center"/>
          </w:tcPr>
          <w:p>
            <w:pPr>
              <w:spacing w:before="14" w:line="244" w:lineRule="auto"/>
              <w:ind w:left="152" w:right="13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1.上一年度研发费用占营业收入达本市规上工业企业平均水平的，得5分，每增（减）0.1个百分点，加（减）0.2分，最高分</w:t>
            </w:r>
            <w:r>
              <w:rPr>
                <w:rFonts w:hint="eastAsia" w:asciiTheme="minorEastAsia" w:hAnsiTheme="minorEastAsia" w:eastAsiaTheme="minorEastAsia" w:cstheme="minorEastAsia"/>
                <w:color w:val="000000"/>
                <w:sz w:val="22"/>
                <w:lang w:val="en-US" w:eastAsia="zh-CN"/>
              </w:rPr>
              <w:t>8</w:t>
            </w:r>
            <w:r>
              <w:rPr>
                <w:rFonts w:hint="eastAsia" w:asciiTheme="minorEastAsia" w:hAnsiTheme="minorEastAsia" w:eastAsiaTheme="minorEastAsia" w:cstheme="minorEastAsia"/>
                <w:color w:val="000000"/>
                <w:sz w:val="22"/>
              </w:rPr>
              <w:t>分；上一年度研发费用达到200万元以上的，得</w:t>
            </w:r>
            <w:r>
              <w:rPr>
                <w:rFonts w:hint="eastAsia" w:asciiTheme="minorEastAsia" w:hAnsiTheme="minorEastAsia" w:eastAsiaTheme="minorEastAsia" w:cstheme="minorEastAsia"/>
                <w:color w:val="000000"/>
                <w:sz w:val="22"/>
                <w:lang w:val="en-US" w:eastAsia="zh-CN"/>
              </w:rPr>
              <w:t>3</w:t>
            </w:r>
            <w:r>
              <w:rPr>
                <w:rFonts w:hint="eastAsia" w:asciiTheme="minorEastAsia" w:hAnsiTheme="minorEastAsia" w:eastAsiaTheme="minorEastAsia" w:cstheme="minorEastAsia"/>
                <w:color w:val="000000"/>
                <w:sz w:val="22"/>
              </w:rPr>
              <w:t>分，每增（减）20万元，加（减）0.</w:t>
            </w:r>
            <w:r>
              <w:rPr>
                <w:rFonts w:hint="eastAsia" w:asciiTheme="minorEastAsia" w:hAnsiTheme="minorEastAsia" w:eastAsiaTheme="minorEastAsia" w:cstheme="minorEastAsia"/>
                <w:color w:val="000000"/>
                <w:sz w:val="22"/>
                <w:lang w:val="en-US" w:eastAsia="zh-CN"/>
              </w:rPr>
              <w:t>1</w:t>
            </w:r>
            <w:r>
              <w:rPr>
                <w:rFonts w:hint="eastAsia" w:asciiTheme="minorEastAsia" w:hAnsiTheme="minorEastAsia" w:eastAsiaTheme="minorEastAsia" w:cstheme="minorEastAsia"/>
                <w:color w:val="000000"/>
                <w:sz w:val="22"/>
              </w:rPr>
              <w:t>分，最高分</w:t>
            </w:r>
            <w:r>
              <w:rPr>
                <w:rFonts w:hint="eastAsia" w:asciiTheme="minorEastAsia" w:hAnsiTheme="minorEastAsia" w:eastAsiaTheme="minorEastAsia" w:cstheme="minorEastAsia"/>
                <w:color w:val="000000"/>
                <w:sz w:val="22"/>
                <w:lang w:val="en-US" w:eastAsia="zh-CN"/>
              </w:rPr>
              <w:t>7</w:t>
            </w:r>
            <w:r>
              <w:rPr>
                <w:rFonts w:hint="eastAsia" w:asciiTheme="minorEastAsia" w:hAnsiTheme="minorEastAsia" w:eastAsiaTheme="minorEastAsia" w:cstheme="minorEastAsia"/>
                <w:color w:val="000000"/>
                <w:sz w:val="22"/>
              </w:rPr>
              <w:t>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54" w:lineRule="auto"/>
              <w:ind w:left="152" w:right="13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2.上</w:t>
            </w:r>
            <w:r>
              <w:rPr>
                <w:rFonts w:hint="eastAsia" w:asciiTheme="minorEastAsia" w:hAnsiTheme="minorEastAsia" w:cstheme="minorEastAsia"/>
                <w:color w:val="000000"/>
                <w:sz w:val="22"/>
                <w:lang w:eastAsia="zh-CN"/>
              </w:rPr>
              <w:t>一</w:t>
            </w:r>
            <w:r>
              <w:rPr>
                <w:rFonts w:hint="eastAsia" w:asciiTheme="minorEastAsia" w:hAnsiTheme="minorEastAsia" w:eastAsiaTheme="minorEastAsia" w:cstheme="minorEastAsia"/>
                <w:color w:val="000000"/>
                <w:sz w:val="22"/>
              </w:rPr>
              <w:t>年度企业获得</w:t>
            </w:r>
            <w:r>
              <w:rPr>
                <w:rFonts w:hint="eastAsia" w:asciiTheme="minorEastAsia" w:hAnsiTheme="minorEastAsia" w:eastAsiaTheme="minorEastAsia" w:cstheme="minorEastAsia"/>
                <w:sz w:val="22"/>
                <w:shd w:val="clear" w:color="auto" w:fill="FFFFFF"/>
              </w:rPr>
              <w:t>有发明专利的，每获得1个得0.3分；实用新型专利和外观设计专利等，每获得1个得0.1分，最高分3分，</w:t>
            </w:r>
            <w:r>
              <w:rPr>
                <w:rFonts w:hint="eastAsia" w:asciiTheme="minorEastAsia" w:hAnsiTheme="minorEastAsia" w:eastAsiaTheme="minorEastAsia" w:cstheme="minorEastAsia"/>
                <w:color w:val="000000"/>
                <w:sz w:val="22"/>
              </w:rPr>
              <w:t>就高计分不累算</w:t>
            </w:r>
            <w:r>
              <w:rPr>
                <w:rFonts w:hint="eastAsia" w:asciiTheme="minorEastAsia" w:hAnsiTheme="minorEastAsia" w:eastAsiaTheme="minorEastAsia" w:cstheme="minorEastAsia"/>
                <w:sz w:val="22"/>
                <w:shd w:val="clear" w:color="auto" w:fill="FFFFFF"/>
              </w:rPr>
              <w:t>。</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54" w:lineRule="auto"/>
              <w:ind w:left="152" w:right="137"/>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3.依据上一年度全省规上工业企业数字化改造水平调查结果，对达到数字化改造水平1.0、2.0、3.0、4.0的分别得1分、2分、3分、4分。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54" w:lineRule="auto"/>
              <w:ind w:left="152" w:right="137"/>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4.企业建有技术类中心（平台）、研发机构，国家级得3分，省级得</w:t>
            </w:r>
            <w:r>
              <w:rPr>
                <w:rFonts w:hint="eastAsia" w:asciiTheme="minorEastAsia" w:hAnsiTheme="minorEastAsia" w:eastAsiaTheme="minorEastAsia" w:cstheme="minorEastAsia"/>
                <w:color w:val="000000"/>
                <w:sz w:val="22"/>
                <w:lang w:val="en-US" w:eastAsia="zh-CN"/>
              </w:rPr>
              <w:t>2</w:t>
            </w:r>
            <w:r>
              <w:rPr>
                <w:rFonts w:hint="eastAsia" w:asciiTheme="minorEastAsia" w:hAnsiTheme="minorEastAsia" w:eastAsiaTheme="minorEastAsia" w:cstheme="minorEastAsia"/>
                <w:color w:val="000000"/>
                <w:sz w:val="22"/>
              </w:rPr>
              <w:t>分，金华市级得</w:t>
            </w:r>
            <w:r>
              <w:rPr>
                <w:rFonts w:hint="eastAsia" w:asciiTheme="minorEastAsia" w:hAnsiTheme="minorEastAsia" w:eastAsiaTheme="minorEastAsia" w:cstheme="minorEastAsia"/>
                <w:color w:val="000000"/>
                <w:sz w:val="22"/>
                <w:lang w:val="en-US" w:eastAsia="zh-CN"/>
              </w:rPr>
              <w:t>1</w:t>
            </w:r>
            <w:r>
              <w:rPr>
                <w:rFonts w:hint="eastAsia" w:asciiTheme="minorEastAsia" w:hAnsiTheme="minorEastAsia" w:eastAsiaTheme="minorEastAsia" w:cstheme="minorEastAsia"/>
                <w:color w:val="000000"/>
                <w:sz w:val="22"/>
              </w:rPr>
              <w:t>分</w:t>
            </w:r>
            <w:r>
              <w:rPr>
                <w:rFonts w:hint="eastAsia" w:asciiTheme="minorEastAsia" w:hAnsiTheme="minorEastAsia" w:eastAsiaTheme="minorEastAsia" w:cstheme="minorEastAsia"/>
                <w:color w:val="000000"/>
                <w:sz w:val="22"/>
                <w:lang w:val="en-US" w:eastAsia="zh-CN"/>
              </w:rPr>
              <w:t>,</w:t>
            </w:r>
            <w:r>
              <w:rPr>
                <w:rFonts w:hint="eastAsia" w:asciiTheme="minorEastAsia" w:hAnsiTheme="minorEastAsia" w:eastAsiaTheme="minorEastAsia" w:cstheme="minorEastAsia"/>
                <w:color w:val="000000"/>
                <w:sz w:val="22"/>
              </w:rPr>
              <w:t>就高计分不累算</w:t>
            </w:r>
            <w:r>
              <w:rPr>
                <w:rFonts w:hint="eastAsia" w:asciiTheme="minorEastAsia" w:hAnsiTheme="minorEastAsia" w:eastAsiaTheme="minorEastAsia" w:cstheme="minorEastAsia"/>
                <w:color w:val="000000"/>
                <w:sz w:val="22"/>
                <w:lang w:eastAsia="zh-CN"/>
              </w:rPr>
              <w:t>。</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54" w:lineRule="auto"/>
              <w:ind w:left="152" w:right="137"/>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5.上一年度新产品产值率达本市规上工业企业平均水平的，得1分，每增（减）1个百分点，加（减）0.</w:t>
            </w:r>
            <w:r>
              <w:rPr>
                <w:rFonts w:hint="eastAsia" w:asciiTheme="minorEastAsia" w:hAnsiTheme="minorEastAsia" w:eastAsiaTheme="minorEastAsia" w:cstheme="minorEastAsia"/>
                <w:color w:val="000000"/>
                <w:sz w:val="22"/>
                <w:lang w:val="en-US" w:eastAsia="zh-CN"/>
              </w:rPr>
              <w:t>1</w:t>
            </w:r>
            <w:r>
              <w:rPr>
                <w:rFonts w:hint="eastAsia" w:asciiTheme="minorEastAsia" w:hAnsiTheme="minorEastAsia" w:eastAsiaTheme="minorEastAsia" w:cstheme="minorEastAsia"/>
                <w:color w:val="000000"/>
                <w:sz w:val="22"/>
              </w:rPr>
              <w:t>分，最高分3分。</w:t>
            </w:r>
            <w:r>
              <w:rPr>
                <w:rFonts w:hint="eastAsia" w:asciiTheme="minorEastAsia" w:hAnsiTheme="minorEastAsia" w:cstheme="minorEastAsia"/>
                <w:color w:val="000000"/>
                <w:sz w:val="22"/>
                <w:lang w:eastAsia="zh-CN"/>
              </w:rPr>
              <w:t>上一年度</w:t>
            </w:r>
            <w:r>
              <w:rPr>
                <w:rFonts w:hint="eastAsia" w:asciiTheme="minorEastAsia" w:hAnsiTheme="minorEastAsia" w:eastAsiaTheme="minorEastAsia" w:cstheme="minorEastAsia"/>
                <w:color w:val="000000"/>
                <w:sz w:val="22"/>
                <w:lang w:eastAsia="zh-CN"/>
              </w:rPr>
              <w:t>通过专家验收评价的省级新产品</w:t>
            </w:r>
            <w:r>
              <w:rPr>
                <w:rFonts w:hint="eastAsia" w:asciiTheme="minorEastAsia" w:hAnsiTheme="minorEastAsia" w:eastAsiaTheme="minorEastAsia" w:cstheme="minorEastAsia"/>
                <w:color w:val="000000"/>
                <w:sz w:val="22"/>
              </w:rPr>
              <w:t>3个得1分，</w:t>
            </w:r>
            <w:r>
              <w:rPr>
                <w:rFonts w:hint="eastAsia" w:asciiTheme="minorEastAsia" w:hAnsiTheme="minorEastAsia" w:eastAsiaTheme="minorEastAsia" w:cstheme="minorEastAsia"/>
                <w:color w:val="000000"/>
                <w:sz w:val="22"/>
                <w:lang w:eastAsia="zh-CN"/>
              </w:rPr>
              <w:t>每增加</w:t>
            </w:r>
            <w:r>
              <w:rPr>
                <w:rFonts w:hint="eastAsia" w:asciiTheme="minorEastAsia" w:hAnsiTheme="minorEastAsia" w:eastAsiaTheme="minorEastAsia" w:cstheme="minorEastAsia"/>
                <w:color w:val="000000"/>
                <w:sz w:val="22"/>
                <w:lang w:val="en-US" w:eastAsia="zh-CN"/>
              </w:rPr>
              <w:t>2</w:t>
            </w:r>
            <w:r>
              <w:rPr>
                <w:rFonts w:hint="eastAsia" w:asciiTheme="minorEastAsia" w:hAnsiTheme="minorEastAsia" w:eastAsiaTheme="minorEastAsia" w:cstheme="minorEastAsia"/>
                <w:color w:val="000000"/>
                <w:sz w:val="22"/>
              </w:rPr>
              <w:t>个</w:t>
            </w:r>
            <w:r>
              <w:rPr>
                <w:rFonts w:hint="eastAsia" w:asciiTheme="minorEastAsia" w:hAnsiTheme="minorEastAsia" w:eastAsiaTheme="minorEastAsia" w:cstheme="minorEastAsia"/>
                <w:color w:val="000000"/>
                <w:sz w:val="22"/>
                <w:lang w:eastAsia="zh-CN"/>
              </w:rPr>
              <w:t>得</w:t>
            </w:r>
            <w:r>
              <w:rPr>
                <w:rFonts w:hint="eastAsia" w:asciiTheme="minorEastAsia" w:hAnsiTheme="minorEastAsia" w:eastAsiaTheme="minorEastAsia" w:cstheme="minorEastAsia"/>
                <w:color w:val="000000"/>
                <w:sz w:val="22"/>
                <w:lang w:val="en-US" w:eastAsia="zh-CN"/>
              </w:rPr>
              <w:t>0.2分</w:t>
            </w:r>
            <w:r>
              <w:rPr>
                <w:rFonts w:hint="eastAsia" w:asciiTheme="minorEastAsia" w:hAnsiTheme="minorEastAsia" w:eastAsiaTheme="minorEastAsia" w:cstheme="minorEastAsia"/>
                <w:color w:val="000000"/>
                <w:sz w:val="22"/>
              </w:rPr>
              <w:t>以上</w:t>
            </w:r>
            <w:r>
              <w:rPr>
                <w:rFonts w:hint="eastAsia" w:asciiTheme="minorEastAsia" w:hAnsiTheme="minorEastAsia" w:eastAsiaTheme="minorEastAsia" w:cstheme="minorEastAsia"/>
                <w:color w:val="000000"/>
                <w:sz w:val="22"/>
                <w:lang w:eastAsia="zh-CN"/>
              </w:rPr>
              <w:t>，最高</w:t>
            </w:r>
            <w:r>
              <w:rPr>
                <w:rFonts w:hint="eastAsia" w:asciiTheme="minorEastAsia" w:hAnsiTheme="minorEastAsia" w:eastAsiaTheme="minorEastAsia" w:cstheme="minorEastAsia"/>
                <w:color w:val="000000"/>
                <w:sz w:val="22"/>
              </w:rPr>
              <w:t>得2分。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restart"/>
            <w:tcBorders>
              <w:top w:val="single" w:color="auto" w:sz="4" w:space="0"/>
              <w:left w:val="single" w:color="auto" w:sz="4" w:space="0"/>
              <w:bottom w:val="single" w:color="auto" w:sz="4" w:space="0"/>
              <w:right w:val="single" w:color="auto" w:sz="4" w:space="0"/>
            </w:tcBorders>
            <w:vAlign w:val="center"/>
          </w:tcPr>
          <w:p>
            <w:pPr>
              <w:spacing w:before="256"/>
              <w:jc w:val="center"/>
              <w:rPr>
                <w:sz w:val="22"/>
              </w:rPr>
            </w:pPr>
            <w:r>
              <w:rPr>
                <w:rFonts w:hint="eastAsia" w:ascii="Calibri" w:hAnsi="Calibri" w:eastAsia="宋体"/>
                <w:color w:val="000000"/>
                <w:sz w:val="22"/>
              </w:rPr>
              <w:t>5</w:t>
            </w: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转型升级（10分）</w:t>
            </w:r>
          </w:p>
        </w:tc>
        <w:tc>
          <w:tcPr>
            <w:tcW w:w="6565" w:type="dxa"/>
            <w:tcBorders>
              <w:top w:val="single" w:color="auto" w:sz="4" w:space="0"/>
              <w:left w:val="single" w:color="auto" w:sz="4" w:space="0"/>
              <w:bottom w:val="single" w:color="auto" w:sz="4" w:space="0"/>
              <w:right w:val="single" w:color="auto" w:sz="4" w:space="0"/>
            </w:tcBorders>
            <w:vAlign w:val="center"/>
          </w:tcPr>
          <w:p>
            <w:pPr>
              <w:spacing w:before="18" w:line="244" w:lineRule="auto"/>
              <w:ind w:left="152" w:right="117" w:hanging="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1．企业获有政府质量奖、创业创新相关资质荣誉，国家级得3分，省级得2分，金华市级和东阳市级得1分。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spacing w:before="256"/>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spacing w:before="101"/>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line="235" w:lineRule="auto"/>
              <w:ind w:left="172" w:right="97" w:hanging="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2．获智能化、数字化、绿色化、服务化相关资质荣誉，国家级得3分，省级得2分，金华市级和东阳市级得1分。就高计分不累算。</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2" w:line="244" w:lineRule="auto"/>
              <w:ind w:left="132" w:right="117" w:firstLine="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3．国家级专精特新“小巨人”企业、科技小巨人得4分；省级“雄鹰行动”培育企业、“隐形冠军”企业、科技小巨人、专精特新中小企业得3分。上一年度企业创新指数评价中，科技领军型企业得4分、科技进取型企业得3分、科技成长型企业得2分。就高计分不累算。</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Calibri" w:hAnsi="Calibri" w:eastAsia="宋体"/>
                <w:color w:val="000000"/>
                <w:sz w:val="22"/>
              </w:rPr>
              <w:t>6</w:t>
            </w: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ascii="宋体" w:hAnsi="宋体" w:eastAsia="宋体"/>
                <w:color w:val="000000"/>
                <w:sz w:val="22"/>
              </w:rPr>
              <w:t>个性指标</w:t>
            </w:r>
            <w:r>
              <w:rPr>
                <w:rFonts w:hint="eastAsia" w:ascii="Calibri" w:hAnsi="Calibri" w:eastAsia="Calibri"/>
                <w:color w:val="000000"/>
                <w:sz w:val="22"/>
              </w:rPr>
              <w:t>（</w:t>
            </w:r>
            <w:r>
              <w:rPr>
                <w:rFonts w:hint="eastAsia" w:ascii="Calibri" w:hAnsi="Calibri" w:eastAsia="宋体"/>
                <w:color w:val="000000"/>
                <w:sz w:val="22"/>
              </w:rPr>
              <w:t>20</w:t>
            </w:r>
            <w:r>
              <w:rPr>
                <w:rFonts w:hint="eastAsia" w:ascii="宋体" w:hAnsi="宋体" w:eastAsia="宋体"/>
                <w:color w:val="000000"/>
                <w:sz w:val="22"/>
              </w:rPr>
              <w:t>分</w:t>
            </w:r>
            <w:r>
              <w:rPr>
                <w:rFonts w:hint="eastAsia" w:ascii="Calibri" w:hAnsi="Calibri" w:eastAsia="Calibri"/>
                <w:color w:val="000000"/>
                <w:sz w:val="22"/>
              </w:rPr>
              <w:t>）</w:t>
            </w:r>
          </w:p>
        </w:tc>
        <w:tc>
          <w:tcPr>
            <w:tcW w:w="6565" w:type="dxa"/>
            <w:tcBorders>
              <w:top w:val="single" w:color="auto" w:sz="4" w:space="0"/>
              <w:left w:val="single" w:color="auto" w:sz="4" w:space="0"/>
              <w:bottom w:val="single" w:color="auto" w:sz="4" w:space="0"/>
              <w:right w:val="single" w:color="auto" w:sz="4" w:space="0"/>
            </w:tcBorders>
            <w:vAlign w:val="center"/>
          </w:tcPr>
          <w:p>
            <w:pPr>
              <w:spacing w:before="83"/>
              <w:ind w:left="127" w:right="122" w:hanging="2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1．近三年累计投资（以入统数据为准）500万元以上得1分，每增加100万元，加0.1分，最高分5分。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1156"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60"/>
              <w:ind w:left="147" w:right="142"/>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color w:val="000000"/>
                <w:sz w:val="22"/>
              </w:rPr>
              <w:t>2．上一年度亩产效益综合评价规上A类得5分，规上B类得3分。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1156"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60"/>
              <w:ind w:left="147" w:right="142"/>
              <w:rPr>
                <w:rFonts w:hint="eastAsia" w:asciiTheme="minorEastAsia" w:hAnsiTheme="minorEastAsia" w:eastAsiaTheme="minorEastAsia" w:cstheme="minorEastAsia"/>
                <w:color w:val="000000"/>
                <w:sz w:val="22"/>
              </w:rPr>
            </w:pPr>
            <w:bookmarkStart w:id="12" w:name="OLE_LINK11"/>
            <w:r>
              <w:rPr>
                <w:rFonts w:hint="eastAsia" w:asciiTheme="minorEastAsia" w:hAnsiTheme="minorEastAsia" w:eastAsiaTheme="minorEastAsia" w:cstheme="minorEastAsia"/>
                <w:color w:val="000000"/>
                <w:sz w:val="22"/>
              </w:rPr>
              <w:t>3.企业承诺拿地后三年产值或税收实现正增长的得5分，不承诺不得分。</w:t>
            </w:r>
            <w:bookmarkEnd w:id="12"/>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cantSplit/>
          <w:trHeight w:val="851" w:hRule="atLeast"/>
        </w:trPr>
        <w:tc>
          <w:tcPr>
            <w:tcW w:w="451"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1156" w:type="dxa"/>
            <w:vMerge w:val="continue"/>
            <w:tcBorders>
              <w:top w:val="single" w:color="auto" w:sz="4" w:space="0"/>
              <w:left w:val="single" w:color="auto" w:sz="4" w:space="0"/>
              <w:bottom w:val="single" w:color="auto" w:sz="4" w:space="0"/>
              <w:right w:val="single" w:color="auto" w:sz="4" w:space="0"/>
            </w:tcBorders>
          </w:tcPr>
          <w:p>
            <w:pPr>
              <w:rPr>
                <w:sz w:val="22"/>
              </w:rPr>
            </w:pPr>
          </w:p>
        </w:tc>
        <w:tc>
          <w:tcPr>
            <w:tcW w:w="6565" w:type="dxa"/>
            <w:tcBorders>
              <w:top w:val="single" w:color="auto" w:sz="4" w:space="0"/>
              <w:left w:val="single" w:color="auto" w:sz="4" w:space="0"/>
              <w:bottom w:val="single" w:color="auto" w:sz="4" w:space="0"/>
              <w:right w:val="single" w:color="auto" w:sz="4" w:space="0"/>
            </w:tcBorders>
            <w:vAlign w:val="center"/>
          </w:tcPr>
          <w:p>
            <w:pPr>
              <w:spacing w:before="60"/>
              <w:ind w:left="147" w:right="142"/>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4.企业社会贡献：</w:t>
            </w:r>
            <w:bookmarkStart w:id="13" w:name="OLE_LINK15"/>
            <w:r>
              <w:rPr>
                <w:rFonts w:hint="eastAsia" w:asciiTheme="minorEastAsia" w:hAnsiTheme="minorEastAsia" w:eastAsiaTheme="minorEastAsia" w:cstheme="minorEastAsia"/>
                <w:sz w:val="22"/>
              </w:rPr>
              <w:t>企业有慈善捐赠</w:t>
            </w:r>
            <w:bookmarkEnd w:id="13"/>
            <w:r>
              <w:rPr>
                <w:rFonts w:hint="eastAsia" w:asciiTheme="minorEastAsia" w:hAnsiTheme="minorEastAsia" w:eastAsiaTheme="minorEastAsia" w:cstheme="minorEastAsia"/>
                <w:sz w:val="22"/>
              </w:rPr>
              <w:t>等社会贡献的相应进行赋分，按照三年累计捐赠总额赋分，100万元得1分，每增加10万元加0.5分，最高不超过5分。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1607"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总分</w:t>
            </w:r>
            <w:r>
              <w:rPr>
                <w:sz w:val="22"/>
              </w:rPr>
              <w:t>（120分）</w:t>
            </w:r>
          </w:p>
        </w:tc>
        <w:tc>
          <w:tcPr>
            <w:tcW w:w="6565" w:type="dxa"/>
            <w:tcBorders>
              <w:top w:val="single" w:color="auto" w:sz="4" w:space="0"/>
              <w:left w:val="single" w:color="auto" w:sz="4" w:space="0"/>
              <w:bottom w:val="single" w:color="auto" w:sz="4" w:space="0"/>
              <w:right w:val="single" w:color="auto" w:sz="4" w:space="0"/>
            </w:tcBorders>
            <w:vAlign w:val="center"/>
          </w:tcPr>
          <w:p>
            <w:pPr>
              <w:spacing w:before="2" w:line="244" w:lineRule="auto"/>
              <w:ind w:left="132" w:right="117" w:firstLine="20"/>
              <w:jc w:val="center"/>
              <w:rPr>
                <w:rFonts w:ascii="宋体" w:hAnsi="宋体" w:eastAsia="宋体"/>
                <w:sz w:val="22"/>
              </w:rPr>
            </w:pPr>
            <w:r>
              <w:rPr>
                <w:rFonts w:hint="eastAsia" w:ascii="宋体" w:hAnsi="宋体" w:eastAsia="宋体"/>
                <w:sz w:val="22"/>
              </w:rPr>
              <w:t>得分</w:t>
            </w:r>
          </w:p>
        </w:tc>
        <w:tc>
          <w:tcPr>
            <w:tcW w:w="568" w:type="dxa"/>
            <w:tcBorders>
              <w:top w:val="single" w:color="auto" w:sz="4" w:space="0"/>
              <w:left w:val="single" w:color="auto" w:sz="4" w:space="0"/>
              <w:bottom w:val="single" w:color="auto" w:sz="4" w:space="0"/>
              <w:right w:val="single" w:color="auto" w:sz="4" w:space="0"/>
            </w:tcBorders>
            <w:vAlign w:val="center"/>
          </w:tcPr>
          <w:p>
            <w:pPr>
              <w:rPr>
                <w:sz w:val="22"/>
              </w:rPr>
            </w:pPr>
          </w:p>
        </w:tc>
      </w:tr>
    </w:tbl>
    <w:p>
      <w:pPr>
        <w:spacing w:line="1" w:lineRule="exact"/>
        <w:rPr>
          <w:sz w:val="22"/>
        </w:rPr>
      </w:pPr>
    </w:p>
    <w:p>
      <w:pPr>
        <w:tabs>
          <w:tab w:val="left" w:pos="379"/>
        </w:tabs>
        <w:spacing w:before="120" w:beforeLines="50"/>
        <w:jc w:val="left"/>
        <w:rPr>
          <w:rFonts w:hint="eastAsia" w:ascii="宋体" w:hAnsi="宋体" w:eastAsia="宋体"/>
          <w:b w:val="0"/>
          <w:bCs/>
          <w:sz w:val="23"/>
        </w:rPr>
      </w:pPr>
      <w:bookmarkStart w:id="14" w:name="OLE_LINK12"/>
      <w:r>
        <w:rPr>
          <w:rFonts w:hint="eastAsia" w:ascii="宋体" w:hAnsi="宋体" w:eastAsia="宋体"/>
          <w:b/>
          <w:sz w:val="23"/>
        </w:rPr>
        <w:t>备注：</w:t>
      </w:r>
      <w:r>
        <w:rPr>
          <w:rFonts w:hint="eastAsia" w:ascii="宋体" w:hAnsi="宋体" w:eastAsia="宋体"/>
          <w:b w:val="0"/>
          <w:bCs/>
          <w:sz w:val="23"/>
        </w:rPr>
        <w:t>税收实际贡献＝企业13种税费“实际入库数”合计＋社会保险费（企业缴纳</w:t>
      </w:r>
    </w:p>
    <w:p>
      <w:pPr>
        <w:tabs>
          <w:tab w:val="left" w:pos="379"/>
        </w:tabs>
        <w:spacing w:before="120" w:beforeLines="50"/>
        <w:jc w:val="left"/>
        <w:rPr>
          <w:rFonts w:ascii="宋体" w:hAnsi="宋体" w:eastAsia="宋体"/>
          <w:color w:val="FF0000"/>
          <w:sz w:val="22"/>
        </w:rPr>
      </w:pPr>
      <w:r>
        <w:rPr>
          <w:rFonts w:hint="eastAsia" w:ascii="宋体" w:hAnsi="宋体" w:eastAsia="宋体"/>
          <w:b w:val="0"/>
          <w:bCs/>
          <w:sz w:val="23"/>
        </w:rPr>
        <w:t>部分）+生产型出口企业的出口“免抵”额。</w:t>
      </w:r>
      <w:bookmarkEnd w:id="14"/>
      <w:r>
        <w:rPr>
          <w:rFonts w:ascii="宋体" w:hAnsi="宋体" w:eastAsia="宋体"/>
          <w:sz w:val="23"/>
        </w:rPr>
        <w:t>企业用地面积核算以实际用地面积为准。</w:t>
      </w:r>
    </w:p>
    <w:p>
      <w:pPr>
        <w:suppressAutoHyphens/>
        <w:spacing w:line="360" w:lineRule="auto"/>
        <w:rPr>
          <w:rFonts w:ascii="Times New Roman" w:hAnsi="Times New Roman" w:eastAsia="黑体" w:cs="Times New Roman"/>
          <w:sz w:val="32"/>
          <w:szCs w:val="32"/>
        </w:rPr>
      </w:pPr>
      <w: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spacing w:after="120" w:afterLines="50"/>
        <w:jc w:val="center"/>
        <w:rPr>
          <w:rFonts w:ascii="Times New Roman" w:hAnsi="Times New Roman" w:eastAsia="方正小标宋简体" w:cs="Times New Roman"/>
          <w:sz w:val="45"/>
        </w:rPr>
      </w:pPr>
      <w:r>
        <w:rPr>
          <w:rFonts w:ascii="Times New Roman" w:hAnsi="Times New Roman" w:eastAsia="方正小标宋简体" w:cs="Times New Roman"/>
          <w:color w:val="000000"/>
          <w:sz w:val="45"/>
        </w:rPr>
        <w:t>东阳市内培工业企业“阳光供地”工作</w:t>
      </w:r>
      <w:r>
        <w:rPr>
          <w:rFonts w:ascii="Times New Roman" w:hAnsi="Times New Roman" w:eastAsia="方正小标宋简体" w:cs="Times New Roman"/>
          <w:color w:val="000000"/>
          <w:sz w:val="45"/>
        </w:rPr>
        <w:br w:type="textWrapping"/>
      </w:r>
      <w:r>
        <w:rPr>
          <w:rFonts w:ascii="Times New Roman" w:hAnsi="Times New Roman" w:eastAsia="方正小标宋简体" w:cs="Times New Roman"/>
          <w:color w:val="000000"/>
          <w:sz w:val="45"/>
        </w:rPr>
        <w:t>指标说明</w:t>
      </w:r>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color w:val="000000"/>
          <w:sz w:val="32"/>
          <w:szCs w:val="32"/>
        </w:rPr>
        <w:t>一、质量建设</w:t>
      </w:r>
    </w:p>
    <w:p>
      <w:pPr>
        <w:spacing w:line="600" w:lineRule="exact"/>
        <w:ind w:firstLine="660" w:firstLineChars="200"/>
        <w:rPr>
          <w:rFonts w:ascii="Times New Roman" w:hAnsi="Times New Roman" w:eastAsia="仿宋_GB2312" w:cs="Times New Roman"/>
          <w:sz w:val="33"/>
        </w:rPr>
      </w:pPr>
      <w:r>
        <w:rPr>
          <w:rFonts w:ascii="Times New Roman" w:hAnsi="Times New Roman" w:eastAsia="楷体_GB2312" w:cs="Times New Roman"/>
          <w:bCs/>
          <w:color w:val="000000"/>
          <w:sz w:val="33"/>
        </w:rPr>
        <w:t>（一）技术类中心、研发机构：</w:t>
      </w:r>
      <w:r>
        <w:rPr>
          <w:rFonts w:ascii="Times New Roman" w:hAnsi="Times New Roman" w:eastAsia="仿宋_GB2312" w:cs="Times New Roman"/>
          <w:color w:val="000000"/>
          <w:sz w:val="33"/>
        </w:rPr>
        <w:t>国家企业技术中心、国家认证实验室、国家级工业设计中心；省级重点实验室（工程技术研究中心）、省级工业设计中心、省级企业技术中心、省级（重点）企业研究院、省级高新技术企业研究开发中心；金华市级企业技术中心、市级工业设计中心、市级高新技术企业研究开发中心。</w:t>
      </w:r>
    </w:p>
    <w:p>
      <w:pPr>
        <w:spacing w:line="600" w:lineRule="exact"/>
        <w:ind w:firstLine="660" w:firstLineChars="200"/>
        <w:rPr>
          <w:rFonts w:ascii="Times New Roman" w:hAnsi="Times New Roman" w:cs="Times New Roman"/>
          <w:sz w:val="33"/>
        </w:rPr>
      </w:pPr>
      <w:r>
        <w:rPr>
          <w:rFonts w:ascii="Times New Roman" w:hAnsi="Times New Roman" w:eastAsia="楷体_GB2312" w:cs="Times New Roman"/>
          <w:bCs/>
          <w:color w:val="000000"/>
          <w:sz w:val="33"/>
        </w:rPr>
        <w:t>（二）政府质量奖：</w:t>
      </w:r>
      <w:r>
        <w:rPr>
          <w:rFonts w:ascii="Times New Roman" w:hAnsi="Times New Roman" w:eastAsia="仿宋_GB2312" w:cs="Times New Roman"/>
          <w:color w:val="000000"/>
          <w:sz w:val="33"/>
        </w:rPr>
        <w:t>国家质量奖；省级质量奖；金华市级质量奖；东阳市级质量奖。</w:t>
      </w:r>
    </w:p>
    <w:p>
      <w:pPr>
        <w:spacing w:line="600" w:lineRule="exact"/>
        <w:ind w:firstLine="660" w:firstLineChars="200"/>
        <w:rPr>
          <w:rFonts w:ascii="Times New Roman" w:hAnsi="Times New Roman" w:eastAsia="黑体" w:cs="Times New Roman"/>
          <w:bCs/>
          <w:sz w:val="33"/>
        </w:rPr>
      </w:pPr>
      <w:r>
        <w:rPr>
          <w:rFonts w:ascii="Times New Roman" w:hAnsi="Times New Roman" w:eastAsia="黑体" w:cs="Times New Roman"/>
          <w:bCs/>
          <w:color w:val="000000"/>
          <w:sz w:val="33"/>
        </w:rPr>
        <w:t>二、转型升级</w:t>
      </w:r>
    </w:p>
    <w:p>
      <w:pPr>
        <w:spacing w:line="600" w:lineRule="exact"/>
        <w:ind w:firstLine="660" w:firstLineChars="200"/>
        <w:rPr>
          <w:rFonts w:ascii="Times New Roman" w:hAnsi="Times New Roman" w:eastAsia="宋体" w:cs="Times New Roman"/>
          <w:color w:val="000000"/>
        </w:rPr>
      </w:pPr>
      <w:r>
        <w:rPr>
          <w:rFonts w:ascii="Times New Roman" w:hAnsi="Times New Roman" w:eastAsia="楷体_GB2312" w:cs="Times New Roman"/>
          <w:bCs/>
          <w:color w:val="000000"/>
          <w:sz w:val="33"/>
        </w:rPr>
        <w:t>（一）智能化：</w:t>
      </w:r>
      <w:r>
        <w:rPr>
          <w:rFonts w:ascii="Times New Roman" w:hAnsi="Times New Roman" w:eastAsia="仿宋_GB2312" w:cs="Times New Roman"/>
          <w:color w:val="000000"/>
          <w:sz w:val="32"/>
          <w:szCs w:val="32"/>
        </w:rPr>
        <w:t>省级未来工厂、省级数字化车间／智能工厂、省级数字工厂；金华市级数字化车间／智能工厂；东阳市级数字化车间／智能工厂（培育库）。</w:t>
      </w:r>
    </w:p>
    <w:p>
      <w:pPr>
        <w:spacing w:line="600" w:lineRule="exact"/>
        <w:ind w:firstLine="660" w:firstLineChars="200"/>
        <w:rPr>
          <w:rFonts w:ascii="Times New Roman" w:hAnsi="Times New Roman" w:eastAsia="仿宋_GB2312" w:cs="Times New Roman"/>
          <w:color w:val="000000"/>
          <w:sz w:val="32"/>
          <w:szCs w:val="32"/>
        </w:rPr>
      </w:pPr>
      <w:r>
        <w:rPr>
          <w:rFonts w:ascii="Times New Roman" w:hAnsi="Times New Roman" w:eastAsia="楷体_GB2312" w:cs="Times New Roman"/>
          <w:bCs/>
          <w:color w:val="000000"/>
          <w:sz w:val="33"/>
        </w:rPr>
        <w:t>（二）数字化：</w:t>
      </w:r>
      <w:r>
        <w:rPr>
          <w:rFonts w:ascii="Times New Roman" w:hAnsi="Times New Roman" w:eastAsia="仿宋_GB2312" w:cs="Times New Roman"/>
          <w:color w:val="000000"/>
          <w:sz w:val="32"/>
          <w:szCs w:val="32"/>
        </w:rPr>
        <w:t>国家级两化融合管理体系贯标认定；省级云上企业、省级创建名单、省级两化融合示范试点、省级工业互联网平台。依据上一年度全省规上工业企业数字化改造水平调查结果，对达到数字化改造水平1.0、2.0、3.0、4.0的分别加1分、3分、4分、5分。</w:t>
      </w:r>
    </w:p>
    <w:p>
      <w:pPr>
        <w:spacing w:line="600" w:lineRule="exact"/>
        <w:ind w:firstLine="660" w:firstLineChars="200"/>
        <w:rPr>
          <w:rFonts w:ascii="Times New Roman" w:hAnsi="Times New Roman" w:eastAsia="仿宋_GB2312" w:cs="Times New Roman"/>
          <w:sz w:val="32"/>
          <w:szCs w:val="32"/>
        </w:rPr>
      </w:pPr>
      <w:r>
        <w:rPr>
          <w:rFonts w:ascii="Times New Roman" w:hAnsi="Times New Roman" w:eastAsia="楷体_GB2312" w:cs="Times New Roman"/>
          <w:bCs/>
          <w:color w:val="000000"/>
          <w:sz w:val="33"/>
        </w:rPr>
        <w:t>（三）绿色化：</w:t>
      </w:r>
      <w:r>
        <w:rPr>
          <w:rFonts w:ascii="Times New Roman" w:hAnsi="Times New Roman" w:eastAsia="仿宋_GB2312" w:cs="Times New Roman"/>
          <w:color w:val="000000"/>
          <w:sz w:val="32"/>
          <w:szCs w:val="32"/>
        </w:rPr>
        <w:t>国家级绿色工厂、国家级绿色供应链、国家级绿色产品；省级零碳（近零碳）示范工厂、省级绿色工厂、省级节水标杆（示范）企业。</w:t>
      </w:r>
    </w:p>
    <w:p>
      <w:pPr>
        <w:spacing w:line="600" w:lineRule="exact"/>
        <w:ind w:firstLine="660" w:firstLineChars="200"/>
        <w:rPr>
          <w:rFonts w:ascii="Times New Roman" w:hAnsi="Times New Roman" w:eastAsia="仿宋_GB2312" w:cs="Times New Roman"/>
          <w:color w:val="000000"/>
          <w:sz w:val="32"/>
          <w:szCs w:val="32"/>
        </w:rPr>
      </w:pPr>
      <w:r>
        <w:rPr>
          <w:rFonts w:ascii="Times New Roman" w:hAnsi="Times New Roman" w:eastAsia="楷体_GB2312" w:cs="Times New Roman"/>
          <w:bCs/>
          <w:color w:val="000000"/>
          <w:sz w:val="33"/>
        </w:rPr>
        <w:t>（四）服务化</w:t>
      </w:r>
      <w:r>
        <w:rPr>
          <w:rFonts w:ascii="Times New Roman" w:hAnsi="Times New Roman" w:eastAsia="仿宋_GB2312" w:cs="Times New Roman"/>
          <w:b/>
          <w:color w:val="000000"/>
          <w:sz w:val="32"/>
          <w:szCs w:val="32"/>
        </w:rPr>
        <w:t>：</w:t>
      </w:r>
      <w:r>
        <w:rPr>
          <w:rFonts w:ascii="Times New Roman" w:hAnsi="Times New Roman" w:eastAsia="仿宋_GB2312" w:cs="Times New Roman"/>
          <w:color w:val="000000"/>
          <w:sz w:val="32"/>
          <w:szCs w:val="32"/>
        </w:rPr>
        <w:t>国家级服务型制造示范企业（平台）、省级服务型制造示范企业（平台）。</w:t>
      </w:r>
    </w:p>
    <w:p>
      <w:pPr>
        <w:spacing w:line="600" w:lineRule="exact"/>
        <w:ind w:firstLine="420" w:firstLineChars="200"/>
        <w:rPr>
          <w:rFonts w:ascii="Times New Roman" w:hAnsi="Times New Roman" w:cs="Times New Roman"/>
        </w:rPr>
      </w:pPr>
      <w:r>
        <w:rPr>
          <w:rFonts w:ascii="Times New Roman" w:hAnsi="Times New Roman" w:cs="Times New Roman"/>
        </w:rPr>
        <w:t xml:space="preserve">  </w:t>
      </w:r>
      <w:r>
        <w:rPr>
          <w:rFonts w:ascii="Times New Roman" w:hAnsi="Times New Roman" w:eastAsia="黑体" w:cs="Times New Roman"/>
          <w:bCs/>
          <w:sz w:val="33"/>
        </w:rPr>
        <w:t>二、无地企业</w:t>
      </w:r>
    </w:p>
    <w:p>
      <w:pPr>
        <w:pStyle w:val="2"/>
        <w:spacing w:line="600" w:lineRule="exact"/>
        <w:ind w:firstLine="320"/>
        <w:jc w:val="left"/>
        <w:rPr>
          <w:rFonts w:ascii="Times New Roman" w:hAnsi="Times New Roman" w:cs="Times New Roman"/>
        </w:rPr>
      </w:pPr>
      <w:r>
        <w:rPr>
          <w:rFonts w:ascii="Times New Roman" w:hAnsi="Times New Roman" w:eastAsia="仿宋_GB2312" w:cs="Times New Roman"/>
          <w:sz w:val="32"/>
          <w:szCs w:val="32"/>
        </w:rPr>
        <w:t xml:space="preserve">  无地企业是指在我市未取得合法工业用地或产值超2000万元以上但拥有合法工业用地少于5亩的企业。一次性置换当前所有工业用地的企业可视作无地企业。</w:t>
      </w:r>
    </w:p>
    <w:p>
      <w:pPr>
        <w:pStyle w:val="2"/>
        <w:ind w:firstLine="210"/>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suppressAutoHyphens/>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p>
    <w:p>
      <w:pPr>
        <w:spacing w:after="120" w:afterLines="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东阳市</w:t>
      </w:r>
      <w:r>
        <w:rPr>
          <w:rFonts w:ascii="方正小标宋简体" w:hAnsi="方正小标宋简体" w:eastAsia="方正小标宋简体" w:cs="方正小标宋简体"/>
          <w:bCs/>
          <w:color w:val="000000"/>
          <w:sz w:val="44"/>
          <w:szCs w:val="44"/>
        </w:rPr>
        <w:t>内培</w:t>
      </w:r>
      <w:r>
        <w:rPr>
          <w:rFonts w:hint="eastAsia" w:ascii="方正小标宋简体" w:hAnsi="方正小标宋简体" w:eastAsia="方正小标宋简体" w:cs="方正小标宋简体"/>
          <w:bCs/>
          <w:color w:val="000000"/>
          <w:sz w:val="44"/>
          <w:szCs w:val="44"/>
        </w:rPr>
        <w:t>工业企业“阳光供地”工作</w:t>
      </w:r>
      <w:r>
        <w:rPr>
          <w:rFonts w:hint="eastAsia" w:ascii="方正小标宋简体" w:hAnsi="方正小标宋简体" w:eastAsia="方正小标宋简体" w:cs="方正小标宋简体"/>
          <w:bCs/>
          <w:color w:val="000000"/>
          <w:sz w:val="44"/>
          <w:szCs w:val="44"/>
        </w:rPr>
        <w:br w:type="textWrapping"/>
      </w:r>
      <w:r>
        <w:rPr>
          <w:rFonts w:hint="eastAsia" w:ascii="方正小标宋简体" w:hAnsi="方正小标宋简体" w:eastAsia="方正小标宋简体" w:cs="方正小标宋简体"/>
          <w:bCs/>
          <w:color w:val="000000"/>
          <w:sz w:val="44"/>
          <w:szCs w:val="44"/>
        </w:rPr>
        <w:t>单位职责分工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1.市发改局：负责核实项目产业政策准入、用能方式、能耗总量水平、企业的信用、国家级创新平台建设等情况或提供相应评分。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2.市经信局：牵头内培工业企业“阳光供地”日常工作，受理工业用地需求评审事项，</w:t>
      </w:r>
      <w:r>
        <w:rPr>
          <w:rFonts w:hint="eastAsia" w:ascii="Times New Roman" w:hAnsi="Times New Roman" w:eastAsia="仿宋_GB2312" w:cs="Times New Roman"/>
          <w:color w:val="000000"/>
          <w:sz w:val="32"/>
          <w:szCs w:val="32"/>
        </w:rPr>
        <w:t>负责</w:t>
      </w:r>
      <w:r>
        <w:rPr>
          <w:rFonts w:ascii="Times New Roman" w:hAnsi="Times New Roman" w:eastAsia="仿宋_GB2312" w:cs="Times New Roman"/>
          <w:color w:val="000000"/>
          <w:sz w:val="32"/>
          <w:szCs w:val="32"/>
        </w:rPr>
        <w:t>召开</w:t>
      </w:r>
      <w:r>
        <w:rPr>
          <w:rFonts w:hint="eastAsia" w:ascii="Times New Roman" w:hAnsi="Times New Roman" w:eastAsia="仿宋_GB2312" w:cs="Times New Roman"/>
          <w:color w:val="000000"/>
          <w:sz w:val="32"/>
          <w:szCs w:val="32"/>
        </w:rPr>
        <w:t>内培工业企业</w:t>
      </w:r>
      <w:r>
        <w:rPr>
          <w:rFonts w:ascii="Times New Roman" w:hAnsi="Times New Roman" w:eastAsia="仿宋_GB2312" w:cs="Times New Roman"/>
          <w:color w:val="000000"/>
          <w:sz w:val="32"/>
          <w:szCs w:val="32"/>
        </w:rPr>
        <w:t>“1+5+X”评审会议，牵头核实项目产业政策准入、亩产效益、技术条件等情况。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3.市自然资源和规划局：负责核实企业现有土地情况，审核项目建设容积率的可行性情况以及拟出让土地的基本情况。</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4.市科技局：负责核实投资项目是否属于高新技术产业目录或国家重点支持高新技术领域，核实科技项目技术来源、研发机构建设、研发投入占比、企业创新指数等情况或提供相应评分。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5.市应急管理局：负责项目的安全生产准入审查。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6.市市场监管局：负责核实对企业质量体系建设等情况。</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7.市税务局：负责核实近三年企业销售收入、税收、税务信用等级等情况或提供相应评分。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8.生态环境</w:t>
      </w:r>
      <w:r>
        <w:rPr>
          <w:rFonts w:hint="eastAsia" w:ascii="Times New Roman" w:hAnsi="Times New Roman" w:eastAsia="仿宋_GB2312" w:cs="Times New Roman"/>
          <w:color w:val="000000"/>
          <w:sz w:val="32"/>
          <w:szCs w:val="32"/>
        </w:rPr>
        <w:t>东阳分</w:t>
      </w:r>
      <w:r>
        <w:rPr>
          <w:rFonts w:ascii="Times New Roman" w:hAnsi="Times New Roman" w:eastAsia="仿宋_GB2312" w:cs="Times New Roman"/>
          <w:color w:val="000000"/>
          <w:sz w:val="32"/>
          <w:szCs w:val="32"/>
        </w:rPr>
        <w:t>局：负责审查项目选址是否符合“三线一单”，污染物排放是否符合规定要求，审查排污总量及其区域平衡等情况。</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9.市统计局：负责核实规上工业企业工业产值</w:t>
      </w:r>
      <w:r>
        <w:rPr>
          <w:rFonts w:hint="eastAsia" w:ascii="Times New Roman" w:hAnsi="Times New Roman" w:eastAsia="仿宋_GB2312" w:cs="Times New Roman"/>
          <w:color w:val="000000"/>
          <w:sz w:val="32"/>
          <w:szCs w:val="32"/>
        </w:rPr>
        <w:t>和增加值、</w:t>
      </w:r>
      <w:r>
        <w:rPr>
          <w:rFonts w:ascii="Times New Roman" w:hAnsi="Times New Roman" w:eastAsia="仿宋_GB2312" w:cs="Times New Roman"/>
          <w:color w:val="000000"/>
          <w:sz w:val="32"/>
          <w:szCs w:val="32"/>
        </w:rPr>
        <w:t>近三年工业产值</w:t>
      </w:r>
      <w:r>
        <w:rPr>
          <w:rFonts w:hint="eastAsia" w:ascii="Times New Roman" w:hAnsi="Times New Roman" w:eastAsia="仿宋_GB2312" w:cs="Times New Roman"/>
          <w:color w:val="000000"/>
          <w:sz w:val="32"/>
          <w:szCs w:val="32"/>
        </w:rPr>
        <w:t>平均</w:t>
      </w:r>
      <w:r>
        <w:rPr>
          <w:rFonts w:ascii="Times New Roman" w:hAnsi="Times New Roman" w:eastAsia="仿宋_GB2312" w:cs="Times New Roman"/>
          <w:color w:val="000000"/>
          <w:sz w:val="32"/>
          <w:szCs w:val="32"/>
        </w:rPr>
        <w:t>增长率、研发投入占比、新产品产值率等情况或提供相应评分。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10.市民政局：负责提供企业</w:t>
      </w:r>
      <w:r>
        <w:rPr>
          <w:rFonts w:hint="eastAsia" w:ascii="Times New Roman" w:hAnsi="Times New Roman" w:eastAsia="仿宋_GB2312" w:cs="Times New Roman"/>
          <w:sz w:val="32"/>
          <w:szCs w:val="32"/>
        </w:rPr>
        <w:t>慈善捐赠等</w:t>
      </w:r>
      <w:r>
        <w:rPr>
          <w:rFonts w:ascii="Times New Roman" w:hAnsi="Times New Roman" w:eastAsia="仿宋_GB2312" w:cs="Times New Roman"/>
          <w:sz w:val="32"/>
          <w:szCs w:val="32"/>
        </w:rPr>
        <w:t>情况。</w:t>
      </w:r>
    </w:p>
    <w:p>
      <w:pPr>
        <w:pStyle w:val="2"/>
        <w:ind w:firstLine="32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sectPr>
      <w:headerReference r:id="rId3" w:type="default"/>
      <w:footerReference r:id="rId4" w:type="default"/>
      <w:type w:val="continuous"/>
      <w:pgSz w:w="11900" w:h="16880"/>
      <w:pgMar w:top="1587" w:right="1587" w:bottom="1587" w:left="1587" w:header="1080" w:footer="144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07968"/>
    <w:rsid w:val="000D6051"/>
    <w:rsid w:val="00116E1C"/>
    <w:rsid w:val="00170C18"/>
    <w:rsid w:val="001735FE"/>
    <w:rsid w:val="001912BC"/>
    <w:rsid w:val="001C15C6"/>
    <w:rsid w:val="00385742"/>
    <w:rsid w:val="00436F8C"/>
    <w:rsid w:val="004D5C56"/>
    <w:rsid w:val="005A27D7"/>
    <w:rsid w:val="005A4B48"/>
    <w:rsid w:val="00647CA5"/>
    <w:rsid w:val="006B24C5"/>
    <w:rsid w:val="007A01C0"/>
    <w:rsid w:val="00832E9D"/>
    <w:rsid w:val="008748D0"/>
    <w:rsid w:val="008E20D5"/>
    <w:rsid w:val="009F0BE0"/>
    <w:rsid w:val="00A3392C"/>
    <w:rsid w:val="00AB5F59"/>
    <w:rsid w:val="00B0018C"/>
    <w:rsid w:val="00B05D52"/>
    <w:rsid w:val="00B167AC"/>
    <w:rsid w:val="00B32484"/>
    <w:rsid w:val="00B65F60"/>
    <w:rsid w:val="00B8532E"/>
    <w:rsid w:val="00BA6D97"/>
    <w:rsid w:val="00BD0BC8"/>
    <w:rsid w:val="00D8552E"/>
    <w:rsid w:val="00DC3AA3"/>
    <w:rsid w:val="00E02F75"/>
    <w:rsid w:val="00E130B0"/>
    <w:rsid w:val="00F92E57"/>
    <w:rsid w:val="00FA7E40"/>
    <w:rsid w:val="023353C9"/>
    <w:rsid w:val="03196BF1"/>
    <w:rsid w:val="06D87107"/>
    <w:rsid w:val="076B1751"/>
    <w:rsid w:val="0A276CEF"/>
    <w:rsid w:val="0A5D3484"/>
    <w:rsid w:val="0CD6224C"/>
    <w:rsid w:val="0EA3253A"/>
    <w:rsid w:val="11BD7901"/>
    <w:rsid w:val="11DE1413"/>
    <w:rsid w:val="134A12A6"/>
    <w:rsid w:val="16EA743D"/>
    <w:rsid w:val="179929E0"/>
    <w:rsid w:val="19B0597E"/>
    <w:rsid w:val="19EF4607"/>
    <w:rsid w:val="1DAC0C42"/>
    <w:rsid w:val="1E28572A"/>
    <w:rsid w:val="1E381D81"/>
    <w:rsid w:val="1ED66BF4"/>
    <w:rsid w:val="1FA40E0D"/>
    <w:rsid w:val="20CF7662"/>
    <w:rsid w:val="2212400A"/>
    <w:rsid w:val="256A3BC8"/>
    <w:rsid w:val="25FB2B15"/>
    <w:rsid w:val="269E3A6B"/>
    <w:rsid w:val="26BC6236"/>
    <w:rsid w:val="26CB59AD"/>
    <w:rsid w:val="28B74B65"/>
    <w:rsid w:val="29A20033"/>
    <w:rsid w:val="2BEF7304"/>
    <w:rsid w:val="2E3C13D6"/>
    <w:rsid w:val="2E844A46"/>
    <w:rsid w:val="2EA27AA4"/>
    <w:rsid w:val="31C1767D"/>
    <w:rsid w:val="325D7751"/>
    <w:rsid w:val="33B73AF7"/>
    <w:rsid w:val="362B4701"/>
    <w:rsid w:val="372B3962"/>
    <w:rsid w:val="37BE45BE"/>
    <w:rsid w:val="37F72659"/>
    <w:rsid w:val="39AC7709"/>
    <w:rsid w:val="39FED9FB"/>
    <w:rsid w:val="3B1C6E27"/>
    <w:rsid w:val="3BFE5698"/>
    <w:rsid w:val="3CC132FA"/>
    <w:rsid w:val="3D1E0983"/>
    <w:rsid w:val="3E2FC5A9"/>
    <w:rsid w:val="3E583BDF"/>
    <w:rsid w:val="3F047CF3"/>
    <w:rsid w:val="3F17469A"/>
    <w:rsid w:val="3FB71210"/>
    <w:rsid w:val="3FDF3D58"/>
    <w:rsid w:val="40CA01EE"/>
    <w:rsid w:val="411A3AEC"/>
    <w:rsid w:val="42812171"/>
    <w:rsid w:val="42D81927"/>
    <w:rsid w:val="42DF7ED9"/>
    <w:rsid w:val="44B77400"/>
    <w:rsid w:val="476A2E5A"/>
    <w:rsid w:val="48D45FE4"/>
    <w:rsid w:val="49F943FC"/>
    <w:rsid w:val="4BDD22E2"/>
    <w:rsid w:val="4D7FADA4"/>
    <w:rsid w:val="4D8A70CE"/>
    <w:rsid w:val="4FD343DC"/>
    <w:rsid w:val="51FE6449"/>
    <w:rsid w:val="53C75432"/>
    <w:rsid w:val="54EE7D10"/>
    <w:rsid w:val="54FF6914"/>
    <w:rsid w:val="588160C2"/>
    <w:rsid w:val="596C7E64"/>
    <w:rsid w:val="5A426571"/>
    <w:rsid w:val="5AF40051"/>
    <w:rsid w:val="5B683C5E"/>
    <w:rsid w:val="5B89C1D0"/>
    <w:rsid w:val="5EFEF5A9"/>
    <w:rsid w:val="5EFFD199"/>
    <w:rsid w:val="5F150C5D"/>
    <w:rsid w:val="5F90580F"/>
    <w:rsid w:val="5F9E27BF"/>
    <w:rsid w:val="600917D9"/>
    <w:rsid w:val="61DA519A"/>
    <w:rsid w:val="62FC6C18"/>
    <w:rsid w:val="65D160D2"/>
    <w:rsid w:val="65F78E61"/>
    <w:rsid w:val="67626EC7"/>
    <w:rsid w:val="67742F63"/>
    <w:rsid w:val="687923EE"/>
    <w:rsid w:val="6DF242B2"/>
    <w:rsid w:val="6E1F0C02"/>
    <w:rsid w:val="6E97B083"/>
    <w:rsid w:val="6F4F295C"/>
    <w:rsid w:val="6F9134FA"/>
    <w:rsid w:val="6FF724E0"/>
    <w:rsid w:val="708F4F36"/>
    <w:rsid w:val="7115409C"/>
    <w:rsid w:val="720B6F07"/>
    <w:rsid w:val="736A30F0"/>
    <w:rsid w:val="73B559CF"/>
    <w:rsid w:val="73EBAAA5"/>
    <w:rsid w:val="75FF4972"/>
    <w:rsid w:val="769D5F99"/>
    <w:rsid w:val="78986BBE"/>
    <w:rsid w:val="792C670B"/>
    <w:rsid w:val="794306DC"/>
    <w:rsid w:val="79D22FE9"/>
    <w:rsid w:val="79DD1A12"/>
    <w:rsid w:val="79E216B5"/>
    <w:rsid w:val="7A15397F"/>
    <w:rsid w:val="7A77C837"/>
    <w:rsid w:val="7ABB26A9"/>
    <w:rsid w:val="7AD71D0A"/>
    <w:rsid w:val="7B8B6BC2"/>
    <w:rsid w:val="7BEFF85D"/>
    <w:rsid w:val="7BFF2A1B"/>
    <w:rsid w:val="7DB6978D"/>
    <w:rsid w:val="7DF9E7E0"/>
    <w:rsid w:val="7E661D3F"/>
    <w:rsid w:val="7EB64B86"/>
    <w:rsid w:val="7F7D0326"/>
    <w:rsid w:val="7FB92B07"/>
    <w:rsid w:val="7FCE8A24"/>
    <w:rsid w:val="7FE3E685"/>
    <w:rsid w:val="7FFF1A41"/>
    <w:rsid w:val="85CD42CD"/>
    <w:rsid w:val="9FFD4FF3"/>
    <w:rsid w:val="A3EC4062"/>
    <w:rsid w:val="ADB6BD3B"/>
    <w:rsid w:val="AFAEA01B"/>
    <w:rsid w:val="B1FF011F"/>
    <w:rsid w:val="B4662083"/>
    <w:rsid w:val="B6CF9CBD"/>
    <w:rsid w:val="BBFF3366"/>
    <w:rsid w:val="BCAB5B67"/>
    <w:rsid w:val="BDDD0812"/>
    <w:rsid w:val="BDF765F3"/>
    <w:rsid w:val="C95D768E"/>
    <w:rsid w:val="CADB1D45"/>
    <w:rsid w:val="CE8F8DF0"/>
    <w:rsid w:val="D31DDC91"/>
    <w:rsid w:val="D95F2BF2"/>
    <w:rsid w:val="D99793C6"/>
    <w:rsid w:val="DFDBB360"/>
    <w:rsid w:val="E76D4EC5"/>
    <w:rsid w:val="E7EADB3A"/>
    <w:rsid w:val="EBF67010"/>
    <w:rsid w:val="EBFC76F5"/>
    <w:rsid w:val="EDB6B164"/>
    <w:rsid w:val="EF9B7B59"/>
    <w:rsid w:val="EFAF5DAF"/>
    <w:rsid w:val="F1DEBE32"/>
    <w:rsid w:val="F5DD6D6C"/>
    <w:rsid w:val="F77F6A4A"/>
    <w:rsid w:val="F7D36044"/>
    <w:rsid w:val="F7FDC111"/>
    <w:rsid w:val="F93D29B3"/>
    <w:rsid w:val="FAE6117E"/>
    <w:rsid w:val="FAF36B59"/>
    <w:rsid w:val="FBBC97D9"/>
    <w:rsid w:val="FDFD54BB"/>
    <w:rsid w:val="FE7D03A3"/>
    <w:rsid w:val="FEDDA1F2"/>
    <w:rsid w:val="FEFF0010"/>
    <w:rsid w:val="FF3F81AD"/>
    <w:rsid w:val="FFAEDAE0"/>
    <w:rsid w:val="FFDB412D"/>
    <w:rsid w:val="FFF388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sz w:val="21"/>
    </w:rPr>
  </w:style>
  <w:style w:type="paragraph" w:styleId="3">
    <w:name w:val="Body Text"/>
    <w:basedOn w:val="1"/>
    <w:next w:val="2"/>
    <w:qFormat/>
    <w:uiPriority w:val="0"/>
    <w:pPr>
      <w:jc w:val="center"/>
    </w:pPr>
    <w:rPr>
      <w:sz w:val="20"/>
      <w:szCs w:val="21"/>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customStyle="1" w:styleId="10">
    <w:name w:val="批注框文本 Char"/>
    <w:basedOn w:val="9"/>
    <w:link w:val="4"/>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689</Words>
  <Characters>3933</Characters>
  <Lines>32</Lines>
  <Paragraphs>9</Paragraphs>
  <TotalTime>44</TotalTime>
  <ScaleCrop>false</ScaleCrop>
  <LinksUpToDate>false</LinksUpToDate>
  <CharactersWithSpaces>4613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2025-01-06T10:34:00Z</dcterms:created>
  <dc:creator>INTSIG</dc:creator>
  <dc:description>Intsig Word Converter</dc:description>
  <cp:lastModifiedBy>Administrator</cp:lastModifiedBy>
  <cp:lastPrinted>2025-06-27T03:29:00Z</cp:lastPrinted>
  <dcterms:modified xsi:type="dcterms:W3CDTF">2025-07-04T02:15:54Z</dcterms:modified>
  <dc:title>wordbuilder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8248AC229E0445B78ED2D670FDCECE63</vt:lpwstr>
  </property>
  <property fmtid="{D5CDD505-2E9C-101B-9397-08002B2CF9AE}" pid="4" name="KSOTemplateDocerSaveRecord">
    <vt:lpwstr>eyJoZGlkIjoiNGYwNzVmOTRiNmNlZjY3Y2EzYzFmNTQzODAwN2VlN2QiLCJ1c2VySWQiOiI0MzE0NjMyMDYifQ==</vt:lpwstr>
  </property>
</Properties>
</file>