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adjustRightInd/>
        <w:snapToGrid/>
        <w:spacing w:line="560" w:lineRule="exact"/>
        <w:jc w:val="center"/>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lang w:val="en-US" w:eastAsia="zh-CN"/>
        </w:rPr>
        <w:t>关于</w:t>
      </w:r>
      <w:r>
        <w:rPr>
          <w:rFonts w:ascii="方正小标宋简体" w:eastAsia="方正小标宋简体" w:cs="方正小标宋简体" w:hAnsi="方正小标宋简体" w:hint="eastAsia"/>
          <w:sz w:val="44"/>
          <w:szCs w:val="44"/>
        </w:rPr>
        <w:t>《温州市瓯海区区级行政事业单位公款竞争性存放管理办法（征求意见稿）》</w:t>
      </w:r>
      <w:r>
        <w:rPr>
          <w:rFonts w:ascii="方正小标宋简体" w:eastAsia="方正小标宋简体" w:cs="方正小标宋简体" w:hAnsi="方正小标宋简体" w:hint="eastAsia"/>
          <w:sz w:val="44"/>
          <w:szCs w:val="44"/>
          <w:lang w:val="en-US" w:eastAsia="zh-CN"/>
        </w:rPr>
        <w:t>的起草说明</w:t>
      </w:r>
    </w:p>
    <w:p>
      <w:pPr>
        <w:pStyle w:val="29"/>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_GB2312" w:eastAsia="仿宋_GB2312" w:cs="仿宋_GB2312" w:hAnsi="仿宋_GB2312"/>
          <w:sz w:val="32"/>
          <w:szCs w:val="32"/>
          <w:lang w:val="en-US" w:eastAsia="zh-CN"/>
        </w:rPr>
      </w:pPr>
      <w:r>
        <w:rPr>
          <w:rFonts w:ascii="黑体" w:eastAsia="黑体" w:cs="黑体" w:hAnsi="黑体" w:hint="eastAsia"/>
          <w:sz w:val="32"/>
          <w:szCs w:val="32"/>
          <w:lang w:val="en-US" w:eastAsia="zh-CN"/>
        </w:rPr>
        <w:t>一、起草背景</w:t>
      </w:r>
    </w:p>
    <w:p>
      <w:pPr>
        <w:snapToGrid w:val="0"/>
        <w:spacing w:line="312" w:lineRule="auto"/>
        <w:ind w:firstLineChars="200" w:firstLine="640"/>
        <w:rPr>
          <w:rFonts w:ascii="仿宋" w:eastAsia="仿宋" w:cs="仿宋" w:hint="eastAsia"/>
          <w:sz w:val="32"/>
          <w:szCs w:val="32"/>
          <w:lang w:bidi="ar-SA"/>
        </w:rPr>
      </w:pPr>
      <w:r>
        <w:rPr>
          <w:rFonts w:ascii="仿宋" w:eastAsia="仿宋" w:cs="仿宋" w:hint="eastAsia"/>
          <w:sz w:val="32"/>
          <w:szCs w:val="32"/>
          <w:lang w:bidi="ar-SA"/>
        </w:rPr>
        <w:t>该文件依据</w:t>
      </w:r>
      <w:r>
        <w:rPr>
          <w:rFonts w:ascii="Times New Roman" w:eastAsia="仿宋_GB2312" w:hAnsi="Times New Roman"/>
          <w:sz w:val="32"/>
          <w:szCs w:val="32"/>
        </w:rPr>
        <w:t>《浙江省财政厅关于印发浙江省省级行政事业单位公款竞争性存放管理办法的通知》（浙财预执〔2021〕7号）《</w:t>
      </w:r>
      <w:r>
        <w:rPr>
          <w:rFonts w:ascii="Times New Roman" w:eastAsia="仿宋_GB2312" w:hAnsi="Times New Roman"/>
          <w:sz w:val="32"/>
          <w:szCs w:val="32"/>
          <w:lang w:val="en-US" w:eastAsia="zh-CN"/>
        </w:rPr>
        <w:t>温州市财政局关于印发温州市市级行政事业单位公款竞争性存放管理办法的通知</w:t>
      </w:r>
      <w:r>
        <w:rPr>
          <w:rFonts w:ascii="Times New Roman" w:eastAsia="仿宋_GB2312" w:hAnsi="Times New Roman"/>
          <w:sz w:val="32"/>
          <w:szCs w:val="32"/>
        </w:rPr>
        <w:t>》</w:t>
      </w:r>
      <w:r>
        <w:rPr>
          <w:rFonts w:ascii="Times New Roman" w:eastAsia="仿宋_GB2312" w:hAnsi="Times New Roman" w:hint="eastAsia"/>
          <w:sz w:val="32"/>
          <w:szCs w:val="32"/>
        </w:rPr>
        <w:t>(温财预执</w:t>
      </w:r>
      <w:r>
        <w:rPr>
          <w:rFonts w:ascii="Times New Roman" w:eastAsia="仿宋_GB2312" w:hAnsi="Times New Roman"/>
          <w:sz w:val="32"/>
          <w:szCs w:val="32"/>
        </w:rPr>
        <w:t>〔</w:t>
      </w:r>
      <w:r>
        <w:rPr>
          <w:rFonts w:ascii="Times New Roman" w:eastAsia="仿宋_GB2312" w:hAnsi="Times New Roman" w:hint="eastAsia"/>
          <w:sz w:val="32"/>
          <w:szCs w:val="32"/>
        </w:rPr>
        <w:t>2021</w:t>
      </w:r>
      <w:r>
        <w:rPr>
          <w:rFonts w:ascii="Times New Roman" w:eastAsia="仿宋_GB2312" w:hAnsi="Times New Roman"/>
          <w:sz w:val="32"/>
          <w:szCs w:val="32"/>
        </w:rPr>
        <w:t>〕</w:t>
      </w:r>
      <w:r>
        <w:rPr>
          <w:rFonts w:ascii="Times New Roman" w:eastAsia="仿宋_GB2312" w:hAnsi="Times New Roman" w:hint="eastAsia"/>
          <w:sz w:val="32"/>
          <w:szCs w:val="32"/>
        </w:rPr>
        <w:t>4号)</w:t>
      </w:r>
      <w:r>
        <w:rPr>
          <w:rFonts w:ascii="Times New Roman" w:eastAsia="仿宋_GB2312" w:hAnsi="Times New Roman" w:hint="eastAsia"/>
          <w:sz w:val="32"/>
          <w:szCs w:val="32"/>
          <w:lang w:eastAsia="zh-CN"/>
        </w:rPr>
        <w:t>，</w:t>
      </w:r>
      <w:r>
        <w:rPr>
          <w:rFonts w:ascii="仿宋_GB2312" w:eastAsia="仿宋_GB2312" w:cs="仿宋_GB2312" w:hint="eastAsia"/>
          <w:color w:val="000000"/>
          <w:sz w:val="32"/>
          <w:szCs w:val="32"/>
          <w:lang w:bidi="ar-SA"/>
        </w:rPr>
        <w:t>同时结合</w:t>
      </w:r>
      <w:r>
        <w:rPr>
          <w:rFonts w:ascii="仿宋_GB2312" w:eastAsia="仿宋_GB2312" w:hint="eastAsia"/>
          <w:sz w:val="32"/>
          <w:szCs w:val="32"/>
        </w:rPr>
        <w:t>本区实际情况加以起草和</w:t>
      </w:r>
      <w:r>
        <w:rPr>
          <w:rFonts w:ascii="仿宋" w:eastAsia="仿宋" w:cs="仿宋" w:hint="eastAsia"/>
          <w:sz w:val="32"/>
          <w:szCs w:val="32"/>
          <w:lang w:bidi="ar-SA"/>
        </w:rPr>
        <w:t>制定。</w:t>
      </w:r>
    </w:p>
    <w:p>
      <w:pPr>
        <w:pStyle w:val="29"/>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_GB2312" w:eastAsia="仿宋_GB2312" w:hAnsi="仿宋_GB2312" w:hint="eastAsia"/>
          <w:sz w:val="32"/>
          <w:szCs w:val="32"/>
          <w:lang w:val="en-US" w:eastAsia="zh-CN"/>
        </w:rPr>
      </w:pPr>
      <w:r>
        <w:rPr>
          <w:rFonts w:ascii="黑体" w:eastAsia="黑体" w:cs="黑体" w:hAnsi="黑体" w:hint="eastAsia"/>
          <w:sz w:val="32"/>
          <w:szCs w:val="32"/>
          <w:lang w:val="en-US" w:eastAsia="zh-CN"/>
        </w:rPr>
        <w:t>二、起草过程</w:t>
      </w:r>
    </w:p>
    <w:p>
      <w:pPr>
        <w:keepNext w:val="0"/>
        <w:keepLines w:val="0"/>
        <w:pageBreakBefore w:val="0"/>
        <w:widowControl w:val="0"/>
        <w:kinsoku/>
        <w:wordWrap/>
        <w:overflowPunct/>
        <w:topLinePunct w:val="0"/>
        <w:autoSpaceDE/>
        <w:autoSpaceDN/>
        <w:adjustRightInd w:val="0"/>
        <w:snapToGrid w:val="0"/>
        <w:spacing w:line="580" w:lineRule="exact"/>
        <w:ind w:firstLineChars="200" w:firstLine="640"/>
        <w:rPr>
          <w:rFonts w:ascii="仿宋" w:eastAsia="仿宋" w:cs="仿宋" w:hAnsi="仿宋_GB2312" w:hint="eastAsia"/>
          <w:sz w:val="32"/>
          <w:szCs w:val="32"/>
        </w:rPr>
      </w:pPr>
      <w:r>
        <w:rPr>
          <w:rFonts w:ascii="仿宋" w:eastAsia="仿宋" w:cs="仿宋" w:hint="eastAsia"/>
          <w:sz w:val="32"/>
          <w:szCs w:val="32"/>
        </w:rPr>
        <w:t>该文件由区财政局</w:t>
      </w:r>
      <w:r>
        <w:rPr>
          <w:rFonts w:ascii="仿宋" w:eastAsia="仿宋" w:cs="仿宋" w:hint="eastAsia"/>
          <w:sz w:val="32"/>
          <w:szCs w:val="32"/>
          <w:lang w:eastAsia="zh-CN"/>
        </w:rPr>
        <w:t>预算执行局</w:t>
      </w:r>
      <w:r>
        <w:rPr>
          <w:rFonts w:ascii="仿宋" w:eastAsia="仿宋" w:cs="仿宋" w:hint="eastAsia"/>
          <w:sz w:val="32"/>
          <w:szCs w:val="32"/>
        </w:rPr>
        <w:t>、分管领导、</w:t>
      </w:r>
      <w:r>
        <w:rPr>
          <w:rFonts w:ascii="仿宋" w:eastAsia="仿宋" w:cs="仿宋" w:hint="eastAsia"/>
          <w:sz w:val="32"/>
          <w:szCs w:val="32"/>
          <w:lang w:eastAsia="zh-CN"/>
        </w:rPr>
        <w:t>各业务科室负责人</w:t>
      </w:r>
      <w:r>
        <w:rPr>
          <w:rFonts w:ascii="仿宋" w:eastAsia="仿宋" w:cs="仿宋" w:hint="eastAsia"/>
          <w:sz w:val="32"/>
          <w:szCs w:val="32"/>
        </w:rPr>
        <w:t>进行必要性、可行性等内容的调研论证。</w:t>
      </w:r>
      <w:r>
        <w:rPr>
          <w:rFonts w:ascii="仿宋" w:eastAsia="仿宋" w:cs="仿宋" w:hAnsi="Times New Roman" w:hint="eastAsia"/>
          <w:sz w:val="32"/>
          <w:szCs w:val="32"/>
        </w:rPr>
        <w:t>为规范公款竞争性存放管理，确保资金效益，防止利益冲突和利益输送，</w:t>
      </w:r>
      <w:r>
        <w:rPr>
          <w:rFonts w:ascii="仿宋" w:eastAsia="仿宋" w:cs="仿宋" w:hAnsi="Times New Roman" w:hint="eastAsia"/>
          <w:sz w:val="32"/>
          <w:szCs w:val="32"/>
          <w:lang w:val="en-US" w:eastAsia="zh-CN"/>
        </w:rPr>
        <w:t>2023年1月初</w:t>
      </w:r>
      <w:r>
        <w:rPr>
          <w:rFonts w:ascii="仿宋" w:eastAsia="仿宋" w:cs="仿宋" w:hint="eastAsia"/>
          <w:sz w:val="32"/>
          <w:szCs w:val="32"/>
        </w:rPr>
        <w:t>区财政局研究起草</w:t>
      </w:r>
      <w:r>
        <w:rPr>
          <w:rFonts w:ascii="仿宋" w:eastAsia="仿宋" w:cs="仿宋" w:hint="eastAsia"/>
          <w:sz w:val="32"/>
          <w:szCs w:val="32"/>
          <w:lang w:eastAsia="zh-CN"/>
        </w:rPr>
        <w:t>《</w:t>
      </w:r>
      <w:r>
        <w:rPr>
          <w:rFonts w:ascii="仿宋" w:eastAsia="仿宋" w:cs="仿宋" w:hint="eastAsia"/>
          <w:sz w:val="32"/>
          <w:szCs w:val="32"/>
        </w:rPr>
        <w:t>温州市瓯海区区级行政事业单位公款竞争性存放管理办法</w:t>
      </w:r>
      <w:r>
        <w:rPr>
          <w:rFonts w:ascii="仿宋" w:eastAsia="仿宋" w:cs="仿宋" w:hint="eastAsia"/>
          <w:sz w:val="32"/>
          <w:szCs w:val="32"/>
          <w:lang w:eastAsia="zh-CN"/>
        </w:rPr>
        <w:t>》</w:t>
      </w:r>
      <w:r>
        <w:rPr>
          <w:rFonts w:ascii="仿宋" w:eastAsia="仿宋" w:cs="仿宋" w:hint="eastAsia"/>
          <w:sz w:val="32"/>
          <w:szCs w:val="32"/>
        </w:rPr>
        <w:t>于202</w:t>
      </w:r>
      <w:r>
        <w:rPr>
          <w:rFonts w:ascii="仿宋" w:eastAsia="仿宋" w:cs="仿宋" w:hint="eastAsia"/>
          <w:sz w:val="32"/>
          <w:szCs w:val="32"/>
          <w:lang w:val="en-US" w:eastAsia="zh-CN"/>
        </w:rPr>
        <w:t>3</w:t>
      </w:r>
      <w:r>
        <w:rPr>
          <w:rFonts w:ascii="仿宋" w:eastAsia="仿宋" w:cs="仿宋" w:hint="eastAsia"/>
          <w:sz w:val="32"/>
          <w:szCs w:val="32"/>
        </w:rPr>
        <w:t>年</w:t>
      </w:r>
      <w:r>
        <w:rPr>
          <w:rFonts w:ascii="仿宋" w:eastAsia="仿宋" w:cs="仿宋" w:hint="eastAsia"/>
          <w:sz w:val="32"/>
          <w:szCs w:val="32"/>
          <w:lang w:val="en-US" w:eastAsia="zh-CN"/>
        </w:rPr>
        <w:t>1</w:t>
      </w:r>
      <w:r>
        <w:rPr>
          <w:rFonts w:ascii="仿宋" w:eastAsia="仿宋" w:cs="仿宋" w:hint="eastAsia"/>
          <w:sz w:val="32"/>
          <w:szCs w:val="32"/>
        </w:rPr>
        <w:t>月份</w:t>
      </w:r>
      <w:r>
        <w:rPr>
          <w:rFonts w:ascii="仿宋" w:eastAsia="仿宋" w:cs="仿宋" w:hint="eastAsia"/>
          <w:sz w:val="32"/>
          <w:szCs w:val="32"/>
          <w:lang w:eastAsia="zh-CN"/>
        </w:rPr>
        <w:t>末</w:t>
      </w:r>
      <w:r>
        <w:rPr>
          <w:rFonts w:ascii="仿宋" w:eastAsia="仿宋" w:cs="仿宋" w:hint="eastAsia"/>
          <w:sz w:val="32"/>
          <w:szCs w:val="32"/>
        </w:rPr>
        <w:t>形成初稿</w:t>
      </w:r>
      <w:r>
        <w:rPr>
          <w:rFonts w:ascii="仿宋" w:eastAsia="仿宋" w:cs="仿宋" w:hint="eastAsia"/>
          <w:sz w:val="32"/>
          <w:szCs w:val="32"/>
          <w:lang w:eastAsia="zh-CN"/>
        </w:rPr>
        <w:t>。</w:t>
      </w:r>
      <w:r>
        <w:rPr>
          <w:rFonts w:ascii="仿宋" w:eastAsia="仿宋" w:cs="仿宋" w:hint="eastAsia"/>
          <w:sz w:val="32"/>
          <w:szCs w:val="32"/>
          <w:lang w:val="en-US" w:eastAsia="zh-CN"/>
        </w:rPr>
        <w:t>2023年2月我局</w:t>
      </w:r>
      <w:r>
        <w:rPr>
          <w:rFonts w:ascii="仿宋" w:eastAsia="仿宋" w:cs="仿宋" w:hint="eastAsia"/>
          <w:sz w:val="32"/>
          <w:szCs w:val="32"/>
        </w:rPr>
        <w:t>由</w:t>
      </w:r>
      <w:r>
        <w:rPr>
          <w:rFonts w:ascii="仿宋" w:eastAsia="仿宋" w:cs="仿宋" w:hint="eastAsia"/>
          <w:sz w:val="32"/>
          <w:szCs w:val="32"/>
          <w:lang w:eastAsia="zh-CN"/>
        </w:rPr>
        <w:t>执行局</w:t>
      </w:r>
      <w:r>
        <w:rPr>
          <w:rFonts w:ascii="仿宋" w:eastAsia="仿宋" w:cs="仿宋" w:hint="eastAsia"/>
          <w:sz w:val="32"/>
          <w:szCs w:val="32"/>
        </w:rPr>
        <w:t>分管领导、</w:t>
      </w:r>
      <w:r>
        <w:rPr>
          <w:rFonts w:ascii="仿宋" w:eastAsia="仿宋" w:cs="仿宋" w:hint="eastAsia"/>
          <w:sz w:val="32"/>
          <w:szCs w:val="32"/>
          <w:lang w:eastAsia="zh-CN"/>
        </w:rPr>
        <w:t>科室成员以及相关业务科室负责人一起商讨，</w:t>
      </w:r>
      <w:r>
        <w:rPr>
          <w:rFonts w:ascii="仿宋" w:eastAsia="仿宋" w:cs="仿宋" w:hint="eastAsia"/>
          <w:sz w:val="32"/>
          <w:szCs w:val="32"/>
        </w:rPr>
        <w:t>形成风险评估报告并对内容进一步</w:t>
      </w:r>
      <w:r>
        <w:rPr>
          <w:rFonts w:ascii="仿宋" w:eastAsia="仿宋" w:cs="仿宋" w:hAnsi="仿宋_GB2312" w:hint="eastAsia"/>
          <w:sz w:val="32"/>
          <w:szCs w:val="32"/>
          <w:lang w:val="en-US" w:eastAsia="zh-CN"/>
        </w:rPr>
        <w:t>修改完善，并征求部门和各县（市、区）意见，形成本</w:t>
      </w:r>
      <w:r>
        <w:rPr>
          <w:rFonts w:ascii="仿宋" w:eastAsia="仿宋" w:cs="仿宋" w:hAnsi="仿宋_GB2312" w:hint="eastAsia"/>
          <w:sz w:val="32"/>
          <w:szCs w:val="32"/>
          <w:lang w:eastAsia="zh-CN"/>
        </w:rPr>
        <w:t>征求意见</w:t>
      </w:r>
      <w:r>
        <w:rPr>
          <w:rFonts w:ascii="仿宋" w:eastAsia="仿宋" w:cs="仿宋" w:hAnsi="仿宋_GB2312" w:hint="eastAsia"/>
          <w:sz w:val="32"/>
          <w:szCs w:val="32"/>
          <w:lang w:val="en-US" w:eastAsia="zh-CN"/>
        </w:rPr>
        <w:t>稿。</w:t>
      </w:r>
    </w:p>
    <w:p>
      <w:pPr>
        <w:pStyle w:val="29"/>
        <w:keepNext w:val="0"/>
        <w:keepLines w:val="0"/>
        <w:pageBreakBefore w:val="0"/>
        <w:widowControl w:val="0"/>
        <w:kinsoku/>
        <w:wordWrap/>
        <w:overflowPunct/>
        <w:topLinePunct w:val="0"/>
        <w:autoSpaceDE/>
        <w:autoSpaceDN/>
        <w:bidi w:val="0"/>
        <w:adjustRightInd/>
        <w:snapToGrid/>
        <w:spacing w:line="580" w:lineRule="exact"/>
        <w:ind w:left="0" w:firstLineChars="200" w:firstLine="420"/>
        <w:textAlignment w:val="auto"/>
        <w:rPr>
          <w:rFonts w:ascii="黑体" w:eastAsia="黑体" w:cs="黑体" w:hAnsi="黑体" w:hint="eastAsia"/>
          <w:sz w:val="32"/>
          <w:szCs w:val="32"/>
          <w:lang w:val="en-US" w:eastAsia="zh-CN"/>
        </w:rPr>
      </w:pPr>
      <w:r>
        <w:t xml:space="preserve">  </w:t>
      </w:r>
      <w:r>
        <w:rPr>
          <w:rFonts w:ascii="黑体" w:eastAsia="黑体" w:cs="黑体" w:hAnsi="黑体"/>
          <w:sz w:val="32"/>
          <w:szCs w:val="32"/>
          <w:lang w:eastAsia="zh-CN"/>
        </w:rPr>
        <w:t>三</w:t>
      </w:r>
      <w:r>
        <w:rPr>
          <w:rFonts w:ascii="黑体" w:eastAsia="黑体" w:cs="黑体" w:hAnsi="黑体" w:hint="eastAsia"/>
          <w:sz w:val="32"/>
          <w:szCs w:val="32"/>
          <w:lang w:val="en-US" w:eastAsia="zh-CN"/>
        </w:rPr>
        <w:t>、主要内容</w:t>
      </w:r>
    </w:p>
    <w:p>
      <w:pPr>
        <w:ind w:firstLineChars="150" w:firstLine="480"/>
        <w:rPr>
          <w:rFonts w:ascii="仿宋" w:eastAsia="仿宋" w:cs="仿宋" w:hint="eastAsia"/>
          <w:sz w:val="32"/>
          <w:szCs w:val="32"/>
        </w:rPr>
      </w:pPr>
      <w:bookmarkStart w:id="0" w:name="_GoBack"/>
      <w:bookmarkEnd w:id="0"/>
      <w:r>
        <w:rPr>
          <w:rFonts w:ascii="仿宋" w:eastAsia="仿宋" w:cs="仿宋" w:hAnsi="仿宋_GB2312" w:hint="eastAsia"/>
          <w:sz w:val="32"/>
          <w:szCs w:val="32"/>
        </w:rPr>
        <w:t>《管理办法》对公款竞争性存放的适用单位、资金范围做了规定，</w:t>
      </w:r>
      <w:r>
        <w:rPr>
          <w:rFonts w:ascii="仿宋" w:eastAsia="仿宋" w:cs="仿宋" w:hint="eastAsia"/>
          <w:sz w:val="32"/>
          <w:szCs w:val="32"/>
        </w:rPr>
        <w:t>共包</w:t>
      </w:r>
      <w:r>
        <w:rPr>
          <w:rFonts w:ascii="仿宋" w:eastAsia="仿宋" w:cs="仿宋" w:hAnsi="Times New Roman" w:hint="eastAsia"/>
          <w:sz w:val="32"/>
          <w:szCs w:val="32"/>
        </w:rPr>
        <w:t>含适用范围、总体要求、操作规范、后续管理、监督管理、其他等6大部分</w:t>
      </w:r>
      <w:r>
        <w:rPr>
          <w:rFonts w:ascii="仿宋" w:eastAsia="仿宋" w:cs="仿宋" w:hint="eastAsia"/>
          <w:sz w:val="32"/>
          <w:szCs w:val="32"/>
        </w:rPr>
        <w:t>34项条款</w:t>
      </w:r>
      <w:r>
        <w:rPr>
          <w:rFonts w:ascii="仿宋" w:eastAsia="仿宋" w:cs="仿宋" w:hAnsi="Times New Roman" w:hint="eastAsia"/>
          <w:sz w:val="32"/>
          <w:szCs w:val="32"/>
        </w:rPr>
        <w:t>，</w:t>
      </w:r>
      <w:r>
        <w:rPr>
          <w:rFonts w:ascii="仿宋" w:eastAsia="仿宋" w:cs="仿宋" w:hAnsi="仿宋_GB2312" w:hint="eastAsia"/>
          <w:sz w:val="32"/>
          <w:szCs w:val="32"/>
        </w:rPr>
        <w:t>规定了需要进行竞争性存放的情形、总体要求以及具体的规范的操作流程和条件以及后续管理条件</w:t>
      </w:r>
      <w:r>
        <w:rPr>
          <w:rFonts w:ascii="仿宋" w:eastAsia="仿宋" w:cs="仿宋" w:hAnsi="仿宋_GB2312"/>
          <w:sz w:val="32"/>
          <w:szCs w:val="32"/>
        </w:rPr>
        <w:t>。</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29">
    <w:name w:val="Normal Indent"/>
    <w:basedOn w:val="0"/>
    <w:next w:val="15"/>
    <w:pPr>
      <w:widowControl w:val="0"/>
      <w:ind w:firstLine="567"/>
      <w:jc w:val="both"/>
    </w:pPr>
    <w:rPr>
      <w:rFonts w:ascii="Times New Roman" w:eastAsia="宋体" w:cs="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866EB407-EBA6-42F3-80E3-8D2CC6706C75}">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21</TotalTime>
  <Application>Yozo_Office27021597764231179</Application>
  <Pages>2</Pages>
  <Words>0</Words>
  <Characters>394</Characters>
  <Lines>0</Lines>
  <Paragraphs>7</Paragraphs>
  <CharactersWithSpaces>526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admin</cp:lastModifiedBy>
  <cp:revision>1</cp:revision>
  <dcterms:created xsi:type="dcterms:W3CDTF">2023-12-14T07:30:11Z</dcterms:created>
  <dcterms:modified xsi:type="dcterms:W3CDTF">2023-12-14T07:51:13Z</dcterms:modified>
</cp:coreProperties>
</file>