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2324F">
      <w:pPr>
        <w:spacing w:line="560" w:lineRule="exact"/>
        <w:jc w:val="center"/>
        <w:rPr>
          <w:rFonts w:hint="eastAsia" w:ascii="方正小标宋简体" w:hAnsi="微软雅黑" w:eastAsia="方正小标宋简体" w:cs="微软雅黑"/>
          <w:color w:val="000000" w:themeColor="text1"/>
          <w:sz w:val="44"/>
          <w:szCs w:val="44"/>
        </w:rPr>
      </w:pPr>
      <w:r>
        <w:rPr>
          <w:rFonts w:hint="eastAsia" w:ascii="方正小标宋简体" w:hAnsi="微软雅黑" w:eastAsia="方正小标宋简体" w:cs="微软雅黑"/>
          <w:color w:val="000000" w:themeColor="text1"/>
          <w:sz w:val="44"/>
          <w:szCs w:val="44"/>
        </w:rPr>
        <w:t>桐庐县全面推进城市更新行动方案</w:t>
      </w:r>
    </w:p>
    <w:p w14:paraId="5DA8568A">
      <w:pPr>
        <w:spacing w:line="560" w:lineRule="exact"/>
        <w:ind w:firstLine="643"/>
        <w:jc w:val="center"/>
        <w:rPr>
          <w:rFonts w:hint="eastAsia" w:ascii="楷体_GB2312" w:hAnsi="仿宋" w:eastAsia="楷体_GB2312"/>
          <w:color w:val="000000" w:themeColor="text1"/>
        </w:rPr>
      </w:pPr>
      <w:r>
        <w:rPr>
          <w:rFonts w:hint="eastAsia" w:ascii="楷体_GB2312" w:hAnsi="仿宋" w:eastAsia="楷体_GB2312"/>
          <w:color w:val="000000" w:themeColor="text1"/>
        </w:rPr>
        <w:t>（征求意见稿）</w:t>
      </w:r>
    </w:p>
    <w:p w14:paraId="62A2CA34">
      <w:pPr>
        <w:pStyle w:val="2"/>
        <w:spacing w:after="217"/>
        <w:ind w:firstLine="422"/>
        <w:rPr>
          <w:color w:val="000000" w:themeColor="text1"/>
        </w:rPr>
      </w:pPr>
    </w:p>
    <w:p w14:paraId="1D04C789">
      <w:pPr>
        <w:spacing w:line="560" w:lineRule="exact"/>
        <w:ind w:firstLine="640" w:firstLineChars="200"/>
        <w:rPr>
          <w:rFonts w:ascii="仿宋_GB2312"/>
          <w:color w:val="000000" w:themeColor="text1"/>
          <w:szCs w:val="32"/>
        </w:rPr>
      </w:pPr>
      <w:r>
        <w:rPr>
          <w:rFonts w:hint="eastAsia" w:ascii="仿宋_GB2312"/>
          <w:color w:val="000000" w:themeColor="text1"/>
          <w:szCs w:val="32"/>
        </w:rPr>
        <w:t>为加快转变城市发展方式，全面推进城市更新行动，打造宜居、韧性、智慧城市，根据《杭州市人民政府办公厅关于全面推进城市更新的实施意见》《杭州市全面推进城市更新行动领导小组关于印发&lt;杭州市全面推进城市更新行动方案（2023-2025年）&gt;的通知》有关要求，制定本行动方案。</w:t>
      </w:r>
    </w:p>
    <w:p w14:paraId="6E4DF972">
      <w:pPr>
        <w:spacing w:line="560" w:lineRule="exact"/>
        <w:ind w:firstLine="640" w:firstLineChars="200"/>
        <w:rPr>
          <w:rFonts w:ascii="黑体" w:hAnsi="黑体" w:eastAsia="黑体"/>
          <w:color w:val="000000" w:themeColor="text1"/>
          <w:szCs w:val="32"/>
        </w:rPr>
      </w:pPr>
      <w:r>
        <w:rPr>
          <w:rFonts w:hint="eastAsia" w:ascii="黑体" w:hAnsi="黑体" w:eastAsia="黑体"/>
          <w:color w:val="000000" w:themeColor="text1"/>
          <w:szCs w:val="32"/>
        </w:rPr>
        <w:t>一、总体目标</w:t>
      </w:r>
    </w:p>
    <w:p w14:paraId="580A895F">
      <w:pPr>
        <w:spacing w:line="560" w:lineRule="exact"/>
        <w:ind w:firstLine="640" w:firstLineChars="200"/>
        <w:jc w:val="left"/>
        <w:rPr>
          <w:rFonts w:ascii="仿宋_GB2312"/>
          <w:color w:val="000000" w:themeColor="text1"/>
          <w:szCs w:val="32"/>
        </w:rPr>
      </w:pPr>
      <w:r>
        <w:rPr>
          <w:rFonts w:hint="eastAsia" w:ascii="仿宋_GB2312"/>
          <w:color w:val="000000" w:themeColor="text1"/>
          <w:szCs w:val="32"/>
        </w:rPr>
        <w:t>到2025年，形成适应高质量发展的城市更新工作体系。通过实施城市更新行动，进一步优化完善城市空间结构和功能布局，推动城市能级提升，促进产业结构调整，打造高品质公共空间，补齐基础设施和公共服务设施短板，切实改善人居环境和安全条件，传承城市历史文脉，城市宜居、韧性、智慧水平显著提升。</w:t>
      </w:r>
    </w:p>
    <w:p w14:paraId="667360AC">
      <w:pPr>
        <w:spacing w:line="560" w:lineRule="exact"/>
        <w:ind w:firstLine="643" w:firstLineChars="200"/>
        <w:jc w:val="left"/>
        <w:rPr>
          <w:rFonts w:ascii="仿宋_GB2312"/>
          <w:color w:val="000000" w:themeColor="text1"/>
          <w:szCs w:val="32"/>
        </w:rPr>
      </w:pPr>
      <w:r>
        <w:rPr>
          <w:rFonts w:hint="eastAsia" w:ascii="楷体_GB2312" w:eastAsia="楷体_GB2312"/>
          <w:b/>
          <w:color w:val="000000" w:themeColor="text1"/>
          <w:szCs w:val="32"/>
        </w:rPr>
        <w:t>——人居环境水平显著提升。</w:t>
      </w:r>
      <w:r>
        <w:rPr>
          <w:rFonts w:hint="eastAsia" w:ascii="仿宋_GB2312"/>
          <w:color w:val="000000" w:themeColor="text1"/>
          <w:szCs w:val="32"/>
        </w:rPr>
        <w:t>城镇危房实现动态管理、全面解危，老旧小区改造应改尽改，既有住宅加装电梯持续推进，新推出未来社区创建项目不少于6个，未来社区创建覆盖40%以上的城镇社区。</w:t>
      </w:r>
    </w:p>
    <w:p w14:paraId="7F729D12">
      <w:pPr>
        <w:spacing w:line="560" w:lineRule="exact"/>
        <w:ind w:firstLine="643" w:firstLineChars="200"/>
        <w:jc w:val="left"/>
        <w:rPr>
          <w:rFonts w:ascii="仿宋_GB2312"/>
          <w:color w:val="000000" w:themeColor="text1"/>
          <w:szCs w:val="32"/>
        </w:rPr>
      </w:pPr>
      <w:r>
        <w:rPr>
          <w:rFonts w:hint="eastAsia" w:ascii="楷体_GB2312" w:eastAsia="楷体_GB2312"/>
          <w:b/>
          <w:color w:val="000000" w:themeColor="text1"/>
          <w:szCs w:val="32"/>
        </w:rPr>
        <w:t>——产业发展支撑作用不断增强。</w:t>
      </w:r>
      <w:r>
        <w:rPr>
          <w:rFonts w:hint="eastAsia" w:ascii="仿宋_GB2312"/>
          <w:color w:val="000000" w:themeColor="text1"/>
          <w:szCs w:val="32"/>
        </w:rPr>
        <w:t>实施低效用地再开发工作，统筹低效用地整治、标准厂房和“腾笼换鸟”等工作，完成更新低效工业用地不少于2300亩。推动传统商圈转型升级，提高消费质量和水平。</w:t>
      </w:r>
    </w:p>
    <w:p w14:paraId="5E835458">
      <w:pPr>
        <w:spacing w:line="560" w:lineRule="exact"/>
        <w:ind w:firstLine="643" w:firstLineChars="200"/>
        <w:jc w:val="left"/>
        <w:rPr>
          <w:rFonts w:ascii="仿宋_GB2312"/>
          <w:color w:val="000000" w:themeColor="text1"/>
          <w:szCs w:val="32"/>
        </w:rPr>
      </w:pPr>
      <w:r>
        <w:rPr>
          <w:rFonts w:hint="eastAsia" w:ascii="楷体_GB2312" w:eastAsia="楷体_GB2312"/>
          <w:b/>
          <w:color w:val="000000" w:themeColor="text1"/>
          <w:szCs w:val="32"/>
        </w:rPr>
        <w:t>——基础设施体系更加完善。</w:t>
      </w:r>
      <w:r>
        <w:rPr>
          <w:rFonts w:hint="eastAsia" w:ascii="仿宋_GB2312"/>
          <w:color w:val="000000" w:themeColor="text1"/>
          <w:szCs w:val="32"/>
        </w:rPr>
        <w:t>市政基础设施短板有效补齐，老旧管网更新完善，城市饮用水源“一源一备”，全县城市建成区内新建海绵城市建设项目达90%以上,城市防洪排涝能力</w:t>
      </w:r>
      <w:r>
        <w:rPr>
          <w:rFonts w:hint="eastAsia" w:ascii="仿宋_GB2312"/>
          <w:color w:val="000000" w:themeColor="text1"/>
          <w:szCs w:val="32"/>
          <w:lang w:eastAsia="zh-CN"/>
        </w:rPr>
        <w:t>、</w:t>
      </w:r>
      <w:r>
        <w:rPr>
          <w:rFonts w:hint="eastAsia" w:ascii="仿宋_GB2312"/>
          <w:color w:val="000000" w:themeColor="text1"/>
          <w:szCs w:val="32"/>
          <w:lang w:val="en-US" w:eastAsia="zh-CN"/>
        </w:rPr>
        <w:t>垃圾处置能力</w:t>
      </w:r>
      <w:r>
        <w:rPr>
          <w:rFonts w:hint="eastAsia" w:ascii="仿宋_GB2312"/>
          <w:color w:val="000000" w:themeColor="text1"/>
          <w:szCs w:val="32"/>
        </w:rPr>
        <w:t>得到提升</w:t>
      </w:r>
      <w:r>
        <w:rPr>
          <w:rFonts w:hint="eastAsia" w:ascii="仿宋_GB2312"/>
          <w:color w:val="000000" w:themeColor="text1"/>
          <w:szCs w:val="32"/>
          <w:lang w:val="en-US" w:eastAsia="zh-CN"/>
        </w:rPr>
        <w:t>，</w:t>
      </w:r>
      <w:r>
        <w:rPr>
          <w:rFonts w:hint="eastAsia" w:ascii="仿宋_GB2312"/>
          <w:color w:val="000000" w:themeColor="text1"/>
          <w:szCs w:val="32"/>
        </w:rPr>
        <w:t>安全韧性能力稳步增强，公共服务供给更加优质均衡。</w:t>
      </w:r>
    </w:p>
    <w:p w14:paraId="0E5FAF43">
      <w:pPr>
        <w:spacing w:line="560" w:lineRule="exact"/>
        <w:ind w:firstLine="643" w:firstLineChars="200"/>
        <w:jc w:val="left"/>
        <w:rPr>
          <w:rFonts w:ascii="仿宋_GB2312"/>
          <w:color w:val="000000" w:themeColor="text1"/>
          <w:szCs w:val="32"/>
        </w:rPr>
      </w:pPr>
      <w:r>
        <w:rPr>
          <w:rFonts w:hint="eastAsia" w:ascii="楷体_GB2312" w:eastAsia="楷体_GB2312"/>
          <w:b/>
          <w:color w:val="000000" w:themeColor="text1"/>
          <w:szCs w:val="32"/>
        </w:rPr>
        <w:t>——生态文明建设继续加快。</w:t>
      </w:r>
      <w:r>
        <w:rPr>
          <w:rFonts w:hint="eastAsia" w:ascii="仿宋_GB2312" w:hAnsi="仿宋_GB2312" w:cs="仿宋_GB2312"/>
          <w:color w:val="000000" w:themeColor="text1"/>
          <w:szCs w:val="32"/>
        </w:rPr>
        <w:t>中心城区公园绿地服务半径覆盖率达到</w:t>
      </w:r>
      <w:r>
        <w:rPr>
          <w:rFonts w:hint="eastAsia" w:ascii="仿宋_GB2312"/>
          <w:color w:val="000000" w:themeColor="text1"/>
          <w:szCs w:val="32"/>
        </w:rPr>
        <w:t>90％，人均公园绿地面积达到15平方米，湿地保护率达到60%以上。</w:t>
      </w:r>
    </w:p>
    <w:p w14:paraId="008578C9">
      <w:pPr>
        <w:spacing w:line="560" w:lineRule="exact"/>
        <w:ind w:firstLine="643" w:firstLineChars="200"/>
        <w:jc w:val="left"/>
        <w:rPr>
          <w:rFonts w:ascii="仿宋_GB2312"/>
          <w:color w:val="000000" w:themeColor="text1"/>
          <w:szCs w:val="32"/>
          <w:highlight w:val="yellow"/>
        </w:rPr>
      </w:pPr>
      <w:r>
        <w:rPr>
          <w:rFonts w:hint="eastAsia" w:ascii="楷体_GB2312" w:eastAsia="楷体_GB2312"/>
          <w:b/>
          <w:color w:val="000000" w:themeColor="text1"/>
          <w:szCs w:val="32"/>
        </w:rPr>
        <w:t>——城市人文魅力不断彰显。</w:t>
      </w:r>
      <w:r>
        <w:rPr>
          <w:rFonts w:hint="eastAsia" w:ascii="仿宋_GB2312"/>
          <w:color w:val="000000" w:themeColor="text1"/>
          <w:szCs w:val="32"/>
        </w:rPr>
        <w:t>高水平推进历史文化保护和传承，加强历史街区和建筑的保护传承和活化利用，塑造特色城市风貌，新推出不少于5个城乡风貌样板区试点。</w:t>
      </w:r>
    </w:p>
    <w:p w14:paraId="569A404A">
      <w:pPr>
        <w:spacing w:line="560" w:lineRule="exact"/>
        <w:ind w:firstLine="643" w:firstLineChars="200"/>
        <w:jc w:val="left"/>
        <w:rPr>
          <w:rFonts w:ascii="仿宋_GB2312"/>
          <w:color w:val="000000" w:themeColor="text1"/>
          <w:szCs w:val="32"/>
        </w:rPr>
      </w:pPr>
      <w:r>
        <w:rPr>
          <w:rFonts w:hint="eastAsia" w:ascii="楷体_GB2312" w:eastAsia="楷体_GB2312"/>
          <w:b/>
          <w:color w:val="000000" w:themeColor="text1"/>
          <w:szCs w:val="32"/>
        </w:rPr>
        <w:t>——区域复合空间持续优化。</w:t>
      </w:r>
      <w:r>
        <w:rPr>
          <w:rFonts w:hint="eastAsia" w:ascii="仿宋_GB2312"/>
          <w:color w:val="000000" w:themeColor="text1"/>
          <w:szCs w:val="32"/>
        </w:rPr>
        <w:t>实施土地综合整治工程4个,积极推动存量用地空间复合利用，优化功能布局和资源统筹配置。</w:t>
      </w:r>
    </w:p>
    <w:p w14:paraId="6528BB63">
      <w:pPr>
        <w:spacing w:line="560" w:lineRule="exact"/>
        <w:ind w:firstLine="640" w:firstLineChars="200"/>
        <w:rPr>
          <w:rFonts w:ascii="黑体" w:hAnsi="黑体" w:eastAsia="黑体"/>
          <w:color w:val="000000" w:themeColor="text1"/>
          <w:szCs w:val="32"/>
        </w:rPr>
      </w:pPr>
      <w:r>
        <w:rPr>
          <w:rFonts w:hint="eastAsia" w:ascii="黑体" w:hAnsi="黑体" w:eastAsia="黑体"/>
          <w:color w:val="000000" w:themeColor="text1"/>
          <w:szCs w:val="32"/>
        </w:rPr>
        <w:t>二、实施步骤</w:t>
      </w:r>
    </w:p>
    <w:p w14:paraId="56BF51B8">
      <w:pPr>
        <w:spacing w:line="560" w:lineRule="exact"/>
        <w:ind w:firstLine="643" w:firstLineChars="200"/>
        <w:rPr>
          <w:rFonts w:hint="eastAsia" w:ascii="楷体_GB2312" w:eastAsia="楷体_GB2312"/>
          <w:b/>
          <w:color w:val="000000" w:themeColor="text1"/>
          <w:szCs w:val="32"/>
        </w:rPr>
      </w:pPr>
      <w:r>
        <w:rPr>
          <w:rFonts w:hint="eastAsia" w:ascii="楷体_GB2312" w:eastAsia="楷体_GB2312"/>
          <w:b/>
          <w:color w:val="000000" w:themeColor="text1"/>
          <w:szCs w:val="32"/>
        </w:rPr>
        <w:t>（一）工作启动阶段（2024年3月底前）。</w:t>
      </w:r>
    </w:p>
    <w:p w14:paraId="346605A1">
      <w:pPr>
        <w:spacing w:line="560" w:lineRule="exact"/>
        <w:ind w:firstLine="640" w:firstLineChars="200"/>
        <w:rPr>
          <w:rFonts w:ascii="仿宋_GB2312"/>
          <w:color w:val="000000" w:themeColor="text1"/>
          <w:szCs w:val="32"/>
        </w:rPr>
      </w:pPr>
      <w:r>
        <w:rPr>
          <w:rFonts w:hint="eastAsia" w:ascii="仿宋_GB2312"/>
          <w:color w:val="000000" w:themeColor="text1"/>
          <w:szCs w:val="32"/>
        </w:rPr>
        <w:t>建立城市更新工作体系，出台城市更新行动方案，明确工作目标和工作任务，推动具有示范效应的更新项目实施。结合我县城市体检评估成果，完成城市更新建设规划编制，划定更新片区，形成更新项目库。</w:t>
      </w:r>
    </w:p>
    <w:p w14:paraId="702AC9A6">
      <w:pPr>
        <w:spacing w:line="560" w:lineRule="exact"/>
        <w:ind w:firstLine="643" w:firstLineChars="200"/>
        <w:rPr>
          <w:rFonts w:ascii="仿宋_GB2312"/>
          <w:b/>
          <w:color w:val="000000" w:themeColor="text1"/>
          <w:szCs w:val="32"/>
        </w:rPr>
      </w:pPr>
      <w:r>
        <w:rPr>
          <w:rFonts w:hint="eastAsia" w:ascii="楷体_GB2312" w:eastAsia="楷体_GB2312"/>
          <w:b/>
          <w:color w:val="000000" w:themeColor="text1"/>
          <w:szCs w:val="32"/>
        </w:rPr>
        <w:t>（二）全面铺开阶段（2024年4月至2025年10月底前）。</w:t>
      </w:r>
    </w:p>
    <w:p w14:paraId="6BA3E084">
      <w:pPr>
        <w:spacing w:line="560" w:lineRule="exact"/>
        <w:ind w:firstLine="640" w:firstLineChars="200"/>
        <w:rPr>
          <w:rFonts w:ascii="仿宋_GB2312"/>
          <w:color w:val="000000" w:themeColor="text1"/>
          <w:szCs w:val="32"/>
        </w:rPr>
      </w:pPr>
      <w:r>
        <w:rPr>
          <w:rFonts w:hint="eastAsia" w:ascii="仿宋_GB2312"/>
          <w:color w:val="000000" w:themeColor="text1"/>
          <w:szCs w:val="32"/>
        </w:rPr>
        <w:t>全面推进城市更新工作，加快城镇单元控规详细规划编制，实现更新片区规划方案全覆盖，建成具有示范效应的更新片区、项目，确保城市更新行动取得阶段性成果。</w:t>
      </w:r>
    </w:p>
    <w:p w14:paraId="76570BAD">
      <w:pPr>
        <w:spacing w:line="560" w:lineRule="exact"/>
        <w:ind w:firstLine="643" w:firstLineChars="200"/>
        <w:rPr>
          <w:rFonts w:ascii="楷体_GB2312" w:eastAsia="楷体_GB2312"/>
          <w:b/>
          <w:color w:val="000000" w:themeColor="text1"/>
          <w:szCs w:val="32"/>
        </w:rPr>
      </w:pPr>
      <w:r>
        <w:rPr>
          <w:rFonts w:hint="eastAsia" w:ascii="楷体_GB2312" w:eastAsia="楷体_GB2312"/>
          <w:b/>
          <w:color w:val="000000" w:themeColor="text1"/>
          <w:szCs w:val="32"/>
        </w:rPr>
        <w:t>（三）阶段性总结阶段（2025年11月至12月）。</w:t>
      </w:r>
    </w:p>
    <w:p w14:paraId="6539921B">
      <w:pPr>
        <w:spacing w:line="560" w:lineRule="exact"/>
        <w:ind w:firstLine="640" w:firstLineChars="200"/>
        <w:rPr>
          <w:rFonts w:ascii="仿宋_GB2312"/>
          <w:color w:val="000000" w:themeColor="text1"/>
          <w:szCs w:val="32"/>
        </w:rPr>
      </w:pPr>
      <w:r>
        <w:rPr>
          <w:rFonts w:hint="eastAsia" w:ascii="仿宋_GB2312"/>
          <w:color w:val="000000" w:themeColor="text1"/>
          <w:szCs w:val="32"/>
        </w:rPr>
        <w:t>对城市更新行动进行阶段性经验总结，评选一批城市更新示范项目，总结一批机制做法和标志性成果，形成可复制、可推广的城市更新“桐庐模式”。在前期工作基础上，进一步谋划启动新一轮城市更新行动。</w:t>
      </w:r>
    </w:p>
    <w:p w14:paraId="5638582C">
      <w:pPr>
        <w:spacing w:line="560" w:lineRule="exact"/>
        <w:ind w:firstLine="640" w:firstLineChars="200"/>
        <w:rPr>
          <w:rFonts w:ascii="黑体" w:hAnsi="黑体" w:eastAsia="黑体"/>
          <w:color w:val="000000" w:themeColor="text1"/>
          <w:szCs w:val="32"/>
        </w:rPr>
      </w:pPr>
      <w:r>
        <w:rPr>
          <w:rFonts w:hint="eastAsia" w:ascii="黑体" w:hAnsi="黑体" w:eastAsia="黑体"/>
          <w:color w:val="000000" w:themeColor="text1"/>
          <w:szCs w:val="32"/>
        </w:rPr>
        <w:t>三、主要任务</w:t>
      </w:r>
    </w:p>
    <w:p w14:paraId="798BA0F6">
      <w:pPr>
        <w:spacing w:line="560" w:lineRule="exact"/>
        <w:ind w:firstLine="643" w:firstLineChars="200"/>
        <w:rPr>
          <w:rFonts w:ascii="楷体_GB2312" w:eastAsia="楷体_GB2312"/>
          <w:b/>
          <w:color w:val="000000" w:themeColor="text1"/>
          <w:szCs w:val="32"/>
        </w:rPr>
      </w:pPr>
      <w:r>
        <w:rPr>
          <w:rFonts w:hint="eastAsia" w:ascii="楷体_GB2312" w:eastAsia="楷体_GB2312"/>
          <w:b/>
          <w:color w:val="000000" w:themeColor="text1"/>
          <w:szCs w:val="32"/>
        </w:rPr>
        <w:t>（一）规划引领行动。</w:t>
      </w:r>
    </w:p>
    <w:p w14:paraId="03DF949B">
      <w:pPr>
        <w:spacing w:line="560" w:lineRule="exact"/>
        <w:ind w:firstLine="643" w:firstLineChars="200"/>
        <w:rPr>
          <w:rFonts w:ascii="仿宋_GB2312"/>
          <w:color w:val="000000" w:themeColor="text1"/>
          <w:szCs w:val="32"/>
        </w:rPr>
      </w:pPr>
      <w:r>
        <w:rPr>
          <w:rFonts w:hint="eastAsia" w:ascii="仿宋_GB2312"/>
          <w:b/>
          <w:color w:val="000000" w:themeColor="text1"/>
          <w:szCs w:val="32"/>
        </w:rPr>
        <w:t>1.</w:t>
      </w:r>
      <w:r>
        <w:rPr>
          <w:rFonts w:hint="eastAsia" w:ascii="仿宋_GB2312"/>
          <w:color w:val="000000" w:themeColor="text1"/>
          <w:szCs w:val="32"/>
        </w:rPr>
        <w:t>开展城市更新建设规划编制，划定更新片区，提出片区更新时序，制定更新计划，建立城市更新项目库。开展更新片区策划方案编制，对重点片区进行城市设计。</w:t>
      </w:r>
    </w:p>
    <w:p w14:paraId="28D7DC40">
      <w:pPr>
        <w:spacing w:line="560" w:lineRule="exact"/>
        <w:ind w:firstLine="643" w:firstLineChars="200"/>
        <w:rPr>
          <w:rFonts w:ascii="仿宋_GB2312"/>
          <w:b/>
          <w:color w:val="000000" w:themeColor="text1"/>
          <w:szCs w:val="32"/>
        </w:rPr>
      </w:pPr>
      <w:r>
        <w:rPr>
          <w:rFonts w:hint="eastAsia" w:ascii="仿宋_GB2312"/>
          <w:b/>
          <w:color w:val="000000" w:themeColor="text1"/>
          <w:szCs w:val="32"/>
        </w:rPr>
        <w:t>责任单位：</w:t>
      </w:r>
      <w:r>
        <w:rPr>
          <w:rFonts w:hint="eastAsia" w:ascii="仿宋_GB2312"/>
          <w:color w:val="000000" w:themeColor="text1"/>
          <w:szCs w:val="32"/>
        </w:rPr>
        <w:t>★县住建局、县</w:t>
      </w:r>
      <w:r>
        <w:rPr>
          <w:rFonts w:hint="eastAsia" w:ascii="仿宋_GB2312"/>
          <w:color w:val="000000" w:themeColor="text1"/>
          <w:szCs w:val="32"/>
          <w:lang w:eastAsia="zh-CN"/>
        </w:rPr>
        <w:t>规划和自然资源局</w:t>
      </w:r>
      <w:r>
        <w:rPr>
          <w:rFonts w:hint="eastAsia" w:ascii="仿宋_GB2312"/>
          <w:color w:val="000000" w:themeColor="text1"/>
          <w:szCs w:val="32"/>
        </w:rPr>
        <w:t>、各乡镇（街道）、开发区</w:t>
      </w:r>
      <w:r>
        <w:rPr>
          <w:rFonts w:hint="eastAsia" w:ascii="仿宋_GB2312"/>
          <w:color w:val="000000" w:themeColor="text1"/>
          <w:szCs w:val="32"/>
          <w:lang w:eastAsia="zh-CN"/>
        </w:rPr>
        <w:t>。</w:t>
      </w:r>
      <w:r>
        <w:rPr>
          <w:rFonts w:hint="eastAsia" w:ascii="仿宋_GB2312"/>
          <w:b/>
          <w:color w:val="000000" w:themeColor="text1"/>
          <w:szCs w:val="32"/>
        </w:rPr>
        <w:t>[★为牵头单位，各任务具体实施单位为各乡镇（街道）街道、开发区，以下不再重复罗列]</w:t>
      </w:r>
    </w:p>
    <w:p w14:paraId="5797D51F">
      <w:pPr>
        <w:spacing w:line="560" w:lineRule="exact"/>
        <w:ind w:firstLine="643" w:firstLineChars="200"/>
        <w:rPr>
          <w:rFonts w:ascii="楷体_GB2312" w:eastAsia="楷体_GB2312"/>
          <w:b/>
          <w:color w:val="000000" w:themeColor="text1"/>
          <w:szCs w:val="32"/>
        </w:rPr>
      </w:pPr>
      <w:r>
        <w:rPr>
          <w:rFonts w:hint="eastAsia" w:ascii="楷体_GB2312" w:eastAsia="楷体_GB2312"/>
          <w:b/>
          <w:color w:val="000000" w:themeColor="text1"/>
          <w:szCs w:val="32"/>
        </w:rPr>
        <w:t>（二）宜居品质提升行动。</w:t>
      </w:r>
    </w:p>
    <w:p w14:paraId="645ABC6F">
      <w:pPr>
        <w:spacing w:line="560" w:lineRule="exact"/>
        <w:ind w:firstLine="643" w:firstLineChars="200"/>
        <w:rPr>
          <w:rFonts w:ascii="仿宋_GB2312"/>
          <w:color w:val="000000" w:themeColor="text1"/>
          <w:szCs w:val="32"/>
        </w:rPr>
      </w:pPr>
      <w:r>
        <w:rPr>
          <w:rFonts w:hint="eastAsia" w:ascii="仿宋_GB2312"/>
          <w:b/>
          <w:color w:val="000000" w:themeColor="text1"/>
          <w:szCs w:val="32"/>
        </w:rPr>
        <w:t>2.城镇危房治理。</w:t>
      </w:r>
      <w:r>
        <w:rPr>
          <w:rFonts w:hint="eastAsia" w:ascii="仿宋_GB2312"/>
          <w:color w:val="000000" w:themeColor="text1"/>
          <w:szCs w:val="32"/>
        </w:rPr>
        <w:t>分类开展城市危房治理改造，对D级危房原则进行拆建，切实改善群众居住条件，确保居住使用安全。至2025年，城镇危房需实质性解危拆除至少6幢，其中：</w:t>
      </w:r>
    </w:p>
    <w:p w14:paraId="67726E9B">
      <w:pPr>
        <w:spacing w:line="560" w:lineRule="exact"/>
        <w:ind w:firstLine="643"/>
        <w:rPr>
          <w:rFonts w:hint="eastAsia" w:ascii="仿宋_GB2312" w:hAnsi="仿宋_GB2312" w:eastAsia="仿宋_GB2312" w:cs="仿宋_GB2312"/>
          <w:color w:val="000000" w:themeColor="text1"/>
          <w:szCs w:val="32"/>
          <w:lang w:eastAsia="zh-CN"/>
        </w:rPr>
      </w:pPr>
      <w:r>
        <w:rPr>
          <w:rFonts w:hint="eastAsia" w:ascii="仿宋_GB2312" w:hAnsi="仿宋_GB2312" w:cs="仿宋_GB2312"/>
          <w:color w:val="000000" w:themeColor="text1"/>
          <w:szCs w:val="32"/>
        </w:rPr>
        <w:t>2024年实质性解危拆除</w:t>
      </w:r>
      <w:r>
        <w:rPr>
          <w:rFonts w:hint="eastAsia" w:ascii="仿宋_GB2312"/>
          <w:color w:val="000000" w:themeColor="text1"/>
          <w:szCs w:val="32"/>
        </w:rPr>
        <w:t>至少</w:t>
      </w:r>
      <w:r>
        <w:rPr>
          <w:rFonts w:hint="eastAsia" w:ascii="仿宋_GB2312" w:hAnsi="仿宋_GB2312" w:cs="仿宋_GB2312"/>
          <w:color w:val="000000" w:themeColor="text1"/>
          <w:szCs w:val="32"/>
        </w:rPr>
        <w:t>2幢</w:t>
      </w:r>
      <w:r>
        <w:rPr>
          <w:rFonts w:hint="eastAsia" w:ascii="仿宋_GB2312" w:hAnsi="仿宋_GB2312" w:cs="仿宋_GB2312"/>
          <w:color w:val="000000" w:themeColor="text1"/>
          <w:szCs w:val="32"/>
          <w:lang w:eastAsia="zh-CN"/>
        </w:rPr>
        <w:t>；</w:t>
      </w:r>
    </w:p>
    <w:p w14:paraId="29EE5C40">
      <w:pPr>
        <w:spacing w:line="560" w:lineRule="exact"/>
        <w:ind w:firstLine="643"/>
        <w:rPr>
          <w:rFonts w:ascii="仿宋_GB2312" w:hAnsi="仿宋_GB2312" w:cs="仿宋_GB2312"/>
          <w:color w:val="000000" w:themeColor="text1"/>
          <w:szCs w:val="32"/>
        </w:rPr>
      </w:pPr>
      <w:r>
        <w:rPr>
          <w:rFonts w:hint="eastAsia" w:ascii="仿宋_GB2312" w:hAnsi="仿宋_GB2312" w:cs="仿宋_GB2312"/>
          <w:color w:val="000000" w:themeColor="text1"/>
          <w:szCs w:val="32"/>
        </w:rPr>
        <w:t>2025年实质性解危拆除</w:t>
      </w:r>
      <w:r>
        <w:rPr>
          <w:rFonts w:hint="eastAsia" w:ascii="仿宋_GB2312"/>
          <w:color w:val="000000" w:themeColor="text1"/>
          <w:szCs w:val="32"/>
        </w:rPr>
        <w:t>至少</w:t>
      </w:r>
      <w:r>
        <w:rPr>
          <w:rFonts w:hint="eastAsia" w:ascii="仿宋_GB2312" w:hAnsi="仿宋_GB2312" w:cs="仿宋_GB2312"/>
          <w:color w:val="000000" w:themeColor="text1"/>
          <w:szCs w:val="32"/>
        </w:rPr>
        <w:t>4幢。</w:t>
      </w:r>
    </w:p>
    <w:p w14:paraId="42B3D6C4">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★县住建局、县</w:t>
      </w:r>
      <w:r>
        <w:rPr>
          <w:rFonts w:hint="eastAsia" w:ascii="仿宋_GB2312"/>
          <w:color w:val="000000" w:themeColor="text1"/>
          <w:szCs w:val="32"/>
          <w:lang w:eastAsia="zh-CN"/>
        </w:rPr>
        <w:t>规划和自然资源局</w:t>
      </w:r>
      <w:r>
        <w:rPr>
          <w:rFonts w:hint="eastAsia" w:ascii="仿宋_GB2312"/>
          <w:color w:val="000000" w:themeColor="text1"/>
          <w:szCs w:val="32"/>
        </w:rPr>
        <w:t>、县财政局、县机关事务服务中心</w:t>
      </w:r>
      <w:r>
        <w:rPr>
          <w:rFonts w:hint="eastAsia" w:ascii="仿宋_GB2312"/>
          <w:color w:val="000000" w:themeColor="text1"/>
          <w:szCs w:val="32"/>
          <w:lang w:eastAsia="zh-CN"/>
        </w:rPr>
        <w:t>。</w:t>
      </w:r>
    </w:p>
    <w:p w14:paraId="7FE7ACCB">
      <w:pPr>
        <w:spacing w:line="560" w:lineRule="exact"/>
        <w:ind w:firstLine="643" w:firstLineChars="200"/>
        <w:rPr>
          <w:rFonts w:ascii="仿宋_GB2312"/>
          <w:color w:val="000000" w:themeColor="text1"/>
          <w:szCs w:val="32"/>
        </w:rPr>
      </w:pPr>
      <w:r>
        <w:rPr>
          <w:rFonts w:hint="eastAsia" w:ascii="仿宋_GB2312"/>
          <w:b/>
          <w:color w:val="000000" w:themeColor="text1"/>
          <w:szCs w:val="32"/>
        </w:rPr>
        <w:t>3.老旧小区改造。</w:t>
      </w:r>
      <w:r>
        <w:rPr>
          <w:rFonts w:hint="eastAsia" w:ascii="仿宋_GB2312"/>
          <w:color w:val="000000" w:themeColor="text1"/>
          <w:szCs w:val="32"/>
        </w:rPr>
        <w:t>推进新一轮老旧小区综合改造提升三年（2023-2025年）行动计划，至2025年，实施51个城镇老旧小区综合改造提升，其中：</w:t>
      </w:r>
    </w:p>
    <w:p w14:paraId="69500087">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2024年实施46个城镇老旧小区综合改造提升</w:t>
      </w:r>
      <w:r>
        <w:rPr>
          <w:rFonts w:hint="eastAsia" w:ascii="仿宋_GB2312"/>
          <w:color w:val="000000" w:themeColor="text1"/>
          <w:szCs w:val="32"/>
          <w:lang w:eastAsia="zh-CN"/>
        </w:rPr>
        <w:t>；</w:t>
      </w:r>
    </w:p>
    <w:p w14:paraId="729F6D81">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2025年实施5个城镇老旧小区综合改造提升。</w:t>
      </w:r>
    </w:p>
    <w:p w14:paraId="0573BDDA">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★县住建局、县</w:t>
      </w:r>
      <w:r>
        <w:rPr>
          <w:rFonts w:hint="eastAsia" w:ascii="仿宋_GB2312"/>
          <w:color w:val="000000" w:themeColor="text1"/>
          <w:szCs w:val="32"/>
          <w:lang w:eastAsia="zh-CN"/>
        </w:rPr>
        <w:t>规划和自然资源局</w:t>
      </w:r>
      <w:r>
        <w:rPr>
          <w:rFonts w:hint="eastAsia" w:ascii="仿宋_GB2312"/>
          <w:color w:val="000000" w:themeColor="text1"/>
          <w:szCs w:val="32"/>
        </w:rPr>
        <w:t>、县发改局、县财政局</w:t>
      </w:r>
      <w:r>
        <w:rPr>
          <w:rFonts w:hint="eastAsia" w:ascii="仿宋_GB2312"/>
          <w:color w:val="000000" w:themeColor="text1"/>
          <w:szCs w:val="32"/>
          <w:lang w:eastAsia="zh-CN"/>
        </w:rPr>
        <w:t>。</w:t>
      </w:r>
    </w:p>
    <w:p w14:paraId="2A91D173">
      <w:pPr>
        <w:spacing w:line="560" w:lineRule="exact"/>
        <w:ind w:firstLine="643" w:firstLineChars="200"/>
        <w:rPr>
          <w:rFonts w:ascii="仿宋_GB2312"/>
          <w:color w:val="000000" w:themeColor="text1"/>
          <w:szCs w:val="32"/>
        </w:rPr>
      </w:pPr>
      <w:r>
        <w:rPr>
          <w:rFonts w:hint="eastAsia" w:ascii="仿宋_GB2312"/>
          <w:b/>
          <w:color w:val="000000" w:themeColor="text1"/>
          <w:szCs w:val="32"/>
        </w:rPr>
        <w:t>4.未来社区创建。</w:t>
      </w:r>
      <w:r>
        <w:rPr>
          <w:rFonts w:hint="eastAsia" w:ascii="仿宋_GB2312"/>
          <w:color w:val="000000" w:themeColor="text1"/>
          <w:szCs w:val="32"/>
        </w:rPr>
        <w:t>落实完整社区建设要求，以公共服务普惠共享为重点，着力探索未来社区长效运营新机制，把未来社区建设作为推进城乡社区现代化工作的突破口和空间落地载体。至2025年，全县新推出未来社区创建项目不少于6个，覆盖40%左右的城镇社区。其中：</w:t>
      </w:r>
    </w:p>
    <w:p w14:paraId="0F87C8F9">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2024年新推出未来社区创建项目不少于4个，覆盖不少于37%的城镇社区</w:t>
      </w:r>
      <w:r>
        <w:rPr>
          <w:rFonts w:hint="eastAsia" w:ascii="仿宋_GB2312"/>
          <w:color w:val="000000" w:themeColor="text1"/>
          <w:szCs w:val="32"/>
          <w:lang w:eastAsia="zh-CN"/>
        </w:rPr>
        <w:t>；</w:t>
      </w:r>
    </w:p>
    <w:p w14:paraId="624ACCAB">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2025年新推出未来社区创建项目不少于2个，覆盖不少于40%的城镇社区。</w:t>
      </w:r>
    </w:p>
    <w:p w14:paraId="61F2D93A">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★县住建局、县</w:t>
      </w:r>
      <w:r>
        <w:rPr>
          <w:rFonts w:hint="eastAsia" w:ascii="仿宋_GB2312"/>
          <w:color w:val="000000" w:themeColor="text1"/>
          <w:szCs w:val="32"/>
          <w:lang w:eastAsia="zh-CN"/>
        </w:rPr>
        <w:t>规划和自然资源局</w:t>
      </w:r>
      <w:r>
        <w:rPr>
          <w:rFonts w:hint="eastAsia" w:ascii="仿宋_GB2312"/>
          <w:color w:val="000000" w:themeColor="text1"/>
          <w:szCs w:val="32"/>
        </w:rPr>
        <w:t>、县发改局、县民政局、县卫健局、县建发集团</w:t>
      </w:r>
      <w:r>
        <w:rPr>
          <w:rFonts w:hint="eastAsia" w:ascii="仿宋_GB2312"/>
          <w:color w:val="000000" w:themeColor="text1"/>
          <w:szCs w:val="32"/>
          <w:lang w:eastAsia="zh-CN"/>
        </w:rPr>
        <w:t>。</w:t>
      </w:r>
    </w:p>
    <w:p w14:paraId="273EFCA7">
      <w:pPr>
        <w:spacing w:line="560" w:lineRule="exact"/>
        <w:ind w:firstLine="643" w:firstLineChars="200"/>
        <w:rPr>
          <w:rFonts w:ascii="仿宋_GB2312"/>
          <w:color w:val="000000" w:themeColor="text1"/>
          <w:szCs w:val="32"/>
        </w:rPr>
      </w:pPr>
      <w:r>
        <w:rPr>
          <w:rFonts w:hint="eastAsia" w:ascii="仿宋_GB2312"/>
          <w:b/>
          <w:color w:val="000000" w:themeColor="text1"/>
          <w:szCs w:val="32"/>
        </w:rPr>
        <w:t>5.城中村改造。</w:t>
      </w:r>
      <w:r>
        <w:rPr>
          <w:rFonts w:hint="eastAsia" w:ascii="仿宋_GB2312"/>
          <w:color w:val="000000" w:themeColor="text1"/>
          <w:szCs w:val="32"/>
        </w:rPr>
        <w:t>积极稳步推进新一轮城中村改造，至2025年，实施新一轮城中村改造项目6个、拆迁（整治）住户596户。其中：</w:t>
      </w:r>
    </w:p>
    <w:p w14:paraId="1BD9415D">
      <w:pPr>
        <w:spacing w:line="560" w:lineRule="exact"/>
        <w:ind w:firstLine="640" w:firstLineChars="200"/>
        <w:rPr>
          <w:rFonts w:hint="eastAsia" w:ascii="仿宋_GB2312" w:eastAsia="仿宋_GB2312"/>
          <w:color w:val="000000" w:themeColor="text1"/>
          <w:szCs w:val="32"/>
          <w:highlight w:val="yellow"/>
          <w:lang w:eastAsia="zh-CN"/>
        </w:rPr>
      </w:pPr>
      <w:r>
        <w:rPr>
          <w:rFonts w:hint="eastAsia" w:ascii="仿宋_GB2312"/>
          <w:color w:val="000000" w:themeColor="text1"/>
          <w:szCs w:val="32"/>
        </w:rPr>
        <w:t>2024年实施城中村改造项目6个、拆迁（整治）住户596户</w:t>
      </w:r>
      <w:r>
        <w:rPr>
          <w:rFonts w:hint="eastAsia" w:ascii="仿宋_GB2312"/>
          <w:color w:val="000000" w:themeColor="text1"/>
          <w:szCs w:val="32"/>
          <w:lang w:eastAsia="zh-CN"/>
        </w:rPr>
        <w:t>；</w:t>
      </w:r>
    </w:p>
    <w:p w14:paraId="3E430442">
      <w:pPr>
        <w:spacing w:line="560" w:lineRule="exact"/>
        <w:ind w:firstLine="640" w:firstLineChars="200"/>
        <w:rPr>
          <w:rFonts w:ascii="仿宋_GB2312"/>
          <w:color w:val="000000" w:themeColor="text1"/>
          <w:szCs w:val="32"/>
          <w:highlight w:val="yellow"/>
        </w:rPr>
      </w:pPr>
      <w:r>
        <w:rPr>
          <w:rFonts w:hint="eastAsia" w:ascii="仿宋_GB2312"/>
          <w:color w:val="000000" w:themeColor="text1"/>
          <w:szCs w:val="32"/>
        </w:rPr>
        <w:t>2025年持续实施新一轮城中村改造。</w:t>
      </w:r>
    </w:p>
    <w:p w14:paraId="2AB08230">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县住建局、县发改局、县</w:t>
      </w:r>
      <w:r>
        <w:rPr>
          <w:rFonts w:hint="eastAsia" w:ascii="仿宋_GB2312"/>
          <w:color w:val="000000" w:themeColor="text1"/>
          <w:szCs w:val="32"/>
          <w:lang w:eastAsia="zh-CN"/>
        </w:rPr>
        <w:t>规划和自然资源局。</w:t>
      </w:r>
    </w:p>
    <w:p w14:paraId="60C7D6AA">
      <w:pPr>
        <w:spacing w:line="560" w:lineRule="exact"/>
        <w:ind w:firstLine="643" w:firstLineChars="200"/>
        <w:rPr>
          <w:rFonts w:ascii="仿宋_GB2312"/>
          <w:color w:val="000000" w:themeColor="text1"/>
          <w:szCs w:val="32"/>
        </w:rPr>
      </w:pPr>
      <w:r>
        <w:rPr>
          <w:rFonts w:hint="eastAsia" w:ascii="仿宋_GB2312"/>
          <w:b/>
          <w:bCs/>
          <w:color w:val="000000" w:themeColor="text1"/>
          <w:szCs w:val="32"/>
        </w:rPr>
        <w:t>6.居民住宅二次供水改造。</w:t>
      </w:r>
      <w:r>
        <w:rPr>
          <w:rFonts w:hint="eastAsia" w:ascii="仿宋_GB2312"/>
          <w:color w:val="000000" w:themeColor="text1"/>
          <w:szCs w:val="32"/>
        </w:rPr>
        <w:t>实施居民住宅二次供水设施改造行动，对小区老旧的供水管网、设施、供水设备等设施进行整改更换。至2025年，完成“愿改尽改”的小区改造。</w:t>
      </w:r>
    </w:p>
    <w:p w14:paraId="23865BCE">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2024年完成4个居民居住小区二次供水设施改造</w:t>
      </w:r>
      <w:r>
        <w:rPr>
          <w:rFonts w:hint="eastAsia" w:ascii="仿宋_GB2312"/>
          <w:color w:val="000000" w:themeColor="text1"/>
          <w:szCs w:val="32"/>
          <w:lang w:eastAsia="zh-CN"/>
        </w:rPr>
        <w:t>；</w:t>
      </w:r>
    </w:p>
    <w:p w14:paraId="7EF35211">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2025年持续开展宣传引导，成熟一个，改造一个。</w:t>
      </w:r>
    </w:p>
    <w:p w14:paraId="68EF8C18">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县住建局、县财政局、县</w:t>
      </w:r>
      <w:r>
        <w:rPr>
          <w:rFonts w:hint="eastAsia" w:ascii="仿宋_GB2312"/>
          <w:color w:val="000000" w:themeColor="text1"/>
          <w:szCs w:val="32"/>
          <w:lang w:eastAsia="zh-CN"/>
        </w:rPr>
        <w:t>规划和自然资源局</w:t>
      </w:r>
      <w:r>
        <w:rPr>
          <w:rFonts w:hint="eastAsia" w:ascii="仿宋_GB2312"/>
          <w:color w:val="000000" w:themeColor="text1"/>
          <w:szCs w:val="32"/>
        </w:rPr>
        <w:t>、县建发集团</w:t>
      </w:r>
      <w:r>
        <w:rPr>
          <w:rFonts w:hint="eastAsia" w:ascii="仿宋_GB2312"/>
          <w:color w:val="000000" w:themeColor="text1"/>
          <w:szCs w:val="32"/>
          <w:lang w:eastAsia="zh-CN"/>
        </w:rPr>
        <w:t>。</w:t>
      </w:r>
    </w:p>
    <w:p w14:paraId="3B825B0E">
      <w:pPr>
        <w:spacing w:line="560" w:lineRule="exact"/>
        <w:ind w:firstLine="643" w:firstLineChars="200"/>
        <w:rPr>
          <w:rFonts w:ascii="仿宋_GB2312"/>
          <w:color w:val="000000" w:themeColor="text1"/>
          <w:szCs w:val="32"/>
        </w:rPr>
      </w:pPr>
      <w:r>
        <w:rPr>
          <w:rFonts w:hint="eastAsia" w:ascii="仿宋_GB2312"/>
          <w:b/>
          <w:color w:val="000000" w:themeColor="text1"/>
          <w:szCs w:val="32"/>
        </w:rPr>
        <w:t>7.加装电梯。</w:t>
      </w:r>
      <w:r>
        <w:rPr>
          <w:rFonts w:hint="eastAsia" w:ascii="仿宋_GB2312"/>
          <w:color w:val="000000" w:themeColor="text1"/>
          <w:szCs w:val="32"/>
        </w:rPr>
        <w:t>完善加装电梯工作管理体系、健全基层民主协商机制、持续优化项目审批服务、综合提升项目实施质效、强化项目质量安全监管、建立健全长效管理机制、加大配套支持与保障力度。至2025年，围绕“能改尽改、愿改就改”的目标，推进加装电梯70台。其中：</w:t>
      </w:r>
    </w:p>
    <w:p w14:paraId="79277DAF">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2024年推进加装电梯40台</w:t>
      </w:r>
      <w:r>
        <w:rPr>
          <w:rFonts w:hint="eastAsia" w:ascii="仿宋_GB2312"/>
          <w:color w:val="000000" w:themeColor="text1"/>
          <w:szCs w:val="32"/>
          <w:lang w:eastAsia="zh-CN"/>
        </w:rPr>
        <w:t>；</w:t>
      </w:r>
    </w:p>
    <w:p w14:paraId="3534C795">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2025年推进加装电梯30台。</w:t>
      </w:r>
    </w:p>
    <w:p w14:paraId="4CE7420B">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县住建局、县市监局</w:t>
      </w:r>
      <w:r>
        <w:rPr>
          <w:rFonts w:hint="eastAsia" w:ascii="仿宋_GB2312"/>
          <w:color w:val="000000" w:themeColor="text1"/>
          <w:szCs w:val="32"/>
          <w:lang w:eastAsia="zh-CN"/>
        </w:rPr>
        <w:t>。</w:t>
      </w:r>
    </w:p>
    <w:p w14:paraId="6BB1F338">
      <w:pPr>
        <w:spacing w:line="560" w:lineRule="exact"/>
        <w:ind w:firstLine="643" w:firstLineChars="200"/>
        <w:rPr>
          <w:rFonts w:ascii="仿宋_GB2312"/>
          <w:b/>
          <w:color w:val="000000" w:themeColor="text1"/>
          <w:szCs w:val="32"/>
        </w:rPr>
      </w:pPr>
      <w:r>
        <w:rPr>
          <w:rFonts w:hint="eastAsia" w:ascii="楷体_GB2312" w:eastAsia="楷体_GB2312"/>
          <w:b/>
          <w:color w:val="000000" w:themeColor="text1"/>
          <w:szCs w:val="32"/>
        </w:rPr>
        <w:t>（三）产业升级和聚能焕新行动。</w:t>
      </w:r>
    </w:p>
    <w:p w14:paraId="7DB52326">
      <w:pPr>
        <w:spacing w:line="560" w:lineRule="exact"/>
        <w:ind w:firstLine="643" w:firstLineChars="200"/>
        <w:rPr>
          <w:rFonts w:ascii="仿宋_GB2312"/>
          <w:color w:val="000000" w:themeColor="text1"/>
          <w:spacing w:val="-4"/>
          <w:szCs w:val="32"/>
        </w:rPr>
      </w:pPr>
      <w:r>
        <w:rPr>
          <w:rFonts w:hint="eastAsia" w:ascii="仿宋_GB2312"/>
          <w:b/>
          <w:color w:val="000000" w:themeColor="text1"/>
          <w:szCs w:val="32"/>
        </w:rPr>
        <w:t>8.低效用地再开发。</w:t>
      </w:r>
      <w:r>
        <w:rPr>
          <w:rFonts w:hint="eastAsia" w:ascii="仿宋_GB2312"/>
          <w:color w:val="000000" w:themeColor="text1"/>
          <w:szCs w:val="32"/>
        </w:rPr>
        <w:t>坚持“统筹一体、增存兼顾、分类推进、政企合作”原则，实施低效用地再开发工作。统筹低效用地整治、标准厂房建设和“腾笼换鸟”等工作，全面摸排高耗低效企业，整合各项政策和专项资金，实施分类推进。</w:t>
      </w:r>
      <w:r>
        <w:rPr>
          <w:rFonts w:hint="eastAsia" w:ascii="仿宋_GB2312"/>
          <w:color w:val="000000" w:themeColor="text1"/>
          <w:spacing w:val="-4"/>
          <w:szCs w:val="32"/>
        </w:rPr>
        <w:t>至2025年，完成更新低效工业用地不少于2300亩，整治销号高耗低效企业40家。其中：</w:t>
      </w:r>
    </w:p>
    <w:p w14:paraId="4465DBB0">
      <w:pPr>
        <w:spacing w:line="560" w:lineRule="exact"/>
        <w:ind w:firstLine="624" w:firstLineChars="200"/>
        <w:rPr>
          <w:rFonts w:hint="eastAsia" w:ascii="仿宋_GB2312" w:eastAsia="仿宋_GB2312"/>
          <w:color w:val="000000" w:themeColor="text1"/>
          <w:spacing w:val="-4"/>
          <w:szCs w:val="32"/>
          <w:lang w:eastAsia="zh-CN"/>
        </w:rPr>
      </w:pPr>
      <w:r>
        <w:rPr>
          <w:rFonts w:hint="eastAsia" w:ascii="仿宋_GB2312"/>
          <w:color w:val="000000" w:themeColor="text1"/>
          <w:spacing w:val="-4"/>
          <w:szCs w:val="32"/>
        </w:rPr>
        <w:t>2024年完成更新低效工业用地不少于1150亩，整治销号高耗低效企业20家</w:t>
      </w:r>
      <w:r>
        <w:rPr>
          <w:rFonts w:hint="eastAsia" w:ascii="仿宋_GB2312"/>
          <w:color w:val="000000" w:themeColor="text1"/>
          <w:spacing w:val="-4"/>
          <w:szCs w:val="32"/>
          <w:lang w:eastAsia="zh-CN"/>
        </w:rPr>
        <w:t>；</w:t>
      </w:r>
    </w:p>
    <w:p w14:paraId="44DC89B1">
      <w:pPr>
        <w:spacing w:line="560" w:lineRule="exact"/>
        <w:ind w:firstLine="624" w:firstLineChars="200"/>
        <w:rPr>
          <w:rFonts w:ascii="仿宋_GB2312"/>
          <w:color w:val="000000" w:themeColor="text1"/>
          <w:spacing w:val="-4"/>
          <w:szCs w:val="32"/>
        </w:rPr>
      </w:pPr>
      <w:r>
        <w:rPr>
          <w:rFonts w:hint="eastAsia" w:ascii="仿宋_GB2312"/>
          <w:color w:val="000000" w:themeColor="text1"/>
          <w:spacing w:val="-4"/>
          <w:szCs w:val="32"/>
        </w:rPr>
        <w:t>2025年完成更新低效工业用地不少于1150亩，整治销号高耗低效企业20家。</w:t>
      </w:r>
    </w:p>
    <w:p w14:paraId="33B5E14A">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bCs/>
          <w:color w:val="000000" w:themeColor="text1"/>
          <w:szCs w:val="32"/>
        </w:rPr>
        <w:t>县</w:t>
      </w:r>
      <w:r>
        <w:rPr>
          <w:rFonts w:hint="eastAsia" w:ascii="仿宋_GB2312"/>
          <w:color w:val="000000" w:themeColor="text1"/>
          <w:szCs w:val="32"/>
        </w:rPr>
        <w:t>经信局、县发改局、县</w:t>
      </w:r>
      <w:r>
        <w:rPr>
          <w:rFonts w:hint="eastAsia" w:ascii="仿宋_GB2312"/>
          <w:color w:val="000000" w:themeColor="text1"/>
          <w:szCs w:val="32"/>
          <w:lang w:eastAsia="zh-CN"/>
        </w:rPr>
        <w:t>规划和自然资源局</w:t>
      </w:r>
      <w:r>
        <w:rPr>
          <w:rFonts w:hint="eastAsia" w:ascii="仿宋_GB2312"/>
          <w:color w:val="000000" w:themeColor="text1"/>
          <w:szCs w:val="32"/>
        </w:rPr>
        <w:t>、县科技局</w:t>
      </w:r>
      <w:r>
        <w:rPr>
          <w:rFonts w:hint="eastAsia" w:ascii="仿宋_GB2312"/>
          <w:color w:val="000000" w:themeColor="text1"/>
          <w:szCs w:val="32"/>
          <w:lang w:eastAsia="zh-CN"/>
        </w:rPr>
        <w:t>。</w:t>
      </w:r>
    </w:p>
    <w:p w14:paraId="6BD27C2C">
      <w:pPr>
        <w:spacing w:line="560" w:lineRule="exact"/>
        <w:ind w:firstLine="643" w:firstLineChars="200"/>
        <w:rPr>
          <w:rFonts w:ascii="楷体_GB2312" w:eastAsia="楷体_GB2312"/>
          <w:b/>
          <w:color w:val="000000" w:themeColor="text1"/>
          <w:szCs w:val="32"/>
        </w:rPr>
      </w:pPr>
      <w:r>
        <w:rPr>
          <w:rFonts w:hint="eastAsia" w:ascii="楷体_GB2312" w:eastAsia="楷体_GB2312"/>
          <w:b/>
          <w:color w:val="000000" w:themeColor="text1"/>
          <w:szCs w:val="32"/>
        </w:rPr>
        <w:t>（四）城市能级提升行动。</w:t>
      </w:r>
    </w:p>
    <w:p w14:paraId="0E9A8190">
      <w:pPr>
        <w:spacing w:line="560" w:lineRule="exact"/>
        <w:ind w:firstLine="643" w:firstLineChars="200"/>
        <w:rPr>
          <w:rFonts w:ascii="仿宋_GB2312"/>
          <w:color w:val="000000" w:themeColor="text1"/>
          <w:szCs w:val="32"/>
        </w:rPr>
      </w:pPr>
      <w:r>
        <w:rPr>
          <w:rFonts w:hint="eastAsia" w:ascii="仿宋_GB2312"/>
          <w:b/>
          <w:color w:val="000000" w:themeColor="text1"/>
          <w:szCs w:val="32"/>
        </w:rPr>
        <w:t>9.公共服务设施提升。</w:t>
      </w:r>
      <w:r>
        <w:rPr>
          <w:rFonts w:hint="eastAsia" w:ascii="仿宋_GB2312"/>
          <w:color w:val="000000" w:themeColor="text1"/>
          <w:szCs w:val="32"/>
        </w:rPr>
        <w:t>实施城镇社区公共服务设施“补短板”行动，推动公共服务设施集成落地，制定《城镇社区建设专项规划》。迭代开展城镇社区专项体检工作，全方位摸清城镇社区现状底数，针对性开展公共服务补短板行动，形成“调查-评估-提升”的动态闭环。逐步增强公共服务均衡性和可及性，加快落实《杭州市“一老一小”整体解决方案》，推进社区服务综合体建设，配合杭州市创建全国首批婴幼儿照护服务示范城市。至2025年，创建“杭州市老年友好型社区”5个，康养联合体实现镇街全覆盖，新增婴幼儿托位200个，建设群众身边体育设施26处以上、嵌入式体育场地设施1.76万平方米以上。其中：</w:t>
      </w:r>
    </w:p>
    <w:p w14:paraId="244021C0">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2024年创建“杭州市老年友好型社区”2个，康养联合体镇街覆盖率78%，新增婴幼儿托位150个，新增群众身边体育设施13处、嵌入式体育场地设施1.26万平方米以上</w:t>
      </w:r>
      <w:r>
        <w:rPr>
          <w:rFonts w:hint="eastAsia" w:ascii="仿宋_GB2312"/>
          <w:color w:val="000000" w:themeColor="text1"/>
          <w:szCs w:val="32"/>
          <w:lang w:eastAsia="zh-CN"/>
        </w:rPr>
        <w:t>；</w:t>
      </w:r>
    </w:p>
    <w:p w14:paraId="3CFB38E5">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2025年创建“杭州市老年友好型社区”3个，康养联合体实现镇街全覆盖，新增婴幼儿托位50个，新增群众身边体育设施13处、嵌入式体育场地设施0.5万平方米以上。</w:t>
      </w:r>
    </w:p>
    <w:p w14:paraId="4751B657">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县发改局、县卫健局、县文广旅体局、县住建局、县民政局、县</w:t>
      </w:r>
      <w:r>
        <w:rPr>
          <w:rFonts w:hint="eastAsia" w:ascii="仿宋_GB2312"/>
          <w:color w:val="000000" w:themeColor="text1"/>
          <w:szCs w:val="32"/>
          <w:lang w:eastAsia="zh-CN"/>
        </w:rPr>
        <w:t>规划和自然资源局。</w:t>
      </w:r>
    </w:p>
    <w:p w14:paraId="55D35890">
      <w:pPr>
        <w:spacing w:line="560" w:lineRule="exact"/>
        <w:ind w:firstLine="643" w:firstLineChars="200"/>
        <w:rPr>
          <w:rFonts w:ascii="仿宋_GB2312"/>
          <w:color w:val="000000" w:themeColor="text1"/>
          <w:szCs w:val="32"/>
        </w:rPr>
      </w:pPr>
      <w:r>
        <w:rPr>
          <w:rFonts w:hint="eastAsia" w:ascii="仿宋_GB2312"/>
          <w:b/>
          <w:color w:val="000000" w:themeColor="text1"/>
          <w:szCs w:val="32"/>
        </w:rPr>
        <w:t>10.市政设施补短板。</w:t>
      </w:r>
      <w:r>
        <w:rPr>
          <w:rFonts w:hint="eastAsia" w:ascii="仿宋_GB2312" w:hAnsi="仿宋_GB2312" w:cs="仿宋_GB2312"/>
          <w:color w:val="000000" w:themeColor="text1"/>
          <w:szCs w:val="32"/>
        </w:rPr>
        <w:t>开展市政基础设施全面普查和科学评估工作，编制市政管道等老化更新改造方案，系统开展桥梁、隧道等市政基础设施老化更新，加快推进城市燃气管道、雨污水管道等更新改造，加强城市基础设施智能化运营管理。完善应急救援物资储备调用机制，规范化改造避灾安置场所，根据地下安全隐患排查情况做好相关隐患治理工作，进一步提升台风洪涝等应急处置能力，提高城市综合承载力。</w:t>
      </w:r>
      <w:r>
        <w:rPr>
          <w:rFonts w:hint="eastAsia" w:ascii="仿宋_GB2312"/>
          <w:color w:val="000000" w:themeColor="text1"/>
          <w:szCs w:val="32"/>
        </w:rPr>
        <w:t>至2025年，</w:t>
      </w:r>
      <w:r>
        <w:rPr>
          <w:rFonts w:hint="eastAsia" w:ascii="仿宋_GB2312" w:hAnsi="仿宋_GB2312" w:cs="仿宋_GB2312"/>
          <w:color w:val="000000" w:themeColor="text1"/>
          <w:szCs w:val="32"/>
        </w:rPr>
        <w:t>完成老旧供水管道更新改造不少于4公里，雨污管网更新改造不少于2公里，燃气管道更新改造不少于3公里，并做好老旧污水设施更新改造查漏补缺和“回头看”工作。</w:t>
      </w:r>
      <w:r>
        <w:rPr>
          <w:rFonts w:hint="eastAsia" w:ascii="仿宋_GB2312"/>
          <w:color w:val="000000" w:themeColor="text1"/>
          <w:szCs w:val="32"/>
        </w:rPr>
        <w:t>其中：</w:t>
      </w:r>
    </w:p>
    <w:p w14:paraId="06667426">
      <w:pPr>
        <w:spacing w:line="560" w:lineRule="exact"/>
        <w:ind w:firstLine="640" w:firstLineChars="200"/>
        <w:rPr>
          <w:rFonts w:hint="eastAsia" w:ascii="仿宋_GB2312" w:hAnsi="仿宋_GB2312" w:eastAsia="仿宋_GB2312" w:cs="仿宋_GB2312"/>
          <w:color w:val="000000" w:themeColor="text1"/>
          <w:szCs w:val="32"/>
          <w:lang w:eastAsia="zh-CN"/>
        </w:rPr>
      </w:pPr>
      <w:r>
        <w:rPr>
          <w:rFonts w:hint="eastAsia" w:ascii="仿宋_GB2312" w:hAnsi="仿宋_GB2312" w:cs="仿宋_GB2312"/>
          <w:color w:val="000000" w:themeColor="text1"/>
          <w:szCs w:val="32"/>
        </w:rPr>
        <w:t>2024年完成老旧供水管道更新改造不少于2公里，雨污管网更新改造不少1公里，燃气管道更新改造不少于1.5公里</w:t>
      </w:r>
      <w:r>
        <w:rPr>
          <w:rFonts w:hint="eastAsia" w:ascii="仿宋_GB2312" w:hAnsi="仿宋_GB2312" w:cs="仿宋_GB2312"/>
          <w:color w:val="000000" w:themeColor="text1"/>
          <w:szCs w:val="32"/>
          <w:lang w:eastAsia="zh-CN"/>
        </w:rPr>
        <w:t>；</w:t>
      </w:r>
    </w:p>
    <w:p w14:paraId="465069D1">
      <w:pPr>
        <w:spacing w:line="560" w:lineRule="exact"/>
        <w:ind w:firstLine="640" w:firstLineChars="200"/>
        <w:rPr>
          <w:rFonts w:ascii="仿宋_GB2312"/>
          <w:color w:val="000000" w:themeColor="text1"/>
          <w:szCs w:val="32"/>
        </w:rPr>
      </w:pPr>
      <w:r>
        <w:rPr>
          <w:rFonts w:hint="eastAsia" w:ascii="仿宋_GB2312" w:hAnsi="仿宋_GB2312" w:cs="仿宋_GB2312"/>
          <w:color w:val="000000" w:themeColor="text1"/>
          <w:szCs w:val="32"/>
        </w:rPr>
        <w:t>2025年完成老旧供水管道更新改造不少于2公里，雨污管网更新改造不少1公里，燃气管道更新改造不少于1.5公里。做好老旧污水设施更新改造查漏补缺和“回头看”工作。</w:t>
      </w:r>
    </w:p>
    <w:p w14:paraId="5C0CA38F">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县住建局、县发改局、县交运局、县应急局、县</w:t>
      </w:r>
      <w:r>
        <w:rPr>
          <w:rFonts w:hint="eastAsia" w:ascii="仿宋_GB2312"/>
          <w:color w:val="000000" w:themeColor="text1"/>
          <w:szCs w:val="32"/>
          <w:lang w:eastAsia="zh-CN"/>
        </w:rPr>
        <w:t>规划和自然资源局</w:t>
      </w:r>
      <w:r>
        <w:rPr>
          <w:rFonts w:hint="eastAsia" w:ascii="仿宋_GB2312"/>
          <w:color w:val="000000" w:themeColor="text1"/>
          <w:szCs w:val="32"/>
        </w:rPr>
        <w:t>、县建发集团</w:t>
      </w:r>
      <w:r>
        <w:rPr>
          <w:rFonts w:hint="eastAsia" w:ascii="仿宋_GB2312"/>
          <w:color w:val="000000" w:themeColor="text1"/>
          <w:szCs w:val="32"/>
          <w:lang w:eastAsia="zh-CN"/>
        </w:rPr>
        <w:t>。</w:t>
      </w:r>
    </w:p>
    <w:p w14:paraId="6B12C6EB">
      <w:pPr>
        <w:spacing w:line="560" w:lineRule="exact"/>
        <w:ind w:firstLine="643" w:firstLineChars="200"/>
        <w:rPr>
          <w:rFonts w:ascii="仿宋_GB2312"/>
          <w:color w:val="000000" w:themeColor="text1"/>
          <w:szCs w:val="32"/>
        </w:rPr>
      </w:pPr>
      <w:r>
        <w:rPr>
          <w:rFonts w:hint="eastAsia" w:ascii="仿宋_GB2312"/>
          <w:b/>
          <w:color w:val="000000" w:themeColor="text1"/>
          <w:szCs w:val="32"/>
        </w:rPr>
        <w:t>11.海绵城市建设。</w:t>
      </w:r>
      <w:r>
        <w:rPr>
          <w:rFonts w:hint="eastAsia" w:ascii="仿宋_GB2312"/>
          <w:color w:val="000000" w:themeColor="text1"/>
          <w:szCs w:val="32"/>
        </w:rPr>
        <w:t>加强海绵型建筑小区、道路广场、公园绿地、绿色蓄排与净化利用设施等改造建设，促进雨水就地蓄积、渗透和利用。至2025年，全县城市建成区内新建海绵城市建设项目达90%以上，完成5个海绵城市建设项目。其中：</w:t>
      </w:r>
    </w:p>
    <w:p w14:paraId="0930945D">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2024年全县城市建成区内新建海绵城市建设项目达80%以上，完成2个海绵城市建设项目</w:t>
      </w:r>
      <w:r>
        <w:rPr>
          <w:rFonts w:hint="eastAsia" w:ascii="仿宋_GB2312"/>
          <w:color w:val="000000" w:themeColor="text1"/>
          <w:szCs w:val="32"/>
          <w:lang w:eastAsia="zh-CN"/>
        </w:rPr>
        <w:t>；</w:t>
      </w:r>
    </w:p>
    <w:p w14:paraId="28BFE735">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2025年全县城市建成区内新建海绵城市建设项目达90%以上，完成3个海绵城市建设项目。</w:t>
      </w:r>
    </w:p>
    <w:p w14:paraId="7322D751">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县住建局、县</w:t>
      </w:r>
      <w:r>
        <w:rPr>
          <w:rFonts w:hint="eastAsia" w:hAnsi="仿宋_GB2312" w:cs="仿宋_GB2312"/>
          <w:bCs/>
          <w:color w:val="000000" w:themeColor="text1"/>
          <w:szCs w:val="32"/>
        </w:rPr>
        <w:t>综合执法</w:t>
      </w:r>
      <w:r>
        <w:rPr>
          <w:rFonts w:hint="eastAsia" w:ascii="仿宋_GB2312"/>
          <w:color w:val="000000" w:themeColor="text1"/>
          <w:szCs w:val="32"/>
        </w:rPr>
        <w:t>局、县</w:t>
      </w:r>
      <w:r>
        <w:rPr>
          <w:rFonts w:hint="eastAsia" w:ascii="仿宋_GB2312"/>
          <w:color w:val="000000" w:themeColor="text1"/>
          <w:szCs w:val="32"/>
          <w:lang w:eastAsia="zh-CN"/>
        </w:rPr>
        <w:t>规划和自然资源局</w:t>
      </w:r>
      <w:r>
        <w:rPr>
          <w:rFonts w:hint="eastAsia" w:ascii="仿宋_GB2312"/>
          <w:color w:val="000000" w:themeColor="text1"/>
          <w:szCs w:val="32"/>
        </w:rPr>
        <w:t>、开发区</w:t>
      </w:r>
      <w:r>
        <w:rPr>
          <w:rFonts w:hint="eastAsia" w:ascii="仿宋_GB2312"/>
          <w:color w:val="000000" w:themeColor="text1"/>
          <w:szCs w:val="32"/>
          <w:lang w:eastAsia="zh-CN"/>
        </w:rPr>
        <w:t>。</w:t>
      </w:r>
    </w:p>
    <w:p w14:paraId="1C5785F2">
      <w:pPr>
        <w:spacing w:line="560" w:lineRule="exact"/>
        <w:ind w:firstLine="643" w:firstLineChars="200"/>
        <w:rPr>
          <w:rFonts w:ascii="仿宋_GB2312"/>
          <w:color w:val="000000" w:themeColor="text1"/>
          <w:szCs w:val="32"/>
        </w:rPr>
      </w:pPr>
      <w:r>
        <w:rPr>
          <w:rFonts w:hint="eastAsia" w:ascii="仿宋_GB2312"/>
          <w:b/>
          <w:color w:val="000000" w:themeColor="text1"/>
          <w:szCs w:val="32"/>
        </w:rPr>
        <w:t>12.停车场（库）、新能源汽车充电设施建设。</w:t>
      </w:r>
      <w:r>
        <w:rPr>
          <w:rFonts w:hint="eastAsia" w:ascii="仿宋_GB2312"/>
          <w:color w:val="000000" w:themeColor="text1"/>
          <w:szCs w:val="32"/>
        </w:rPr>
        <w:t>构建规模适宜、布局科学、结构合理的停车设施和充电设施，加快新能源汽车充换电站建设，鼓励新建停车场库充电设施同步建设到位，合理布局新建公共领域充换电站。至2025年，新增公共停车泊位不少于1000个，新建新能源汽车公共领域充电桩不少于200个。其中：</w:t>
      </w:r>
    </w:p>
    <w:p w14:paraId="6B108F3D">
      <w:pPr>
        <w:spacing w:line="560" w:lineRule="exact"/>
        <w:ind w:firstLine="640" w:firstLineChars="200"/>
        <w:rPr>
          <w:rFonts w:hint="eastAsia" w:ascii="仿宋_GB2312" w:eastAsia="仿宋_GB2312"/>
          <w:color w:val="000000" w:themeColor="text1"/>
          <w:szCs w:val="32"/>
          <w:lang w:eastAsia="zh-CN"/>
        </w:rPr>
      </w:pPr>
      <w:r>
        <w:rPr>
          <w:rFonts w:ascii="仿宋_GB2312"/>
          <w:color w:val="000000" w:themeColor="text1"/>
          <w:szCs w:val="32"/>
        </w:rPr>
        <w:t>2</w:t>
      </w:r>
      <w:r>
        <w:rPr>
          <w:rFonts w:hint="eastAsia" w:ascii="仿宋_GB2312"/>
          <w:color w:val="000000" w:themeColor="text1"/>
          <w:szCs w:val="32"/>
        </w:rPr>
        <w:t>024年新增公共停车泊位500个，新建新能源汽车公共领域充电桩不少于100个</w:t>
      </w:r>
      <w:r>
        <w:rPr>
          <w:rFonts w:hint="eastAsia" w:ascii="仿宋_GB2312"/>
          <w:color w:val="000000" w:themeColor="text1"/>
          <w:szCs w:val="32"/>
          <w:lang w:eastAsia="zh-CN"/>
        </w:rPr>
        <w:t>；</w:t>
      </w:r>
    </w:p>
    <w:p w14:paraId="194CD02F">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2025年新增公共停车泊位500个，新建新能源汽车公共领域充电桩不少于100个。</w:t>
      </w:r>
    </w:p>
    <w:p w14:paraId="0196483E">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县住建局、县</w:t>
      </w:r>
      <w:r>
        <w:rPr>
          <w:rFonts w:hint="eastAsia" w:ascii="仿宋_GB2312"/>
          <w:color w:val="000000" w:themeColor="text1"/>
          <w:szCs w:val="32"/>
          <w:lang w:eastAsia="zh-CN"/>
        </w:rPr>
        <w:t>规划和自然资源局</w:t>
      </w:r>
      <w:r>
        <w:rPr>
          <w:rFonts w:hint="eastAsia" w:ascii="仿宋_GB2312"/>
          <w:color w:val="000000" w:themeColor="text1"/>
          <w:szCs w:val="32"/>
        </w:rPr>
        <w:t>、县交运局、县发改局、县</w:t>
      </w:r>
      <w:r>
        <w:rPr>
          <w:rFonts w:hint="eastAsia" w:hAnsi="仿宋_GB2312" w:cs="仿宋_GB2312"/>
          <w:bCs/>
          <w:color w:val="000000" w:themeColor="text1"/>
          <w:szCs w:val="32"/>
        </w:rPr>
        <w:t>综合执法</w:t>
      </w:r>
      <w:r>
        <w:rPr>
          <w:rFonts w:hint="eastAsia" w:ascii="仿宋_GB2312"/>
          <w:color w:val="000000" w:themeColor="text1"/>
          <w:szCs w:val="32"/>
        </w:rPr>
        <w:t>局、县建发集团、县交发集团</w:t>
      </w:r>
      <w:r>
        <w:rPr>
          <w:rFonts w:hint="eastAsia" w:ascii="仿宋_GB2312"/>
          <w:color w:val="000000" w:themeColor="text1"/>
          <w:szCs w:val="32"/>
          <w:lang w:eastAsia="zh-CN"/>
        </w:rPr>
        <w:t>。</w:t>
      </w:r>
    </w:p>
    <w:p w14:paraId="4646D1B4">
      <w:pPr>
        <w:spacing w:line="560" w:lineRule="exact"/>
        <w:ind w:firstLine="643" w:firstLineChars="200"/>
        <w:rPr>
          <w:rFonts w:ascii="楷体_GB2312" w:eastAsia="楷体_GB2312"/>
          <w:b/>
          <w:color w:val="000000" w:themeColor="text1"/>
          <w:szCs w:val="32"/>
        </w:rPr>
      </w:pPr>
      <w:r>
        <w:rPr>
          <w:rFonts w:hint="eastAsia" w:ascii="楷体_GB2312" w:eastAsia="楷体_GB2312"/>
          <w:b/>
          <w:color w:val="000000" w:themeColor="text1"/>
          <w:szCs w:val="32"/>
        </w:rPr>
        <w:t>（五）城市公共空间提升行动。</w:t>
      </w:r>
    </w:p>
    <w:p w14:paraId="282B2E9F">
      <w:pPr>
        <w:spacing w:line="560" w:lineRule="exact"/>
        <w:ind w:firstLine="643" w:firstLineChars="200"/>
        <w:rPr>
          <w:rFonts w:ascii="仿宋_GB2312"/>
          <w:color w:val="000000" w:themeColor="text1"/>
          <w:szCs w:val="32"/>
        </w:rPr>
      </w:pPr>
      <w:r>
        <w:rPr>
          <w:rFonts w:hint="eastAsia" w:ascii="仿宋_GB2312"/>
          <w:b/>
          <w:color w:val="000000" w:themeColor="text1"/>
          <w:szCs w:val="32"/>
        </w:rPr>
        <w:t>13.湿地水城建设。</w:t>
      </w:r>
      <w:r>
        <w:rPr>
          <w:rFonts w:hint="eastAsia" w:ascii="仿宋_GB2312"/>
          <w:color w:val="000000" w:themeColor="text1"/>
          <w:szCs w:val="32"/>
        </w:rPr>
        <w:t>湿地面积和湿地保护率确保达到桐庐县湿地保护“十四五”规划的要求。至2025年，湿地面积保持在6807.88公顷以上，湿地保护率60%以上。</w:t>
      </w:r>
    </w:p>
    <w:p w14:paraId="22E8F7FA">
      <w:pPr>
        <w:spacing w:line="560" w:lineRule="exact"/>
        <w:ind w:firstLine="643" w:firstLineChars="200"/>
        <w:rPr>
          <w:rFonts w:hint="eastAsia" w:ascii="仿宋_GB2312" w:eastAsia="仿宋_GB2312"/>
          <w:color w:val="000000" w:themeColor="text1"/>
          <w:spacing w:val="-4"/>
          <w:szCs w:val="32"/>
          <w:lang w:eastAsia="zh-CN"/>
        </w:rPr>
      </w:pPr>
      <w:r>
        <w:rPr>
          <w:rFonts w:hint="eastAsia" w:ascii="仿宋_GB2312"/>
          <w:b/>
          <w:color w:val="000000" w:themeColor="text1"/>
          <w:szCs w:val="32"/>
        </w:rPr>
        <w:t>责任单位：★</w:t>
      </w:r>
      <w:r>
        <w:rPr>
          <w:rFonts w:hint="eastAsia" w:ascii="仿宋_GB2312"/>
          <w:color w:val="000000" w:themeColor="text1"/>
          <w:spacing w:val="-4"/>
          <w:szCs w:val="32"/>
        </w:rPr>
        <w:t>县林水局、生态环境分局</w:t>
      </w:r>
      <w:r>
        <w:rPr>
          <w:rFonts w:hint="eastAsia" w:ascii="仿宋_GB2312"/>
          <w:color w:val="000000" w:themeColor="text1"/>
          <w:spacing w:val="-4"/>
          <w:szCs w:val="32"/>
          <w:lang w:eastAsia="zh-CN"/>
        </w:rPr>
        <w:t>。</w:t>
      </w:r>
    </w:p>
    <w:p w14:paraId="5FF83956">
      <w:pPr>
        <w:spacing w:line="560" w:lineRule="exact"/>
        <w:ind w:firstLine="643" w:firstLineChars="200"/>
        <w:rPr>
          <w:rFonts w:ascii="仿宋_GB2312"/>
          <w:color w:val="000000" w:themeColor="text1"/>
          <w:szCs w:val="32"/>
        </w:rPr>
      </w:pPr>
      <w:r>
        <w:rPr>
          <w:rFonts w:hint="eastAsia" w:ascii="仿宋_GB2312"/>
          <w:b/>
          <w:color w:val="000000" w:themeColor="text1"/>
          <w:szCs w:val="32"/>
        </w:rPr>
        <w:t>14.公园绿地建设。</w:t>
      </w:r>
      <w:r>
        <w:rPr>
          <w:rFonts w:hint="eastAsia" w:ascii="仿宋_GB2312"/>
          <w:color w:val="000000" w:themeColor="text1"/>
          <w:szCs w:val="32"/>
        </w:rPr>
        <w:t>编制完成《桐庐县城市绿地系统专项规划》，逐步形成“郊野公园-城市公园-社区公园-口袋公园”四级公园体系，基本实现“300米见绿，500米见园”。加快布局一批小型城市客厅，打造人民群众家门口的惠民公共空间。至2025年，全县范围内新建改造公园3个，扩绿10万平方米以上。其中：</w:t>
      </w:r>
    </w:p>
    <w:p w14:paraId="5F3948A6">
      <w:pPr>
        <w:spacing w:line="560" w:lineRule="exact"/>
        <w:ind w:firstLine="518" w:firstLineChars="162"/>
        <w:rPr>
          <w:rFonts w:hint="eastAsia" w:ascii="仿宋_GB2312" w:eastAsia="仿宋_GB2312"/>
          <w:color w:val="000000" w:themeColor="text1"/>
          <w:szCs w:val="32"/>
          <w:lang w:eastAsia="zh-CN"/>
        </w:rPr>
      </w:pPr>
      <w:r>
        <w:rPr>
          <w:rFonts w:hint="eastAsia" w:ascii="仿宋_GB2312"/>
          <w:color w:val="000000" w:themeColor="text1"/>
          <w:szCs w:val="32"/>
        </w:rPr>
        <w:t>2024年新建改造公园2个，扩绿5万平方米</w:t>
      </w:r>
      <w:r>
        <w:rPr>
          <w:rFonts w:hint="eastAsia" w:ascii="仿宋_GB2312"/>
          <w:color w:val="000000" w:themeColor="text1"/>
          <w:szCs w:val="32"/>
          <w:lang w:eastAsia="zh-CN"/>
        </w:rPr>
        <w:t>；</w:t>
      </w:r>
    </w:p>
    <w:p w14:paraId="496B9478">
      <w:pPr>
        <w:spacing w:line="560" w:lineRule="exact"/>
        <w:ind w:firstLine="518" w:firstLineChars="162"/>
        <w:rPr>
          <w:rFonts w:ascii="仿宋_GB2312"/>
          <w:color w:val="000000" w:themeColor="text1"/>
          <w:szCs w:val="32"/>
        </w:rPr>
      </w:pPr>
      <w:r>
        <w:rPr>
          <w:rFonts w:hint="eastAsia" w:ascii="仿宋_GB2312"/>
          <w:color w:val="000000" w:themeColor="text1"/>
          <w:szCs w:val="32"/>
        </w:rPr>
        <w:t>2025年新建改造公园1个，扩绿5万平方米。</w:t>
      </w:r>
    </w:p>
    <w:p w14:paraId="3B6D76FF">
      <w:pPr>
        <w:spacing w:line="560" w:lineRule="exact"/>
        <w:ind w:firstLine="643" w:firstLineChars="200"/>
        <w:rPr>
          <w:rFonts w:hint="eastAsia" w:ascii="仿宋_GB2312" w:eastAsia="仿宋_GB2312"/>
          <w:bCs/>
          <w:color w:val="000000" w:themeColor="text1"/>
          <w:szCs w:val="32"/>
          <w:lang w:eastAsia="zh-CN"/>
        </w:rPr>
      </w:pPr>
      <w:r>
        <w:rPr>
          <w:rFonts w:hint="eastAsia" w:ascii="仿宋_GB2312"/>
          <w:b/>
          <w:color w:val="000000" w:themeColor="text1"/>
          <w:szCs w:val="32"/>
        </w:rPr>
        <w:t>责任单位：</w:t>
      </w:r>
      <w:r>
        <w:rPr>
          <w:rFonts w:hint="eastAsia" w:ascii="仿宋_GB2312"/>
          <w:bCs/>
          <w:color w:val="000000" w:themeColor="text1"/>
          <w:szCs w:val="32"/>
        </w:rPr>
        <w:t>★县住建局、县</w:t>
      </w:r>
      <w:r>
        <w:rPr>
          <w:rFonts w:hint="eastAsia" w:ascii="仿宋_GB2312"/>
          <w:bCs/>
          <w:color w:val="000000" w:themeColor="text1"/>
          <w:szCs w:val="32"/>
          <w:lang w:eastAsia="zh-CN"/>
        </w:rPr>
        <w:t>规划和自然资源局。</w:t>
      </w:r>
    </w:p>
    <w:p w14:paraId="0264996D">
      <w:pPr>
        <w:spacing w:line="560" w:lineRule="exact"/>
        <w:ind w:firstLine="643" w:firstLineChars="200"/>
        <w:rPr>
          <w:rFonts w:hint="eastAsia" w:ascii="楷体_GB2312" w:eastAsia="楷体_GB2312"/>
          <w:b/>
          <w:color w:val="000000" w:themeColor="text1"/>
          <w:szCs w:val="32"/>
        </w:rPr>
      </w:pPr>
      <w:r>
        <w:rPr>
          <w:rFonts w:hint="eastAsia" w:ascii="楷体_GB2312" w:eastAsia="楷体_GB2312"/>
          <w:b/>
          <w:color w:val="000000" w:themeColor="text1"/>
          <w:szCs w:val="32"/>
        </w:rPr>
        <w:t>（六）历史文化保护传承和城市特色风貌塑造行动。</w:t>
      </w:r>
    </w:p>
    <w:p w14:paraId="47FAB466">
      <w:pPr>
        <w:spacing w:line="560" w:lineRule="exact"/>
        <w:ind w:firstLine="643" w:firstLineChars="200"/>
        <w:rPr>
          <w:rFonts w:ascii="仿宋_GB2312"/>
          <w:color w:val="000000" w:themeColor="text1"/>
          <w:szCs w:val="32"/>
        </w:rPr>
      </w:pPr>
      <w:r>
        <w:rPr>
          <w:rFonts w:hint="eastAsia" w:ascii="仿宋_GB2312"/>
          <w:b/>
          <w:color w:val="000000" w:themeColor="text1"/>
          <w:szCs w:val="32"/>
        </w:rPr>
        <w:t>15.历史文化保护与利用。</w:t>
      </w:r>
      <w:r>
        <w:rPr>
          <w:rFonts w:hint="eastAsia" w:ascii="仿宋_GB2312"/>
          <w:color w:val="000000" w:themeColor="text1"/>
          <w:szCs w:val="32"/>
        </w:rPr>
        <w:t>加强历史建筑以及古树名木和古树后续资源保护利用，采用小尺度、渐进式的“微整形”更新方式，对原有历史建筑、历史街巷、形制肌理、空间环境等进行保护和修缮。至2025年，保护修缮5处乡土建筑。其中：</w:t>
      </w:r>
    </w:p>
    <w:p w14:paraId="127B5AF2">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2024年保护修缮3处乡土建筑</w:t>
      </w:r>
      <w:r>
        <w:rPr>
          <w:rFonts w:hint="eastAsia" w:ascii="仿宋_GB2312"/>
          <w:color w:val="000000" w:themeColor="text1"/>
          <w:szCs w:val="32"/>
          <w:lang w:eastAsia="zh-CN"/>
        </w:rPr>
        <w:t>；</w:t>
      </w:r>
    </w:p>
    <w:p w14:paraId="032DBB15">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2025年保护修缮2处乡土建筑。</w:t>
      </w:r>
    </w:p>
    <w:p w14:paraId="27191643">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县文广旅体局、县</w:t>
      </w:r>
      <w:r>
        <w:rPr>
          <w:rFonts w:hint="eastAsia" w:ascii="仿宋_GB2312"/>
          <w:color w:val="000000" w:themeColor="text1"/>
          <w:szCs w:val="32"/>
          <w:lang w:eastAsia="zh-CN"/>
        </w:rPr>
        <w:t>规划和自然资源局</w:t>
      </w:r>
      <w:r>
        <w:rPr>
          <w:rFonts w:hint="eastAsia" w:ascii="仿宋_GB2312"/>
          <w:color w:val="000000" w:themeColor="text1"/>
          <w:szCs w:val="32"/>
        </w:rPr>
        <w:t>、县住建局</w:t>
      </w:r>
      <w:r>
        <w:rPr>
          <w:rFonts w:hint="eastAsia" w:ascii="仿宋_GB2312"/>
          <w:color w:val="000000" w:themeColor="text1"/>
          <w:szCs w:val="32"/>
          <w:lang w:eastAsia="zh-CN"/>
        </w:rPr>
        <w:t>。</w:t>
      </w:r>
    </w:p>
    <w:p w14:paraId="21022069">
      <w:pPr>
        <w:spacing w:line="560" w:lineRule="exact"/>
        <w:ind w:firstLine="643" w:firstLineChars="200"/>
        <w:rPr>
          <w:rFonts w:ascii="仿宋_GB2312"/>
          <w:color w:val="000000" w:themeColor="text1"/>
          <w:szCs w:val="32"/>
          <w:highlight w:val="yellow"/>
        </w:rPr>
      </w:pPr>
      <w:r>
        <w:rPr>
          <w:rFonts w:hint="eastAsia" w:ascii="仿宋_GB2312"/>
          <w:b/>
          <w:color w:val="000000" w:themeColor="text1"/>
          <w:szCs w:val="32"/>
        </w:rPr>
        <w:t>16.城乡风貌整治。</w:t>
      </w:r>
      <w:r>
        <w:rPr>
          <w:rFonts w:hint="eastAsia" w:ascii="仿宋_GB2312"/>
          <w:color w:val="000000" w:themeColor="text1"/>
          <w:szCs w:val="32"/>
        </w:rPr>
        <w:t>统筹协调城市形态格局、建筑风貌、街道立面、天际线、楼际线及色彩、标志系统、历史街区标志说明，加强公共空间界面管控，加快打造兼具桐庐地域特色、历史文化内涵和新时代特征的城市风貌。至2025年，建设不少于5个城乡风貌样板区试点。其中：</w:t>
      </w:r>
    </w:p>
    <w:p w14:paraId="461A865C">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2024年建设不少于2个城乡风貌样板区试点</w:t>
      </w:r>
      <w:r>
        <w:rPr>
          <w:rFonts w:hint="eastAsia" w:ascii="仿宋_GB2312"/>
          <w:color w:val="000000" w:themeColor="text1"/>
          <w:szCs w:val="32"/>
          <w:lang w:eastAsia="zh-CN"/>
        </w:rPr>
        <w:t>；</w:t>
      </w:r>
    </w:p>
    <w:p w14:paraId="61505E8F">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2025年建设不少于3个城乡风貌样板区试点。</w:t>
      </w:r>
    </w:p>
    <w:p w14:paraId="74F9B9FD">
      <w:pPr>
        <w:spacing w:line="560" w:lineRule="exact"/>
        <w:ind w:firstLine="643" w:firstLineChars="200"/>
        <w:rPr>
          <w:rFonts w:hint="eastAsia" w:ascii="仿宋_GB2312" w:eastAsia="仿宋_GB2312"/>
          <w:color w:val="000000" w:themeColor="text1"/>
          <w:spacing w:val="-4"/>
          <w:szCs w:val="32"/>
          <w:lang w:eastAsia="zh-CN"/>
        </w:rPr>
      </w:pPr>
      <w:r>
        <w:rPr>
          <w:rFonts w:hint="eastAsia" w:ascii="仿宋_GB2312"/>
          <w:b/>
          <w:color w:val="000000" w:themeColor="text1"/>
          <w:szCs w:val="32"/>
        </w:rPr>
        <w:t>责任单位：★</w:t>
      </w:r>
      <w:r>
        <w:rPr>
          <w:rFonts w:hint="eastAsia" w:ascii="仿宋_GB2312"/>
          <w:color w:val="000000" w:themeColor="text1"/>
          <w:spacing w:val="-4"/>
          <w:szCs w:val="32"/>
        </w:rPr>
        <w:t>县住建局、县农业农村局</w:t>
      </w:r>
      <w:r>
        <w:rPr>
          <w:rFonts w:hint="eastAsia" w:ascii="仿宋_GB2312"/>
          <w:color w:val="000000" w:themeColor="text1"/>
          <w:spacing w:val="-4"/>
          <w:szCs w:val="32"/>
          <w:lang w:eastAsia="zh-CN"/>
        </w:rPr>
        <w:t>。</w:t>
      </w:r>
    </w:p>
    <w:p w14:paraId="04E4EE91">
      <w:pPr>
        <w:spacing w:line="560" w:lineRule="exact"/>
        <w:ind w:firstLine="643" w:firstLineChars="200"/>
        <w:rPr>
          <w:rFonts w:ascii="仿宋_GB2312"/>
          <w:color w:val="000000" w:themeColor="text1"/>
          <w:szCs w:val="32"/>
        </w:rPr>
      </w:pPr>
      <w:bookmarkStart w:id="0" w:name="_Toc110074401"/>
      <w:r>
        <w:rPr>
          <w:rFonts w:hint="eastAsia" w:ascii="仿宋_GB2312"/>
          <w:b/>
          <w:color w:val="000000" w:themeColor="text1"/>
          <w:szCs w:val="32"/>
        </w:rPr>
        <w:t>17.现代化美丽城镇建设。</w:t>
      </w:r>
      <w:r>
        <w:rPr>
          <w:rFonts w:hint="eastAsia" w:ascii="仿宋_GB2312"/>
          <w:color w:val="000000" w:themeColor="text1"/>
          <w:szCs w:val="32"/>
        </w:rPr>
        <w:t>全面推进现代化美丽城镇建设，加快城镇基础设施现代化、公共服务现代化、产城融合现代化、人文环境现代化、智慧治理现代化、数智赋能现代化</w:t>
      </w:r>
      <w:r>
        <w:rPr>
          <w:rFonts w:hint="eastAsia" w:ascii="仿宋_GB2312" w:hAnsi="仿宋" w:cs="仿宋"/>
          <w:color w:val="000000" w:themeColor="text1"/>
          <w:szCs w:val="32"/>
        </w:rPr>
        <w:t>，协</w:t>
      </w:r>
      <w:r>
        <w:rPr>
          <w:rFonts w:hint="eastAsia" w:ascii="仿宋_GB2312" w:hAnsi="仿宋" w:cs="仿宋"/>
          <w:b w:val="0"/>
          <w:bCs w:val="0"/>
          <w:color w:val="000000" w:themeColor="text1"/>
          <w:szCs w:val="32"/>
        </w:rPr>
        <w:t>同</w:t>
      </w:r>
      <w:r>
        <w:rPr>
          <w:rFonts w:hint="eastAsia" w:ascii="仿宋_GB2312" w:hAnsi="仿宋" w:cs="仿宋"/>
          <w:color w:val="000000" w:themeColor="text1"/>
          <w:szCs w:val="32"/>
        </w:rPr>
        <w:t>推进以县城为重要载体的城镇化建设</w:t>
      </w:r>
      <w:r>
        <w:rPr>
          <w:rFonts w:hint="eastAsia" w:ascii="仿宋_GB2312"/>
          <w:color w:val="000000" w:themeColor="text1"/>
          <w:szCs w:val="32"/>
        </w:rPr>
        <w:t>。至2025年，培育3个市级现代化美丽城镇。其中：</w:t>
      </w:r>
    </w:p>
    <w:p w14:paraId="3DB28DD3">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2024年不少于培育2个市级现代化美丽城镇</w:t>
      </w:r>
      <w:r>
        <w:rPr>
          <w:rFonts w:hint="eastAsia" w:ascii="仿宋_GB2312"/>
          <w:color w:val="000000" w:themeColor="text1"/>
          <w:szCs w:val="32"/>
          <w:lang w:eastAsia="zh-CN"/>
        </w:rPr>
        <w:t>；</w:t>
      </w:r>
    </w:p>
    <w:p w14:paraId="46719D42">
      <w:pPr>
        <w:spacing w:line="560" w:lineRule="exact"/>
        <w:ind w:firstLine="640" w:firstLineChars="200"/>
        <w:rPr>
          <w:rFonts w:ascii="仿宋_GB2312" w:hAnsi="仿宋" w:cs="仿宋"/>
          <w:color w:val="000000" w:themeColor="text1"/>
          <w:szCs w:val="32"/>
        </w:rPr>
      </w:pPr>
      <w:r>
        <w:rPr>
          <w:rFonts w:hint="eastAsia" w:ascii="仿宋_GB2312"/>
          <w:color w:val="000000" w:themeColor="text1"/>
          <w:szCs w:val="32"/>
        </w:rPr>
        <w:t>2025年不少于培育1个市级现代化美丽城镇。</w:t>
      </w:r>
    </w:p>
    <w:p w14:paraId="6A3A7BCA">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bCs/>
          <w:color w:val="000000" w:themeColor="text1"/>
          <w:szCs w:val="32"/>
        </w:rPr>
        <w:t>县住建局</w:t>
      </w:r>
      <w:r>
        <w:rPr>
          <w:rFonts w:hint="eastAsia" w:ascii="仿宋_GB2312"/>
          <w:color w:val="000000" w:themeColor="text1"/>
          <w:szCs w:val="32"/>
        </w:rPr>
        <w:t>、县发改局、县农业农村局、县</w:t>
      </w:r>
      <w:r>
        <w:rPr>
          <w:rFonts w:hint="eastAsia" w:ascii="仿宋_GB2312"/>
          <w:color w:val="000000" w:themeColor="text1"/>
          <w:szCs w:val="32"/>
          <w:lang w:eastAsia="zh-CN"/>
        </w:rPr>
        <w:t>规划和自然资源局</w:t>
      </w:r>
      <w:r>
        <w:rPr>
          <w:rFonts w:hint="eastAsia" w:ascii="仿宋_GB2312"/>
          <w:color w:val="000000" w:themeColor="text1"/>
          <w:szCs w:val="32"/>
        </w:rPr>
        <w:t>、县经信局</w:t>
      </w:r>
      <w:r>
        <w:rPr>
          <w:rFonts w:hint="eastAsia" w:ascii="仿宋_GB2312"/>
          <w:color w:val="000000" w:themeColor="text1"/>
          <w:szCs w:val="32"/>
          <w:lang w:eastAsia="zh-CN"/>
        </w:rPr>
        <w:t>。</w:t>
      </w:r>
    </w:p>
    <w:p w14:paraId="2A5AD9FD">
      <w:pPr>
        <w:spacing w:line="560" w:lineRule="exact"/>
        <w:ind w:firstLine="643" w:firstLineChars="200"/>
        <w:rPr>
          <w:rFonts w:ascii="楷体_GB2312" w:eastAsia="楷体_GB2312"/>
          <w:b/>
          <w:color w:val="000000" w:themeColor="text1"/>
          <w:szCs w:val="32"/>
        </w:rPr>
      </w:pPr>
      <w:r>
        <w:rPr>
          <w:rFonts w:hint="eastAsia" w:ascii="楷体_GB2312" w:eastAsia="楷体_GB2312"/>
          <w:b/>
          <w:color w:val="000000" w:themeColor="text1"/>
          <w:szCs w:val="32"/>
        </w:rPr>
        <w:t>（七）复合空间类更新提升行动。</w:t>
      </w:r>
    </w:p>
    <w:bookmarkEnd w:id="0"/>
    <w:p w14:paraId="5E1EBC9E">
      <w:pPr>
        <w:spacing w:line="560" w:lineRule="exact"/>
        <w:ind w:firstLine="643" w:firstLineChars="200"/>
        <w:rPr>
          <w:rFonts w:ascii="仿宋_GB2312"/>
          <w:color w:val="000000" w:themeColor="text1"/>
          <w:szCs w:val="32"/>
        </w:rPr>
      </w:pPr>
      <w:r>
        <w:rPr>
          <w:rFonts w:hint="eastAsia" w:ascii="仿宋_GB2312"/>
          <w:b/>
          <w:color w:val="000000" w:themeColor="text1"/>
          <w:szCs w:val="32"/>
        </w:rPr>
        <w:t>18.土地综合整治。</w:t>
      </w:r>
      <w:r>
        <w:rPr>
          <w:rFonts w:hint="eastAsia" w:ascii="仿宋_GB2312"/>
          <w:color w:val="000000" w:themeColor="text1"/>
          <w:szCs w:val="32"/>
        </w:rPr>
        <w:t>开展耕地优化提升、村庄优化提升、低效用地整治和优化提升、生态保护修复优化提升等空间治理活动，推动城乡融合、三生融合、三产融合，加快绘就空间集聚、要素汇聚、耕地连片、产业兴旺、共同富裕、全域美丽的现代版富春山居图。至2025年，实施土地综合整治工程4个，涵盖6个乡镇（街道）、87个村，不少于6.86万公顷。其中：</w:t>
      </w:r>
    </w:p>
    <w:p w14:paraId="5A75CA4C">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2024年实施2个土地综合整治工程，不少于0.87万公顷</w:t>
      </w:r>
      <w:r>
        <w:rPr>
          <w:rFonts w:hint="eastAsia" w:ascii="仿宋_GB2312"/>
          <w:color w:val="000000" w:themeColor="text1"/>
          <w:szCs w:val="32"/>
          <w:lang w:eastAsia="zh-CN"/>
        </w:rPr>
        <w:t>；</w:t>
      </w:r>
    </w:p>
    <w:p w14:paraId="68A3396F">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2025年实施2个土地综合整治工程，不少于5.99万公顷。</w:t>
      </w:r>
    </w:p>
    <w:p w14:paraId="3CCA0E96">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w:t>
      </w:r>
      <w:bookmarkStart w:id="1" w:name="_GoBack"/>
      <w:bookmarkEnd w:id="1"/>
      <w:r>
        <w:rPr>
          <w:rFonts w:hint="eastAsia" w:ascii="仿宋_GB2312"/>
          <w:color w:val="000000" w:themeColor="text1"/>
          <w:szCs w:val="32"/>
          <w:lang w:eastAsia="zh-CN"/>
        </w:rPr>
        <w:t>规划和自然资源局</w:t>
      </w:r>
      <w:r>
        <w:rPr>
          <w:rFonts w:hint="eastAsia" w:ascii="仿宋_GB2312"/>
          <w:color w:val="000000" w:themeColor="text1"/>
          <w:szCs w:val="32"/>
        </w:rPr>
        <w:t>、县发改局、生态环境分局、县林水局、县农业农村局</w:t>
      </w:r>
      <w:r>
        <w:rPr>
          <w:rFonts w:hint="eastAsia" w:ascii="仿宋_GB2312"/>
          <w:color w:val="000000" w:themeColor="text1"/>
          <w:szCs w:val="32"/>
          <w:lang w:eastAsia="zh-CN"/>
        </w:rPr>
        <w:t>。</w:t>
      </w:r>
    </w:p>
    <w:p w14:paraId="337949E8">
      <w:pPr>
        <w:spacing w:line="560" w:lineRule="exact"/>
        <w:ind w:firstLine="643" w:firstLineChars="200"/>
        <w:rPr>
          <w:rFonts w:hint="eastAsia" w:ascii="楷体_GB2312" w:eastAsia="楷体_GB2312"/>
          <w:b/>
          <w:color w:val="000000" w:themeColor="text1"/>
          <w:szCs w:val="32"/>
        </w:rPr>
      </w:pPr>
      <w:r>
        <w:rPr>
          <w:rFonts w:hint="eastAsia" w:ascii="楷体_GB2312" w:eastAsia="楷体_GB2312"/>
          <w:b/>
          <w:color w:val="000000" w:themeColor="text1"/>
          <w:szCs w:val="32"/>
        </w:rPr>
        <w:t>（八）城市智慧赋能和绿色低碳提升行动。</w:t>
      </w:r>
    </w:p>
    <w:p w14:paraId="1258DD8C">
      <w:pPr>
        <w:spacing w:line="560" w:lineRule="exact"/>
        <w:ind w:firstLine="643" w:firstLineChars="200"/>
        <w:rPr>
          <w:rFonts w:ascii="仿宋_GB2312"/>
          <w:b/>
          <w:color w:val="000000" w:themeColor="text1"/>
          <w:szCs w:val="32"/>
        </w:rPr>
      </w:pPr>
      <w:r>
        <w:rPr>
          <w:rFonts w:hint="eastAsia" w:ascii="仿宋_GB2312"/>
          <w:b/>
          <w:color w:val="000000" w:themeColor="text1"/>
          <w:szCs w:val="32"/>
        </w:rPr>
        <w:t>19.新型城市基础设施建设</w:t>
      </w:r>
    </w:p>
    <w:p w14:paraId="7495DCA6">
      <w:pPr>
        <w:spacing w:line="560" w:lineRule="exact"/>
        <w:ind w:firstLine="640" w:firstLineChars="200"/>
        <w:rPr>
          <w:rFonts w:ascii="仿宋_GB2312"/>
          <w:color w:val="000000" w:themeColor="text1"/>
          <w:szCs w:val="32"/>
        </w:rPr>
      </w:pPr>
      <w:r>
        <w:rPr>
          <w:rFonts w:hint="eastAsia" w:ascii="仿宋_GB2312"/>
          <w:color w:val="000000" w:themeColor="text1"/>
          <w:szCs w:val="32"/>
        </w:rPr>
        <w:t>至2025年，配合迭代杭州市CIM平台。依托于杭州市统建的城市物联感知基础平台，归集终端类型十类以上，接入物联感知终端不少于8000个，形成桐庐县“一导则二规范三标准”标准规范体系。开展城市内涝监测预警平台建设，搭建县城内涝模型、驾驶舱、预警处置、关键点位感知设备等。其中：</w:t>
      </w:r>
    </w:p>
    <w:p w14:paraId="74A13AC3">
      <w:pPr>
        <w:spacing w:line="56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2024年平台归集数据终端类型八类以上，新增至少一类物联感知设备接入，新接入物联感知终端不少于500个，完成城区内涝模型建设任务</w:t>
      </w:r>
      <w:r>
        <w:rPr>
          <w:rFonts w:hint="eastAsia" w:ascii="仿宋_GB2312"/>
          <w:color w:val="000000" w:themeColor="text1"/>
          <w:szCs w:val="32"/>
          <w:lang w:eastAsia="zh-CN"/>
        </w:rPr>
        <w:t>，</w:t>
      </w:r>
      <w:r>
        <w:rPr>
          <w:rFonts w:hint="eastAsia" w:ascii="仿宋_GB2312"/>
          <w:color w:val="000000" w:themeColor="text1"/>
          <w:szCs w:val="32"/>
        </w:rPr>
        <w:t>完成县城核心区域城市内涝建模任务</w:t>
      </w:r>
      <w:r>
        <w:rPr>
          <w:rFonts w:hint="eastAsia" w:ascii="仿宋_GB2312"/>
          <w:color w:val="000000" w:themeColor="text1"/>
          <w:szCs w:val="32"/>
          <w:lang w:eastAsia="zh-CN"/>
        </w:rPr>
        <w:t>；</w:t>
      </w:r>
    </w:p>
    <w:p w14:paraId="200DA8E5">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2025年平台归集终端类型十类以上，新接入物联感知终端不少于500个，打造至少一个典型的物联感知赋能应用场景</w:t>
      </w:r>
      <w:r>
        <w:rPr>
          <w:rFonts w:hint="eastAsia" w:ascii="仿宋_GB2312"/>
          <w:color w:val="000000" w:themeColor="text1"/>
          <w:szCs w:val="32"/>
          <w:lang w:eastAsia="zh-CN"/>
        </w:rPr>
        <w:t>，</w:t>
      </w:r>
      <w:r>
        <w:rPr>
          <w:rFonts w:hint="eastAsia" w:ascii="仿宋_GB2312"/>
          <w:color w:val="000000" w:themeColor="text1"/>
          <w:szCs w:val="32"/>
        </w:rPr>
        <w:t>全面完成城区涝监测预警平台建设。</w:t>
      </w:r>
    </w:p>
    <w:p w14:paraId="27DC89DB">
      <w:pPr>
        <w:spacing w:line="560" w:lineRule="exact"/>
        <w:ind w:firstLine="643" w:firstLineChars="200"/>
        <w:rPr>
          <w:rFonts w:hint="eastAsia" w:ascii="仿宋_GB2312" w:eastAsia="仿宋_GB2312"/>
          <w:color w:val="000000" w:themeColor="text1"/>
          <w:szCs w:val="32"/>
          <w:lang w:eastAsia="zh-CN"/>
        </w:rPr>
      </w:pPr>
      <w:r>
        <w:rPr>
          <w:rFonts w:hint="eastAsia" w:ascii="仿宋_GB2312"/>
          <w:b/>
          <w:color w:val="000000" w:themeColor="text1"/>
          <w:szCs w:val="32"/>
        </w:rPr>
        <w:t>责任单位：★</w:t>
      </w:r>
      <w:r>
        <w:rPr>
          <w:rFonts w:hint="eastAsia" w:ascii="仿宋_GB2312"/>
          <w:color w:val="000000" w:themeColor="text1"/>
          <w:szCs w:val="32"/>
        </w:rPr>
        <w:t>县数</w:t>
      </w:r>
      <w:r>
        <w:rPr>
          <w:rFonts w:hint="eastAsia" w:ascii="仿宋_GB2312"/>
          <w:color w:val="000000" w:themeColor="text1"/>
          <w:szCs w:val="32"/>
          <w:lang w:eastAsia="zh-CN"/>
        </w:rPr>
        <w:t>管</w:t>
      </w:r>
      <w:r>
        <w:rPr>
          <w:rFonts w:hint="eastAsia" w:ascii="仿宋_GB2312"/>
          <w:color w:val="000000" w:themeColor="text1"/>
          <w:szCs w:val="32"/>
        </w:rPr>
        <w:t>局、县</w:t>
      </w:r>
      <w:r>
        <w:rPr>
          <w:rFonts w:hint="eastAsia" w:ascii="仿宋_GB2312"/>
          <w:color w:val="000000" w:themeColor="text1"/>
          <w:szCs w:val="32"/>
          <w:lang w:eastAsia="zh-CN"/>
        </w:rPr>
        <w:t>规划和自然资源局</w:t>
      </w:r>
      <w:r>
        <w:rPr>
          <w:rFonts w:hint="eastAsia" w:ascii="仿宋_GB2312"/>
          <w:color w:val="000000" w:themeColor="text1"/>
          <w:szCs w:val="32"/>
        </w:rPr>
        <w:t>、县住建局、县</w:t>
      </w:r>
      <w:r>
        <w:rPr>
          <w:rFonts w:hint="eastAsia" w:hAnsi="仿宋_GB2312" w:cs="仿宋_GB2312"/>
          <w:bCs/>
          <w:color w:val="000000" w:themeColor="text1"/>
          <w:szCs w:val="32"/>
        </w:rPr>
        <w:t>综合执法</w:t>
      </w:r>
      <w:r>
        <w:rPr>
          <w:rFonts w:hint="eastAsia" w:ascii="仿宋_GB2312"/>
          <w:color w:val="000000" w:themeColor="text1"/>
          <w:szCs w:val="32"/>
        </w:rPr>
        <w:t>局、县交运局、县公安局、县财政局</w:t>
      </w:r>
      <w:r>
        <w:rPr>
          <w:rFonts w:hint="eastAsia" w:ascii="仿宋_GB2312"/>
          <w:color w:val="000000" w:themeColor="text1"/>
          <w:szCs w:val="32"/>
          <w:lang w:eastAsia="zh-CN"/>
        </w:rPr>
        <w:t>。</w:t>
      </w:r>
    </w:p>
    <w:p w14:paraId="06FFCAB9">
      <w:pPr>
        <w:spacing w:line="560" w:lineRule="exact"/>
        <w:ind w:firstLine="643" w:firstLineChars="200"/>
        <w:rPr>
          <w:rFonts w:ascii="仿宋_GB2312"/>
          <w:color w:val="000000" w:themeColor="text1"/>
          <w:szCs w:val="32"/>
        </w:rPr>
      </w:pPr>
      <w:r>
        <w:rPr>
          <w:rFonts w:hint="eastAsia" w:ascii="仿宋_GB2312"/>
          <w:b/>
          <w:color w:val="000000" w:themeColor="text1"/>
          <w:szCs w:val="32"/>
        </w:rPr>
        <w:t>20.建筑节能。</w:t>
      </w:r>
      <w:r>
        <w:rPr>
          <w:rFonts w:hint="eastAsia" w:ascii="仿宋_GB2312"/>
          <w:bCs/>
          <w:color w:val="000000" w:themeColor="text1"/>
          <w:szCs w:val="32"/>
        </w:rPr>
        <w:t>积极推进富春未来城为核心的绿色生态城区培育，创成省级绿色生态城区示范。稳步推进既有建</w:t>
      </w:r>
      <w:r>
        <w:rPr>
          <w:rFonts w:hint="eastAsia" w:ascii="仿宋_GB2312"/>
          <w:color w:val="000000" w:themeColor="text1"/>
          <w:szCs w:val="32"/>
        </w:rPr>
        <w:t>筑绿色节能改造，推动公共建筑开展用能设备运行</w:t>
      </w:r>
      <w:r>
        <w:rPr>
          <w:rFonts w:hint="eastAsia" w:ascii="仿宋_GB2312"/>
          <w:color w:val="000000" w:themeColor="text1"/>
          <w:szCs w:val="32"/>
          <w:highlight w:val="none"/>
          <w:lang w:eastAsia="zh-CN"/>
        </w:rPr>
        <w:t>调适</w:t>
      </w:r>
      <w:r>
        <w:rPr>
          <w:rFonts w:hint="eastAsia" w:ascii="仿宋_GB2312"/>
          <w:color w:val="000000" w:themeColor="text1"/>
          <w:szCs w:val="32"/>
        </w:rPr>
        <w:t>，推广应用建筑设施设备优化控制策略，提升用能系统效率。结合既有建筑绿色低碳改造，鼓励各类公共机构和公共建筑加装太阳能光伏系统，探索绿色金融支持机制，引导市场化改造模式充分参与。同时，深化建筑能耗监测平台管理，加强公共建筑能耗监管体系建设。至2025年，既有公共建筑和居住建筑节能改造分别不少于2万平方米、1万平方米。其中：</w:t>
      </w:r>
    </w:p>
    <w:p w14:paraId="58038EF8">
      <w:pPr>
        <w:spacing w:line="560" w:lineRule="exact"/>
        <w:ind w:firstLine="640" w:firstLineChars="200"/>
        <w:rPr>
          <w:rFonts w:ascii="仿宋_GB2312"/>
          <w:color w:val="000000" w:themeColor="text1"/>
          <w:szCs w:val="32"/>
        </w:rPr>
      </w:pPr>
      <w:r>
        <w:rPr>
          <w:rFonts w:hint="eastAsia" w:ascii="仿宋_GB2312"/>
          <w:color w:val="000000" w:themeColor="text1"/>
          <w:szCs w:val="32"/>
        </w:rPr>
        <w:t>2024年实施既有公共建筑和居住建筑节能改造面积分别不少于1万平方米、0.5万平方米；</w:t>
      </w:r>
    </w:p>
    <w:p w14:paraId="70F067EC">
      <w:pPr>
        <w:spacing w:line="560" w:lineRule="exact"/>
        <w:ind w:firstLine="640" w:firstLineChars="200"/>
        <w:rPr>
          <w:rFonts w:ascii="仿宋_GB2312"/>
          <w:color w:val="000000" w:themeColor="text1"/>
          <w:szCs w:val="32"/>
        </w:rPr>
      </w:pPr>
      <w:r>
        <w:rPr>
          <w:rFonts w:hint="eastAsia" w:ascii="仿宋_GB2312"/>
          <w:color w:val="000000" w:themeColor="text1"/>
          <w:szCs w:val="32"/>
        </w:rPr>
        <w:t>2025年实施既有公共建筑和居住建筑节能改造面积分别不少于1万平方米、0.5万平方米。</w:t>
      </w:r>
    </w:p>
    <w:p w14:paraId="4132D455">
      <w:pPr>
        <w:spacing w:line="560" w:lineRule="exact"/>
        <w:ind w:firstLine="643" w:firstLineChars="200"/>
        <w:rPr>
          <w:rFonts w:hint="eastAsia" w:ascii="仿宋" w:hAnsi="仿宋" w:eastAsia="仿宋_GB2312"/>
          <w:color w:val="000000" w:themeColor="text1"/>
          <w:lang w:eastAsia="zh-CN"/>
        </w:rPr>
      </w:pPr>
      <w:r>
        <w:rPr>
          <w:rFonts w:hint="eastAsia" w:ascii="仿宋_GB2312"/>
          <w:b/>
          <w:color w:val="000000" w:themeColor="text1"/>
          <w:szCs w:val="32"/>
        </w:rPr>
        <w:t>责任单位：★</w:t>
      </w:r>
      <w:r>
        <w:rPr>
          <w:rFonts w:hint="eastAsia" w:ascii="仿宋_GB2312"/>
          <w:color w:val="000000" w:themeColor="text1"/>
          <w:szCs w:val="32"/>
        </w:rPr>
        <w:t>县住建局、县发改局、县机关事务服务中心、县建发集团、县文旅集团、县交发集团、开发区</w:t>
      </w:r>
      <w:r>
        <w:rPr>
          <w:rFonts w:hint="eastAsia" w:ascii="仿宋_GB2312"/>
          <w:color w:val="000000" w:themeColor="text1"/>
          <w:szCs w:val="32"/>
          <w:lang w:eastAsia="zh-CN"/>
        </w:rPr>
        <w:t>。</w:t>
      </w:r>
    </w:p>
    <w:p w14:paraId="3F8C8F4C">
      <w:pPr>
        <w:spacing w:line="560" w:lineRule="exact"/>
        <w:ind w:firstLine="640" w:firstLineChars="200"/>
        <w:rPr>
          <w:rFonts w:ascii="黑体" w:hAnsi="黑体" w:eastAsia="黑体"/>
          <w:color w:val="000000" w:themeColor="text1"/>
          <w:szCs w:val="32"/>
        </w:rPr>
      </w:pPr>
      <w:r>
        <w:rPr>
          <w:rFonts w:hint="eastAsia" w:ascii="黑体" w:hAnsi="黑体" w:eastAsia="黑体"/>
          <w:color w:val="000000" w:themeColor="text1"/>
          <w:szCs w:val="32"/>
        </w:rPr>
        <w:t>四、保障措施</w:t>
      </w:r>
    </w:p>
    <w:p w14:paraId="360C1760">
      <w:pPr>
        <w:spacing w:line="560" w:lineRule="exact"/>
        <w:ind w:firstLine="643" w:firstLineChars="200"/>
        <w:rPr>
          <w:rFonts w:ascii="仿宋_GB2312"/>
          <w:color w:val="000000" w:themeColor="text1"/>
          <w:szCs w:val="32"/>
        </w:rPr>
      </w:pPr>
      <w:r>
        <w:rPr>
          <w:rFonts w:hint="eastAsia" w:ascii="楷体_GB2312" w:eastAsia="楷体_GB2312"/>
          <w:b/>
          <w:bCs/>
          <w:color w:val="000000" w:themeColor="text1"/>
          <w:szCs w:val="32"/>
        </w:rPr>
        <w:t>（一）加强组织领导。</w:t>
      </w:r>
      <w:r>
        <w:rPr>
          <w:rFonts w:hint="eastAsia" w:ascii="仿宋_GB2312"/>
          <w:color w:val="000000" w:themeColor="text1"/>
          <w:szCs w:val="32"/>
        </w:rPr>
        <w:t>建立全面推进城市更新行动领导小组，统筹、协调全县城市更新工作，研究、审议城市更新相关重大事项；日常工作由县住建局负责，组建工作专班，抽调专职人员实体化运作实施。各乡镇（街道）、开发区为推进本辖区城市更新工作的主体，成立相应协调机制，统筹推进、督促协调辖区内城市更新工作。</w:t>
      </w:r>
    </w:p>
    <w:p w14:paraId="55337D5A">
      <w:pPr>
        <w:spacing w:line="560" w:lineRule="exact"/>
        <w:ind w:firstLine="643" w:firstLineChars="200"/>
        <w:rPr>
          <w:rFonts w:ascii="仿宋_GB2312"/>
          <w:b/>
          <w:bCs/>
          <w:color w:val="000000" w:themeColor="text1"/>
          <w:szCs w:val="32"/>
        </w:rPr>
      </w:pPr>
      <w:r>
        <w:rPr>
          <w:rFonts w:hint="eastAsia" w:ascii="楷体_GB2312" w:eastAsia="楷体_GB2312"/>
          <w:b/>
          <w:bCs/>
          <w:color w:val="000000" w:themeColor="text1"/>
          <w:szCs w:val="32"/>
        </w:rPr>
        <w:t>（二）建立推进机制。</w:t>
      </w:r>
      <w:r>
        <w:rPr>
          <w:rFonts w:hint="eastAsia" w:ascii="仿宋_GB2312"/>
          <w:color w:val="000000" w:themeColor="text1"/>
          <w:szCs w:val="32"/>
        </w:rPr>
        <w:t>建立例会机制，定期研究城市更新重大战略和重大问题，协调推进本县各项城市更新任务落实。按照本行动方案明确的目标任务和责任分工落实各项任务。</w:t>
      </w:r>
    </w:p>
    <w:p w14:paraId="37C0F734">
      <w:pPr>
        <w:spacing w:line="560" w:lineRule="exact"/>
        <w:ind w:firstLine="643" w:firstLineChars="200"/>
        <w:rPr>
          <w:rFonts w:ascii="仿宋_GB2312"/>
          <w:color w:val="000000" w:themeColor="text1"/>
          <w:szCs w:val="32"/>
        </w:rPr>
      </w:pPr>
      <w:r>
        <w:rPr>
          <w:rFonts w:hint="eastAsia" w:ascii="楷体_GB2312" w:eastAsia="楷体_GB2312"/>
          <w:b/>
          <w:bCs/>
          <w:color w:val="000000" w:themeColor="text1"/>
          <w:szCs w:val="32"/>
        </w:rPr>
        <w:t>（三）强化考核激励。</w:t>
      </w:r>
      <w:r>
        <w:rPr>
          <w:rFonts w:hint="eastAsia" w:ascii="仿宋_GB2312"/>
          <w:color w:val="000000" w:themeColor="text1"/>
          <w:szCs w:val="32"/>
        </w:rPr>
        <w:t>制定城市更新工作监督评估考核办法，围绕目标任务建立“赛马”机制，定期对城市更新行动涉及的各项工作进度进行通报，将年度城市更新目标任务完成情况列入考评，对工作成绩突出的集体和个人按规定予以褒奖。</w:t>
      </w:r>
    </w:p>
    <w:p w14:paraId="2B1AE0FB">
      <w:pPr>
        <w:pStyle w:val="2"/>
        <w:spacing w:after="217" w:line="560" w:lineRule="exact"/>
        <w:ind w:left="0" w:right="0" w:firstLine="640"/>
        <w:rPr>
          <w:rFonts w:hAnsi="Times New Roman" w:eastAsia="仿宋_GB2312"/>
          <w:b w:val="0"/>
          <w:bCs w:val="0"/>
          <w:color w:val="000000" w:themeColor="text1"/>
          <w:sz w:val="32"/>
          <w:szCs w:val="32"/>
        </w:rPr>
      </w:pPr>
    </w:p>
    <w:sectPr>
      <w:footerReference r:id="rId3" w:type="default"/>
      <w:footerReference r:id="rId4" w:type="even"/>
      <w:pgSz w:w="11906" w:h="16838"/>
      <w:pgMar w:top="2098" w:right="1474" w:bottom="204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676D51-E0A3-4877-B058-190760ED42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4044A78D-0080-4753-927E-FEB840030863}"/>
  </w:font>
  <w:font w:name="方正小标宋简体">
    <w:panose1 w:val="02000000000000000000"/>
    <w:charset w:val="86"/>
    <w:family w:val="script"/>
    <w:pitch w:val="default"/>
    <w:sig w:usb0="00000001" w:usb1="08000000" w:usb2="00000000" w:usb3="00000000" w:csb0="00040000" w:csb1="00000000"/>
    <w:embedRegular r:id="rId3" w:fontKey="{02ED3F30-F87F-4F65-8DB1-9819AEBC5932}"/>
  </w:font>
  <w:font w:name="微软雅黑">
    <w:panose1 w:val="020B0503020204020204"/>
    <w:charset w:val="86"/>
    <w:family w:val="auto"/>
    <w:pitch w:val="default"/>
    <w:sig w:usb0="80000287" w:usb1="280F3C52" w:usb2="00000016" w:usb3="00000000" w:csb0="0004001F" w:csb1="00000000"/>
    <w:embedRegular r:id="rId4" w:fontKey="{A7CEA8F5-9A93-4AEE-BE51-820066D804B3}"/>
  </w:font>
  <w:font w:name="楷体_GB2312">
    <w:altName w:val="楷体"/>
    <w:panose1 w:val="02010609030101010101"/>
    <w:charset w:val="86"/>
    <w:family w:val="modern"/>
    <w:pitch w:val="default"/>
    <w:sig w:usb0="00000000" w:usb1="00000000" w:usb2="00000000" w:usb3="00000000" w:csb0="00040000" w:csb1="00000000"/>
    <w:embedRegular r:id="rId5" w:fontKey="{D95E5F56-C13F-4434-B9C2-E103241FFD51}"/>
  </w:font>
  <w:font w:name="仿宋">
    <w:panose1 w:val="02010609060101010101"/>
    <w:charset w:val="86"/>
    <w:family w:val="modern"/>
    <w:pitch w:val="default"/>
    <w:sig w:usb0="800002BF" w:usb1="38CF7CFA" w:usb2="00000016" w:usb3="00000000" w:csb0="00040001" w:csb1="00000000"/>
    <w:embedRegular r:id="rId6" w:fontKey="{01691682-3DA7-462D-B2B3-9DB0B6C00BC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3174">
    <w:pPr>
      <w:pStyle w:val="5"/>
      <w:framePr w:wrap="around" w:vAnchor="text" w:hAnchor="margin" w:xAlign="outside" w:y="1"/>
      <w:jc w:val="right"/>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w:instrText>
    </w:r>
    <w:r>
      <w:rPr>
        <w:rFonts w:hint="eastAsia" w:ascii="仿宋_GB2312"/>
        <w:sz w:val="28"/>
        <w:szCs w:val="28"/>
      </w:rPr>
      <w:fldChar w:fldCharType="separate"/>
    </w:r>
    <w:r>
      <w:rPr>
        <w:rFonts w:ascii="仿宋_GB2312"/>
        <w:sz w:val="28"/>
        <w:szCs w:val="28"/>
      </w:rPr>
      <w:t>1</w:t>
    </w:r>
    <w:r>
      <w:rPr>
        <w:rFonts w:hint="eastAsia" w:ascii="仿宋_GB2312"/>
        <w:sz w:val="28"/>
        <w:szCs w:val="28"/>
      </w:rPr>
      <w:fldChar w:fldCharType="end"/>
    </w:r>
    <w:r>
      <w:rPr>
        <w:rFonts w:hint="eastAsia" w:ascii="仿宋_GB2312"/>
        <w:sz w:val="28"/>
        <w:szCs w:val="28"/>
      </w:rPr>
      <w:t xml:space="preserve"> -</w:t>
    </w:r>
  </w:p>
  <w:p w14:paraId="65EC9D33">
    <w:pPr>
      <w:pStyle w:val="5"/>
      <w:ind w:right="360" w:firstLine="361"/>
    </w:pPr>
  </w:p>
  <w:p w14:paraId="05A68AB9"/>
  <w:p w14:paraId="626A7655"/>
  <w:p w14:paraId="5F6F5133"/>
  <w:p w14:paraId="4A6700B7"/>
  <w:p w14:paraId="7F0174F0"/>
  <w:p w14:paraId="24461B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FB00">
    <w:pPr>
      <w:pStyle w:val="5"/>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w:instrText>
    </w:r>
    <w:r>
      <w:rPr>
        <w:rFonts w:hint="eastAsia" w:ascii="仿宋_GB2312"/>
        <w:sz w:val="28"/>
        <w:szCs w:val="28"/>
      </w:rPr>
      <w:fldChar w:fldCharType="separate"/>
    </w:r>
    <w:r>
      <w:rPr>
        <w:rFonts w:ascii="仿宋_GB2312"/>
        <w:sz w:val="28"/>
        <w:szCs w:val="28"/>
      </w:rPr>
      <w:t>12</w:t>
    </w:r>
    <w:r>
      <w:rPr>
        <w:rFonts w:hint="eastAsia" w:ascii="仿宋_GB2312"/>
        <w:sz w:val="28"/>
        <w:szCs w:val="28"/>
      </w:rPr>
      <w:fldChar w:fldCharType="end"/>
    </w:r>
    <w:r>
      <w:rPr>
        <w:rFonts w:hint="eastAsia" w:ascii="仿宋_GB2312"/>
        <w:sz w:val="28"/>
        <w:szCs w:val="28"/>
      </w:rPr>
      <w:t xml:space="preserve"> -</w:t>
    </w:r>
  </w:p>
  <w:p w14:paraId="5E39E15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xYmVlYWM3MmJjY2I1MTk1NTFhYWFiYmIxYjU5YjMifQ=="/>
  </w:docVars>
  <w:rsids>
    <w:rsidRoot w:val="17FB0D96"/>
    <w:rsid w:val="00003176"/>
    <w:rsid w:val="00005867"/>
    <w:rsid w:val="00025B70"/>
    <w:rsid w:val="000363F3"/>
    <w:rsid w:val="00073D14"/>
    <w:rsid w:val="000857E6"/>
    <w:rsid w:val="001438E4"/>
    <w:rsid w:val="00151BA8"/>
    <w:rsid w:val="00165351"/>
    <w:rsid w:val="00170A92"/>
    <w:rsid w:val="00185495"/>
    <w:rsid w:val="001A6C38"/>
    <w:rsid w:val="001E35DE"/>
    <w:rsid w:val="00212EBD"/>
    <w:rsid w:val="00253CAC"/>
    <w:rsid w:val="002716EB"/>
    <w:rsid w:val="00281382"/>
    <w:rsid w:val="002851E0"/>
    <w:rsid w:val="0029535C"/>
    <w:rsid w:val="002A2FFB"/>
    <w:rsid w:val="002C5858"/>
    <w:rsid w:val="002F4FBF"/>
    <w:rsid w:val="00305710"/>
    <w:rsid w:val="003341FB"/>
    <w:rsid w:val="00385BE3"/>
    <w:rsid w:val="003A3762"/>
    <w:rsid w:val="003B5CB2"/>
    <w:rsid w:val="004049AE"/>
    <w:rsid w:val="00427A18"/>
    <w:rsid w:val="004470B6"/>
    <w:rsid w:val="00453F0C"/>
    <w:rsid w:val="004868A3"/>
    <w:rsid w:val="004910A1"/>
    <w:rsid w:val="004A0B01"/>
    <w:rsid w:val="004B04AC"/>
    <w:rsid w:val="004F16DE"/>
    <w:rsid w:val="00527753"/>
    <w:rsid w:val="00540D5D"/>
    <w:rsid w:val="00586068"/>
    <w:rsid w:val="00592109"/>
    <w:rsid w:val="005A61AC"/>
    <w:rsid w:val="005B61A0"/>
    <w:rsid w:val="005D0420"/>
    <w:rsid w:val="005D0A63"/>
    <w:rsid w:val="00605B5F"/>
    <w:rsid w:val="0061644B"/>
    <w:rsid w:val="006B27C1"/>
    <w:rsid w:val="006C4623"/>
    <w:rsid w:val="006D45CA"/>
    <w:rsid w:val="007225F5"/>
    <w:rsid w:val="0073496C"/>
    <w:rsid w:val="007513FF"/>
    <w:rsid w:val="00762CA2"/>
    <w:rsid w:val="00762CEF"/>
    <w:rsid w:val="00810171"/>
    <w:rsid w:val="008335D1"/>
    <w:rsid w:val="008460E8"/>
    <w:rsid w:val="0087544D"/>
    <w:rsid w:val="008C5AE2"/>
    <w:rsid w:val="008E0B80"/>
    <w:rsid w:val="008F2B32"/>
    <w:rsid w:val="00911084"/>
    <w:rsid w:val="00922256"/>
    <w:rsid w:val="00931CAC"/>
    <w:rsid w:val="009453BC"/>
    <w:rsid w:val="00951275"/>
    <w:rsid w:val="00966199"/>
    <w:rsid w:val="009707C2"/>
    <w:rsid w:val="009810C9"/>
    <w:rsid w:val="00994B47"/>
    <w:rsid w:val="009B370D"/>
    <w:rsid w:val="009D2FFC"/>
    <w:rsid w:val="009E5910"/>
    <w:rsid w:val="00A148BB"/>
    <w:rsid w:val="00A16511"/>
    <w:rsid w:val="00AA364C"/>
    <w:rsid w:val="00AB02AF"/>
    <w:rsid w:val="00AC6501"/>
    <w:rsid w:val="00AE23DF"/>
    <w:rsid w:val="00B21743"/>
    <w:rsid w:val="00B41D35"/>
    <w:rsid w:val="00B643B2"/>
    <w:rsid w:val="00B95F63"/>
    <w:rsid w:val="00BA5547"/>
    <w:rsid w:val="00BE4808"/>
    <w:rsid w:val="00C13B7D"/>
    <w:rsid w:val="00C31498"/>
    <w:rsid w:val="00C626C9"/>
    <w:rsid w:val="00C66A17"/>
    <w:rsid w:val="00CB0BF0"/>
    <w:rsid w:val="00D027ED"/>
    <w:rsid w:val="00D324C0"/>
    <w:rsid w:val="00DD2999"/>
    <w:rsid w:val="00E25DCC"/>
    <w:rsid w:val="00E852CD"/>
    <w:rsid w:val="00E949B8"/>
    <w:rsid w:val="00EB49A9"/>
    <w:rsid w:val="00F35695"/>
    <w:rsid w:val="00F468FD"/>
    <w:rsid w:val="00F6597C"/>
    <w:rsid w:val="00F70486"/>
    <w:rsid w:val="00F72CA9"/>
    <w:rsid w:val="00FA74D6"/>
    <w:rsid w:val="011B5014"/>
    <w:rsid w:val="01755ADE"/>
    <w:rsid w:val="03E829BC"/>
    <w:rsid w:val="0505428E"/>
    <w:rsid w:val="05AB1C90"/>
    <w:rsid w:val="06696ADC"/>
    <w:rsid w:val="06BC2022"/>
    <w:rsid w:val="06DC66F3"/>
    <w:rsid w:val="07944DAE"/>
    <w:rsid w:val="080B02BF"/>
    <w:rsid w:val="0811173B"/>
    <w:rsid w:val="0938763F"/>
    <w:rsid w:val="094D16CA"/>
    <w:rsid w:val="095906F0"/>
    <w:rsid w:val="09821AE4"/>
    <w:rsid w:val="098B0432"/>
    <w:rsid w:val="09DF42DA"/>
    <w:rsid w:val="0A4A5BF8"/>
    <w:rsid w:val="0A516F86"/>
    <w:rsid w:val="0AAD0E1B"/>
    <w:rsid w:val="0B7D1FFD"/>
    <w:rsid w:val="0BBF4C07"/>
    <w:rsid w:val="0D160B7F"/>
    <w:rsid w:val="0D3B3F1D"/>
    <w:rsid w:val="0D522665"/>
    <w:rsid w:val="0DBE2B84"/>
    <w:rsid w:val="0E300621"/>
    <w:rsid w:val="0E82595C"/>
    <w:rsid w:val="0F2D0EAC"/>
    <w:rsid w:val="0F337A2C"/>
    <w:rsid w:val="0F3707E0"/>
    <w:rsid w:val="0F8A4C03"/>
    <w:rsid w:val="0F8E4C13"/>
    <w:rsid w:val="0FD42D0C"/>
    <w:rsid w:val="101C2D44"/>
    <w:rsid w:val="113A74C2"/>
    <w:rsid w:val="116C74EB"/>
    <w:rsid w:val="11D5384E"/>
    <w:rsid w:val="11E15FC7"/>
    <w:rsid w:val="12C80001"/>
    <w:rsid w:val="133574DA"/>
    <w:rsid w:val="138F0F48"/>
    <w:rsid w:val="14FC5E2C"/>
    <w:rsid w:val="153554BF"/>
    <w:rsid w:val="15A603F2"/>
    <w:rsid w:val="16BB039F"/>
    <w:rsid w:val="17833599"/>
    <w:rsid w:val="178A3AD7"/>
    <w:rsid w:val="17A57DA5"/>
    <w:rsid w:val="17C81F6C"/>
    <w:rsid w:val="17FB0D96"/>
    <w:rsid w:val="188D7341"/>
    <w:rsid w:val="193D764D"/>
    <w:rsid w:val="19610321"/>
    <w:rsid w:val="196441F7"/>
    <w:rsid w:val="19A14C55"/>
    <w:rsid w:val="1A4D37FB"/>
    <w:rsid w:val="1AA1730C"/>
    <w:rsid w:val="1AFD0A64"/>
    <w:rsid w:val="1B500B52"/>
    <w:rsid w:val="1B6804C1"/>
    <w:rsid w:val="1B873AF1"/>
    <w:rsid w:val="1BE3620A"/>
    <w:rsid w:val="1CC31C11"/>
    <w:rsid w:val="1CE63411"/>
    <w:rsid w:val="1D4234EE"/>
    <w:rsid w:val="1D76522A"/>
    <w:rsid w:val="1D7C3E6A"/>
    <w:rsid w:val="1D9850D3"/>
    <w:rsid w:val="1EC067F7"/>
    <w:rsid w:val="1EFD8791"/>
    <w:rsid w:val="1F4E672B"/>
    <w:rsid w:val="1F56D70E"/>
    <w:rsid w:val="2182430A"/>
    <w:rsid w:val="22987E2F"/>
    <w:rsid w:val="22B72AE4"/>
    <w:rsid w:val="22F34840"/>
    <w:rsid w:val="230F1886"/>
    <w:rsid w:val="233A41DC"/>
    <w:rsid w:val="24834585"/>
    <w:rsid w:val="2541391C"/>
    <w:rsid w:val="259E70E0"/>
    <w:rsid w:val="25B04608"/>
    <w:rsid w:val="25B64FA2"/>
    <w:rsid w:val="26D66D39"/>
    <w:rsid w:val="278204EE"/>
    <w:rsid w:val="28F328E9"/>
    <w:rsid w:val="290A73B1"/>
    <w:rsid w:val="294066EC"/>
    <w:rsid w:val="29662200"/>
    <w:rsid w:val="29886852"/>
    <w:rsid w:val="29AA0009"/>
    <w:rsid w:val="29F73B23"/>
    <w:rsid w:val="2A301AE3"/>
    <w:rsid w:val="2AB70C30"/>
    <w:rsid w:val="2ACF140E"/>
    <w:rsid w:val="2C6733DC"/>
    <w:rsid w:val="2D3F4019"/>
    <w:rsid w:val="2D677D3D"/>
    <w:rsid w:val="2DE3532C"/>
    <w:rsid w:val="2E3F6F72"/>
    <w:rsid w:val="2E526F9E"/>
    <w:rsid w:val="2E6703FE"/>
    <w:rsid w:val="2E8C7C67"/>
    <w:rsid w:val="2ED73720"/>
    <w:rsid w:val="2F1B7D33"/>
    <w:rsid w:val="2F4D0986"/>
    <w:rsid w:val="2F6F3F2A"/>
    <w:rsid w:val="2FA153A8"/>
    <w:rsid w:val="2FFBF2E7"/>
    <w:rsid w:val="30030473"/>
    <w:rsid w:val="30237A49"/>
    <w:rsid w:val="30C61BCC"/>
    <w:rsid w:val="30C96FC7"/>
    <w:rsid w:val="311C7A3E"/>
    <w:rsid w:val="31523659"/>
    <w:rsid w:val="33412AB9"/>
    <w:rsid w:val="33495A84"/>
    <w:rsid w:val="34174840"/>
    <w:rsid w:val="34305AB0"/>
    <w:rsid w:val="345852F9"/>
    <w:rsid w:val="34C53F49"/>
    <w:rsid w:val="35490C44"/>
    <w:rsid w:val="35F9014D"/>
    <w:rsid w:val="36021E86"/>
    <w:rsid w:val="36202716"/>
    <w:rsid w:val="370D68C1"/>
    <w:rsid w:val="37431EDB"/>
    <w:rsid w:val="375805C4"/>
    <w:rsid w:val="37CF0429"/>
    <w:rsid w:val="37D46FC9"/>
    <w:rsid w:val="38DA7707"/>
    <w:rsid w:val="38F372D7"/>
    <w:rsid w:val="390055F0"/>
    <w:rsid w:val="39CC4CDD"/>
    <w:rsid w:val="3A614714"/>
    <w:rsid w:val="3AB17CA1"/>
    <w:rsid w:val="3B506C62"/>
    <w:rsid w:val="3BCA3C90"/>
    <w:rsid w:val="3BF82E56"/>
    <w:rsid w:val="3D1D39EC"/>
    <w:rsid w:val="3DEFC1F1"/>
    <w:rsid w:val="3DFD3B19"/>
    <w:rsid w:val="3E472261"/>
    <w:rsid w:val="3E6D6701"/>
    <w:rsid w:val="3EB138E9"/>
    <w:rsid w:val="3EB3119F"/>
    <w:rsid w:val="3EC207BB"/>
    <w:rsid w:val="3EE69B9F"/>
    <w:rsid w:val="3EFEBEB5"/>
    <w:rsid w:val="3F0C1354"/>
    <w:rsid w:val="3F580EBB"/>
    <w:rsid w:val="3FFBE897"/>
    <w:rsid w:val="400E0E9A"/>
    <w:rsid w:val="41343035"/>
    <w:rsid w:val="418A27A2"/>
    <w:rsid w:val="41B45A02"/>
    <w:rsid w:val="42016538"/>
    <w:rsid w:val="430F7403"/>
    <w:rsid w:val="43324E9F"/>
    <w:rsid w:val="43871D78"/>
    <w:rsid w:val="44E35B6D"/>
    <w:rsid w:val="45443B5A"/>
    <w:rsid w:val="45A40CEF"/>
    <w:rsid w:val="45C20E9E"/>
    <w:rsid w:val="46222CB0"/>
    <w:rsid w:val="464C282D"/>
    <w:rsid w:val="477F19A8"/>
    <w:rsid w:val="47925F89"/>
    <w:rsid w:val="47983DD7"/>
    <w:rsid w:val="47FB0C46"/>
    <w:rsid w:val="4917360E"/>
    <w:rsid w:val="49A34FD3"/>
    <w:rsid w:val="4A7D5EFB"/>
    <w:rsid w:val="4BA90556"/>
    <w:rsid w:val="4C03387D"/>
    <w:rsid w:val="4C634446"/>
    <w:rsid w:val="4CD553FB"/>
    <w:rsid w:val="4D5A22D4"/>
    <w:rsid w:val="4E390847"/>
    <w:rsid w:val="4ECB7FBD"/>
    <w:rsid w:val="4FD01D48"/>
    <w:rsid w:val="501519AF"/>
    <w:rsid w:val="50972EEF"/>
    <w:rsid w:val="50A362D8"/>
    <w:rsid w:val="515F4902"/>
    <w:rsid w:val="517B4372"/>
    <w:rsid w:val="51BD0971"/>
    <w:rsid w:val="51CD5313"/>
    <w:rsid w:val="520635F9"/>
    <w:rsid w:val="52140592"/>
    <w:rsid w:val="53255084"/>
    <w:rsid w:val="560E5064"/>
    <w:rsid w:val="56CF72A8"/>
    <w:rsid w:val="56E85B49"/>
    <w:rsid w:val="57494A3A"/>
    <w:rsid w:val="580A31D3"/>
    <w:rsid w:val="586D28BE"/>
    <w:rsid w:val="5A240EE6"/>
    <w:rsid w:val="5A881B39"/>
    <w:rsid w:val="5AB71515"/>
    <w:rsid w:val="5B77EC9C"/>
    <w:rsid w:val="5CDE2E1B"/>
    <w:rsid w:val="5CEF6AF8"/>
    <w:rsid w:val="5D300A3B"/>
    <w:rsid w:val="5D49669F"/>
    <w:rsid w:val="5D6D7028"/>
    <w:rsid w:val="5D9A7FA7"/>
    <w:rsid w:val="5DAFD26F"/>
    <w:rsid w:val="5E084D23"/>
    <w:rsid w:val="5E135BA1"/>
    <w:rsid w:val="5E5E2270"/>
    <w:rsid w:val="5EE63AF8"/>
    <w:rsid w:val="5EEC7053"/>
    <w:rsid w:val="5F161D90"/>
    <w:rsid w:val="5F412C01"/>
    <w:rsid w:val="5FAA5FAF"/>
    <w:rsid w:val="5FFE208D"/>
    <w:rsid w:val="602C7155"/>
    <w:rsid w:val="608F232F"/>
    <w:rsid w:val="61215AAC"/>
    <w:rsid w:val="61596CFA"/>
    <w:rsid w:val="61990FB0"/>
    <w:rsid w:val="61D74F55"/>
    <w:rsid w:val="62775FD3"/>
    <w:rsid w:val="62AE42DC"/>
    <w:rsid w:val="637075F2"/>
    <w:rsid w:val="63B829B8"/>
    <w:rsid w:val="63BF7AC0"/>
    <w:rsid w:val="64755143"/>
    <w:rsid w:val="6477516F"/>
    <w:rsid w:val="64881F60"/>
    <w:rsid w:val="66190B98"/>
    <w:rsid w:val="66E04FDF"/>
    <w:rsid w:val="670D1063"/>
    <w:rsid w:val="68A85138"/>
    <w:rsid w:val="694258A2"/>
    <w:rsid w:val="695F751D"/>
    <w:rsid w:val="69690D6B"/>
    <w:rsid w:val="697657A1"/>
    <w:rsid w:val="69FD6653"/>
    <w:rsid w:val="6A3D7E4D"/>
    <w:rsid w:val="6AA3205B"/>
    <w:rsid w:val="6B655916"/>
    <w:rsid w:val="6BDC4163"/>
    <w:rsid w:val="6D5A1D00"/>
    <w:rsid w:val="6DBE5A4F"/>
    <w:rsid w:val="6DE46482"/>
    <w:rsid w:val="6E341A44"/>
    <w:rsid w:val="6E9E24DB"/>
    <w:rsid w:val="6EB45FC5"/>
    <w:rsid w:val="6F2237A1"/>
    <w:rsid w:val="6F6F4B0E"/>
    <w:rsid w:val="6FF7613D"/>
    <w:rsid w:val="7067413A"/>
    <w:rsid w:val="712A41FB"/>
    <w:rsid w:val="7163176D"/>
    <w:rsid w:val="723932A5"/>
    <w:rsid w:val="739FE9EC"/>
    <w:rsid w:val="744877CF"/>
    <w:rsid w:val="74D1173B"/>
    <w:rsid w:val="755F6E10"/>
    <w:rsid w:val="757FAE33"/>
    <w:rsid w:val="75CC19E3"/>
    <w:rsid w:val="75E8DA20"/>
    <w:rsid w:val="761B10B4"/>
    <w:rsid w:val="770A46B4"/>
    <w:rsid w:val="777F96C5"/>
    <w:rsid w:val="77ED9F2E"/>
    <w:rsid w:val="77FE1978"/>
    <w:rsid w:val="78212811"/>
    <w:rsid w:val="78F9553C"/>
    <w:rsid w:val="799CA18A"/>
    <w:rsid w:val="7A611405"/>
    <w:rsid w:val="7AFFE6F9"/>
    <w:rsid w:val="7B6F06C8"/>
    <w:rsid w:val="7D6E474B"/>
    <w:rsid w:val="7E77500C"/>
    <w:rsid w:val="7E7D46D0"/>
    <w:rsid w:val="7EF50554"/>
    <w:rsid w:val="7EF78A34"/>
    <w:rsid w:val="7F107E5E"/>
    <w:rsid w:val="7F3C13B4"/>
    <w:rsid w:val="7F5760B3"/>
    <w:rsid w:val="7F7FC565"/>
    <w:rsid w:val="7FDF50DE"/>
    <w:rsid w:val="7FEF0F01"/>
    <w:rsid w:val="7FFD3E91"/>
    <w:rsid w:val="851F1521"/>
    <w:rsid w:val="9EEF1B3B"/>
    <w:rsid w:val="AFFD31AC"/>
    <w:rsid w:val="B9F2353A"/>
    <w:rsid w:val="BFB95240"/>
    <w:rsid w:val="CBCC400E"/>
    <w:rsid w:val="CDF70DE0"/>
    <w:rsid w:val="CEF9C1D4"/>
    <w:rsid w:val="D7D74687"/>
    <w:rsid w:val="DBDF6C21"/>
    <w:rsid w:val="DDAFA2B1"/>
    <w:rsid w:val="DDFFC599"/>
    <w:rsid w:val="DF1E7277"/>
    <w:rsid w:val="DFF59B99"/>
    <w:rsid w:val="E9E9CBB5"/>
    <w:rsid w:val="E9FF1B84"/>
    <w:rsid w:val="EEEF50AA"/>
    <w:rsid w:val="EEFFFF37"/>
    <w:rsid w:val="F36F94F5"/>
    <w:rsid w:val="F3EF1A24"/>
    <w:rsid w:val="F57FE4B7"/>
    <w:rsid w:val="F7DBC4DA"/>
    <w:rsid w:val="F7F7CEED"/>
    <w:rsid w:val="FA1B1C9D"/>
    <w:rsid w:val="FB757DF8"/>
    <w:rsid w:val="FB7BC69B"/>
    <w:rsid w:val="FBBF258E"/>
    <w:rsid w:val="FCFFCD73"/>
    <w:rsid w:val="FD0B5E3C"/>
    <w:rsid w:val="FDFFEC15"/>
    <w:rsid w:val="FE4E35D7"/>
    <w:rsid w:val="FEA39FFD"/>
    <w:rsid w:val="FEFED36A"/>
    <w:rsid w:val="FF63A484"/>
    <w:rsid w:val="FF7FBC26"/>
    <w:rsid w:val="FF9E11ED"/>
    <w:rsid w:val="FFA13727"/>
    <w:rsid w:val="FFEBE5AD"/>
    <w:rsid w:val="FFF54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9"/>
    <w:pPr>
      <w:keepNext/>
      <w:keepLines/>
      <w:spacing w:before="260" w:after="260" w:line="413"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8400"/>
      </w:tabs>
      <w:autoSpaceDE w:val="0"/>
      <w:autoSpaceDN w:val="0"/>
      <w:adjustRightInd w:val="0"/>
      <w:spacing w:afterLines="50" w:line="240" w:lineRule="atLeast"/>
      <w:ind w:left="40" w:right="-91"/>
      <w:jc w:val="center"/>
    </w:pPr>
    <w:rPr>
      <w:rFonts w:ascii="仿宋_GB2312" w:hAnsi="Calibri" w:eastAsia="宋体"/>
      <w:b/>
      <w:bCs/>
      <w:sz w:val="21"/>
      <w:szCs w:val="44"/>
    </w:rPr>
  </w:style>
  <w:style w:type="paragraph" w:styleId="4">
    <w:name w:val="Balloon Text"/>
    <w:basedOn w:val="1"/>
    <w:link w:val="10"/>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批注框文本 Char"/>
    <w:link w:val="4"/>
    <w:qFormat/>
    <w:uiPriority w:val="0"/>
    <w:rPr>
      <w:rFonts w:eastAsia="仿宋_GB2312"/>
      <w:kern w:val="2"/>
      <w:sz w:val="18"/>
      <w:szCs w:val="18"/>
    </w:rPr>
  </w:style>
  <w:style w:type="paragraph" w:customStyle="1" w:styleId="11">
    <w:name w:val="_Style 10"/>
    <w:unhideWhenUsed/>
    <w:qFormat/>
    <w:uiPriority w:val="99"/>
    <w:rPr>
      <w:rFonts w:ascii="Times New Roman" w:hAnsi="Times New Roman" w:eastAsia="仿宋_GB2312" w:cs="Times New Roman"/>
      <w:kern w:val="2"/>
      <w:sz w:val="32"/>
      <w:szCs w:val="24"/>
      <w:lang w:val="en-US" w:eastAsia="zh-CN" w:bidi="ar-SA"/>
    </w:rPr>
  </w:style>
  <w:style w:type="character" w:customStyle="1" w:styleId="12">
    <w:name w:val="页脚 Char"/>
    <w:basedOn w:val="8"/>
    <w:link w:val="5"/>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桐庐县人民政府</Company>
  <Pages>14</Pages>
  <Words>5885</Words>
  <Characters>6230</Characters>
  <Lines>44</Lines>
  <Paragraphs>12</Paragraphs>
  <TotalTime>8</TotalTime>
  <ScaleCrop>false</ScaleCrop>
  <LinksUpToDate>false</LinksUpToDate>
  <CharactersWithSpaces>6230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2023-08-24T16:44:00Z</dcterms:created>
  <dc:creator>user</dc:creator>
  <cp:lastModifiedBy>李康</cp:lastModifiedBy>
  <cp:lastPrinted>2024-03-06T11:45:00Z</cp:lastPrinted>
  <dcterms:modified xsi:type="dcterms:W3CDTF">2025-04-28T01:35:10Z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2650927122704176A24A4B0CFA260487_13</vt:lpwstr>
  </property>
  <property fmtid="{D5CDD505-2E9C-101B-9397-08002B2CF9AE}" pid="4" name="KSOTemplateDocerSaveRecord">
    <vt:lpwstr>eyJoZGlkIjoiNGEyMGEyMmNkZDQ3YjIzNjU2Y2Q2NjJjNDcwN2ZiNjIiLCJ1c2VySWQiOiIxNjMwMjA1MTgwIn0=</vt:lpwstr>
  </property>
</Properties>
</file>