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opLinePunct/>
        <w:adjustRightInd w:val="0"/>
        <w:snapToGrid w:val="0"/>
        <w:spacing w:before="604" w:beforeLines="100" w:line="560" w:lineRule="exact"/>
        <w:jc w:val="center"/>
        <w:rPr>
          <w:rFonts w:hint="eastAsia" w:ascii="黑体" w:hAnsi="黑体" w:eastAsia="黑体" w:cs="黑体"/>
          <w:sz w:val="44"/>
          <w:szCs w:val="44"/>
        </w:rPr>
      </w:pPr>
      <w:r>
        <w:rPr>
          <w:rFonts w:hint="eastAsia" w:ascii="黑体" w:hAnsi="黑体" w:eastAsia="黑体" w:cs="黑体"/>
          <w:sz w:val="44"/>
          <w:szCs w:val="44"/>
        </w:rPr>
        <w:t>莲都区水域岸线空间保护利用管理办法</w:t>
      </w:r>
    </w:p>
    <w:p>
      <w:pPr>
        <w:snapToGrid w:val="0"/>
        <w:spacing w:before="302" w:beforeLines="50" w:line="360" w:lineRule="auto"/>
        <w:ind w:firstLine="632" w:firstLineChars="200"/>
        <w:rPr>
          <w:rFonts w:hint="eastAsia" w:ascii="仿宋" w:hAnsi="仿宋" w:eastAsia="仿宋"/>
          <w:sz w:val="32"/>
          <w:szCs w:val="32"/>
        </w:rPr>
      </w:pPr>
      <w:r>
        <w:rPr>
          <w:rFonts w:hint="eastAsia" w:ascii="仿宋" w:hAnsi="仿宋" w:eastAsia="仿宋"/>
          <w:sz w:val="32"/>
          <w:szCs w:val="32"/>
        </w:rPr>
        <w:t>第一条 为</w:t>
      </w:r>
      <w:r>
        <w:rPr>
          <w:rFonts w:ascii="仿宋" w:hAnsi="仿宋" w:eastAsia="仿宋"/>
          <w:sz w:val="32"/>
          <w:szCs w:val="32"/>
        </w:rPr>
        <w:t>推动</w:t>
      </w:r>
      <w:r>
        <w:rPr>
          <w:rFonts w:hint="eastAsia" w:ascii="仿宋" w:hAnsi="仿宋" w:eastAsia="仿宋"/>
          <w:sz w:val="32"/>
          <w:szCs w:val="32"/>
        </w:rPr>
        <w:t>水域岸线资源科学保护、合理利用、有效管理，丰富水域岸线空间公共服务功能，拓展</w:t>
      </w:r>
      <w:r>
        <w:rPr>
          <w:rFonts w:ascii="仿宋" w:hAnsi="仿宋" w:eastAsia="仿宋"/>
          <w:sz w:val="32"/>
          <w:szCs w:val="32"/>
        </w:rPr>
        <w:t>生态</w:t>
      </w:r>
      <w:r>
        <w:rPr>
          <w:rFonts w:hint="eastAsia" w:ascii="仿宋" w:hAnsi="仿宋" w:eastAsia="仿宋"/>
          <w:sz w:val="32"/>
          <w:szCs w:val="32"/>
        </w:rPr>
        <w:t>产品</w:t>
      </w:r>
      <w:r>
        <w:rPr>
          <w:rFonts w:ascii="仿宋" w:hAnsi="仿宋" w:eastAsia="仿宋"/>
          <w:sz w:val="32"/>
          <w:szCs w:val="32"/>
        </w:rPr>
        <w:t>价值</w:t>
      </w:r>
      <w:r>
        <w:rPr>
          <w:rFonts w:hint="eastAsia" w:ascii="仿宋" w:hAnsi="仿宋" w:eastAsia="仿宋"/>
          <w:sz w:val="32"/>
          <w:szCs w:val="32"/>
        </w:rPr>
        <w:t>实现路径</w:t>
      </w:r>
      <w:r>
        <w:rPr>
          <w:rFonts w:ascii="仿宋" w:hAnsi="仿宋" w:eastAsia="仿宋"/>
          <w:sz w:val="32"/>
          <w:szCs w:val="32"/>
        </w:rPr>
        <w:t>，</w:t>
      </w:r>
      <w:r>
        <w:rPr>
          <w:rFonts w:hint="eastAsia" w:ascii="仿宋" w:hAnsi="仿宋" w:eastAsia="仿宋"/>
          <w:sz w:val="32"/>
          <w:szCs w:val="32"/>
        </w:rPr>
        <w:t>发挥“水利+”综合效益，助力滨水产业富民惠民，根据《浙江省水域保护办法》《浙江省河道管理条例》《浙江省水利工程安全管理条例》等有关法律法规、规章制度，制定本办法。</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第二条 本办法所称水域岸线空间，是指全区河道、水库、山塘、其他水域、人工水道等水域及其管理范围。</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第三条 本办法适用于莲都区境内水域岸线空间保护与利用活动的管理。</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第四条 区水行政主管部门会同相关部门按照《浙江省水域保护办法》《浙江省河道管理条例》《莲都区国土空间规划》等要求，编制水域岸线保护与利用规划，以确保安全为底线，结合水域特点及亲水的便利程度，科学划定可利用水域岸线空间的范围。</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第五条 在不影响防洪和供水安全、生态安全、水利工程设施安全和功能正常发挥前提下，按照“水满人退、水退利用”的原则，科学有序设置亲水平台、游步道、栈道、挑台、休闲钓场等公共基础设施，适度引入水上运动、亲水休闲、滩地露营、滨水文化等水旅融合新业态。</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第六条</w:t>
      </w:r>
      <w:r>
        <w:rPr>
          <w:rFonts w:ascii="仿宋" w:hAnsi="仿宋" w:eastAsia="仿宋"/>
          <w:sz w:val="32"/>
          <w:szCs w:val="32"/>
        </w:rPr>
        <w:t xml:space="preserve"> 对国家所有的水域，</w:t>
      </w:r>
      <w:r>
        <w:rPr>
          <w:rFonts w:hint="eastAsia" w:ascii="仿宋" w:hAnsi="仿宋" w:eastAsia="仿宋"/>
          <w:sz w:val="32"/>
          <w:szCs w:val="32"/>
        </w:rPr>
        <w:t>由水行政主管部门对经营权进行统一管理，支持以流域、区域为单元出让经营权，开展集约化经营，鼓励各类社会资本参与，但</w:t>
      </w:r>
      <w:r>
        <w:rPr>
          <w:rFonts w:ascii="仿宋" w:hAnsi="仿宋" w:eastAsia="仿宋"/>
          <w:sz w:val="32"/>
          <w:szCs w:val="32"/>
        </w:rPr>
        <w:t>不得进行圈禁封闭。</w:t>
      </w:r>
    </w:p>
    <w:p>
      <w:pPr>
        <w:snapToGrid w:val="0"/>
        <w:spacing w:line="360" w:lineRule="auto"/>
        <w:ind w:firstLine="632" w:firstLineChars="200"/>
        <w:rPr>
          <w:rFonts w:hint="eastAsia" w:ascii="仿宋" w:hAnsi="仿宋" w:eastAsia="仿宋"/>
          <w:sz w:val="32"/>
          <w:szCs w:val="32"/>
        </w:rPr>
      </w:pPr>
      <w:r>
        <w:rPr>
          <w:rFonts w:ascii="仿宋" w:hAnsi="仿宋" w:eastAsia="仿宋"/>
          <w:sz w:val="32"/>
          <w:szCs w:val="32"/>
        </w:rPr>
        <w:t>对产权属于集体所有的水库、山塘等水域，在不违反相关法律法规的前提下，鼓励由村属集体经济组织，自行或委托具备经营条件的项目经营者开展承包经营，</w:t>
      </w:r>
      <w:r>
        <w:rPr>
          <w:rFonts w:hint="eastAsia" w:ascii="仿宋" w:hAnsi="仿宋" w:eastAsia="仿宋"/>
          <w:sz w:val="32"/>
          <w:szCs w:val="32"/>
        </w:rPr>
        <w:t>但</w:t>
      </w:r>
      <w:r>
        <w:rPr>
          <w:rFonts w:ascii="仿宋" w:hAnsi="仿宋" w:eastAsia="仿宋"/>
          <w:sz w:val="32"/>
          <w:szCs w:val="32"/>
        </w:rPr>
        <w:t>需经村民代表大会同意，向属地镇街和水行政主管部门进行备案</w:t>
      </w:r>
      <w:r>
        <w:rPr>
          <w:rFonts w:hint="eastAsia" w:ascii="仿宋" w:hAnsi="仿宋" w:eastAsia="仿宋"/>
          <w:sz w:val="32"/>
          <w:szCs w:val="32"/>
        </w:rPr>
        <w:t>。</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第七条 对水域岸线空间利用项目实行包容审慎审批管理（见附件1）。成立由区水利局牵头，发改、自规、建设、交通、农业、文广旅体、生态环境、林业等涉及部门组成的水域岸线空间利用项目联审委员会。具体审批流程如下：</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（1）项目经营主体应按本办法要求，提交项目申请表报送属地镇（街）初审同意后出具项目初审意见书。</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（2）在初审通过后，项目经营主体编制项目建设方案上报联审委员会进行审查，联合审查实行负面清单管理制度（见附件2），复核项目建设及运营的可行性。</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（3）区发改局根据联合审查意见予以立项。</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（4）项目立项后，办理项目涉河涉堤（水域岸线利用活动）、用地、林地、开工许可等手续，联审委员会根据各自职责推进项目的开工审批工作。</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（5）项目建设完成后，经营主体向区水利局提出验收申请。区水利局组织相关部门组成验收小组，对项目进行综合验收。</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（6）经营主体办理相关证照后方可</w:t>
      </w:r>
      <w:r>
        <w:rPr>
          <w:rFonts w:ascii="仿宋" w:hAnsi="仿宋" w:eastAsia="仿宋"/>
          <w:sz w:val="32"/>
          <w:szCs w:val="32"/>
        </w:rPr>
        <w:t>开展经营。经营过程中接受区级部门、属地镇街监管。</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第八条 应遵循“谁经营，谁负责”原则，</w:t>
      </w:r>
      <w:r>
        <w:rPr>
          <w:rFonts w:ascii="仿宋" w:hAnsi="仿宋" w:eastAsia="仿宋"/>
          <w:sz w:val="32"/>
          <w:szCs w:val="32"/>
        </w:rPr>
        <w:t>经营主体应当对其</w:t>
      </w:r>
      <w:r>
        <w:rPr>
          <w:rFonts w:hint="eastAsia" w:ascii="仿宋" w:hAnsi="仿宋" w:eastAsia="仿宋"/>
          <w:sz w:val="32"/>
          <w:szCs w:val="32"/>
        </w:rPr>
        <w:t>经营活动</w:t>
      </w:r>
      <w:r>
        <w:rPr>
          <w:rFonts w:ascii="仿宋" w:hAnsi="仿宋" w:eastAsia="仿宋"/>
          <w:sz w:val="32"/>
          <w:szCs w:val="32"/>
        </w:rPr>
        <w:t>进行风险监测和安全评估，</w:t>
      </w:r>
      <w:r>
        <w:rPr>
          <w:rFonts w:hint="eastAsia" w:ascii="仿宋" w:hAnsi="仿宋" w:eastAsia="仿宋"/>
          <w:sz w:val="32"/>
          <w:szCs w:val="32"/>
        </w:rPr>
        <w:t>依法履行安全风险提示义务，必要时应当采取暂停服务、调整活动内容等措施。</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第九条 水域岸线利用项目的行业主管部门和管理单位承担直接管理责任，建设、交通、农业、水利、文广旅体、生态环境、综合执法等部门应根据法律法规规定的相关职责，组织开展日常监督检查及执法活动。</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第十条 按照“保护者受益、使用者付费”的原则，落实经营主体水域岸线空间的有偿使用，建立生态保护奖补和收益反哺机制，促进水域岸线长效管护及共同富裕。</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第十一条 对违规占用水域岸线、破坏生态环境的行为，依法责令整改并追究责任；鼓励公众参与岸线保护监督，建立举报奖励制度，营造全社会共同保护的良好氛围。</w:t>
      </w:r>
    </w:p>
    <w:p>
      <w:pPr>
        <w:snapToGrid w:val="0"/>
        <w:spacing w:line="360" w:lineRule="auto"/>
        <w:ind w:firstLine="632" w:firstLineChars="200"/>
        <w:rPr>
          <w:rFonts w:hint="eastAsia" w:ascii="仿宋" w:hAnsi="仿宋" w:eastAsia="仿宋"/>
          <w:sz w:val="32"/>
          <w:szCs w:val="32"/>
        </w:rPr>
      </w:pPr>
      <w:r>
        <w:rPr>
          <w:rFonts w:hint="eastAsia" w:ascii="仿宋" w:hAnsi="仿宋" w:eastAsia="仿宋"/>
          <w:sz w:val="32"/>
          <w:szCs w:val="32"/>
        </w:rPr>
        <w:t>第十二条 本办法由莲都区人民政府负责解释。</w:t>
      </w:r>
    </w:p>
    <w:p>
      <w:pPr>
        <w:snapToGrid w:val="0"/>
        <w:spacing w:line="360" w:lineRule="auto"/>
        <w:ind w:firstLine="632" w:firstLineChars="200"/>
        <w:rPr>
          <w:rFonts w:hint="eastAsia" w:ascii="仿宋" w:hAnsi="仿宋" w:eastAsia="仿宋"/>
          <w:b/>
          <w:bCs/>
          <w:sz w:val="32"/>
          <w:szCs w:val="32"/>
        </w:rPr>
      </w:pPr>
      <w:r>
        <w:rPr>
          <w:rFonts w:hint="eastAsia" w:ascii="仿宋" w:hAnsi="仿宋" w:eastAsia="仿宋"/>
          <w:sz w:val="32"/>
          <w:szCs w:val="32"/>
        </w:rPr>
        <w:t xml:space="preserve">第十三条 </w:t>
      </w:r>
      <w:r>
        <w:rPr>
          <w:rFonts w:ascii="仿宋" w:hAnsi="仿宋" w:eastAsia="仿宋"/>
          <w:sz w:val="32"/>
          <w:szCs w:val="32"/>
        </w:rPr>
        <w:t>本办法自印发之日起施行。</w:t>
      </w:r>
    </w:p>
    <w:p>
      <w:pPr>
        <w:snapToGrid w:val="0"/>
        <w:spacing w:line="360" w:lineRule="auto"/>
        <w:rPr>
          <w:rFonts w:eastAsia="仿宋_GB2312"/>
          <w:sz w:val="32"/>
          <w:szCs w:val="32"/>
        </w:rPr>
        <w:sectPr>
          <w:footerReference r:id="rId3" w:type="default"/>
          <w:pgSz w:w="11906" w:h="16838"/>
          <w:pgMar w:top="2098" w:right="1474" w:bottom="1985" w:left="1588" w:header="851" w:footer="992" w:gutter="0"/>
          <w:pgNumType w:fmt="numberInDash"/>
          <w:cols w:space="720" w:num="1"/>
          <w:docGrid w:type="linesAndChars" w:linePitch="604" w:charSpace="-882"/>
        </w:sectPr>
      </w:pPr>
    </w:p>
    <w:p>
      <w:pPr>
        <w:topLinePunct/>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附件1  莲都区水域岸线空间利用项目准入清单</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5587"/>
        <w:gridCol w:w="2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785" w:type="dxa"/>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项目分类</w:t>
            </w:r>
          </w:p>
        </w:tc>
        <w:tc>
          <w:tcPr>
            <w:tcW w:w="5587" w:type="dxa"/>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项目清单</w:t>
            </w:r>
          </w:p>
        </w:tc>
        <w:tc>
          <w:tcPr>
            <w:tcW w:w="2187" w:type="dxa"/>
            <w:vAlign w:val="center"/>
          </w:tcPr>
          <w:p>
            <w:pPr>
              <w:adjustRightInd w:val="0"/>
              <w:snapToGrid w:val="0"/>
              <w:jc w:val="center"/>
              <w:rPr>
                <w:rFonts w:hint="eastAsia" w:ascii="仿宋" w:hAnsi="仿宋" w:eastAsia="仿宋" w:cs="仿宋"/>
                <w:b/>
                <w:bCs/>
                <w:sz w:val="28"/>
                <w:szCs w:val="28"/>
              </w:rPr>
            </w:pPr>
            <w:r>
              <w:rPr>
                <w:rFonts w:hint="eastAsia" w:ascii="仿宋" w:hAnsi="仿宋" w:eastAsia="仿宋" w:cs="仿宋"/>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4" w:hRule="atLeast"/>
          <w:jc w:val="center"/>
        </w:trPr>
        <w:tc>
          <w:tcPr>
            <w:tcW w:w="785"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亲水休闲</w:t>
            </w:r>
          </w:p>
        </w:tc>
        <w:tc>
          <w:tcPr>
            <w:tcW w:w="5587"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游憩绿道（健身步道、游步道、慢行道、骑行道路）、亲水平台（观景平台）、滨水广场（健身广场、滨岸小公园）、健身设施（公共体育设施）、休闲垂钓、亲水堰坝、河埠头、临时靠泊点等</w:t>
            </w:r>
          </w:p>
        </w:tc>
        <w:tc>
          <w:tcPr>
            <w:tcW w:w="2187"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含配套的公共卫生、便民商服、监控救生等设施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85"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水上运动</w:t>
            </w:r>
          </w:p>
        </w:tc>
        <w:tc>
          <w:tcPr>
            <w:tcW w:w="5587"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天然泳场、水上游乐（水上游船、水上乐园、水上漂流等）、水上运动训练中心、赛事中心、培训中心等</w:t>
            </w:r>
          </w:p>
        </w:tc>
        <w:tc>
          <w:tcPr>
            <w:tcW w:w="2187"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含配套的水上运动设施、小型船艇码头、水上运动码头、公共卫生、便民商服、监控救生等设施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85" w:type="dxa"/>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滩地露营</w:t>
            </w:r>
          </w:p>
        </w:tc>
        <w:tc>
          <w:tcPr>
            <w:tcW w:w="5587"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自驾车旅居车露营地、帐篷露营地、青少年露营地、其他创新方式露营地</w:t>
            </w:r>
          </w:p>
        </w:tc>
        <w:tc>
          <w:tcPr>
            <w:tcW w:w="2187"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含配套的公共卫生、便民商服、监控救生等设施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785" w:type="dxa"/>
            <w:shd w:val="clear" w:color="auto" w:fill="auto"/>
            <w:vAlign w:val="center"/>
          </w:tcPr>
          <w:p>
            <w:pPr>
              <w:adjustRightInd w:val="0"/>
              <w:snapToGrid w:val="0"/>
              <w:jc w:val="center"/>
              <w:rPr>
                <w:rFonts w:hint="eastAsia" w:ascii="仿宋" w:hAnsi="仿宋" w:eastAsia="仿宋" w:cs="仿宋"/>
                <w:sz w:val="28"/>
                <w:szCs w:val="28"/>
              </w:rPr>
            </w:pPr>
            <w:r>
              <w:rPr>
                <w:rFonts w:hint="eastAsia" w:ascii="仿宋" w:hAnsi="仿宋" w:eastAsia="仿宋" w:cs="仿宋"/>
                <w:sz w:val="28"/>
                <w:szCs w:val="28"/>
              </w:rPr>
              <w:t>滨水文化</w:t>
            </w:r>
          </w:p>
        </w:tc>
        <w:tc>
          <w:tcPr>
            <w:tcW w:w="5587" w:type="dxa"/>
            <w:shd w:val="clear" w:color="auto" w:fill="auto"/>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水文化、水利科普展示馆、水情教育中心、水利遗产、滨水文创（演绎剧场、文化街区、水工艺传承、摄影中心等）等</w:t>
            </w:r>
          </w:p>
        </w:tc>
        <w:tc>
          <w:tcPr>
            <w:tcW w:w="2187" w:type="dxa"/>
            <w:shd w:val="clear" w:color="auto" w:fill="auto"/>
            <w:vAlign w:val="center"/>
          </w:tcPr>
          <w:p>
            <w:pPr>
              <w:adjustRightInd w:val="0"/>
              <w:snapToGrid w:val="0"/>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785"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其他</w:t>
            </w:r>
          </w:p>
        </w:tc>
        <w:tc>
          <w:tcPr>
            <w:tcW w:w="5587"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船艇码头及俱乐部、水产业（涉水产业）综合体、邻水产业园区、康养度假中心等</w:t>
            </w:r>
          </w:p>
        </w:tc>
        <w:tc>
          <w:tcPr>
            <w:tcW w:w="2187" w:type="dxa"/>
            <w:vAlign w:val="center"/>
          </w:tcPr>
          <w:p>
            <w:pPr>
              <w:adjustRightInd w:val="0"/>
              <w:snapToGrid w:val="0"/>
              <w:rPr>
                <w:rFonts w:hint="eastAsia" w:ascii="仿宋" w:hAnsi="仿宋" w:eastAsia="仿宋" w:cs="仿宋"/>
                <w:sz w:val="28"/>
                <w:szCs w:val="28"/>
              </w:rPr>
            </w:pPr>
            <w:r>
              <w:rPr>
                <w:rFonts w:hint="eastAsia" w:ascii="仿宋" w:hAnsi="仿宋" w:eastAsia="仿宋" w:cs="仿宋"/>
                <w:sz w:val="28"/>
                <w:szCs w:val="28"/>
              </w:rPr>
              <w:t>含配套的栈桥码头、取水设施等</w:t>
            </w:r>
          </w:p>
        </w:tc>
      </w:tr>
    </w:tbl>
    <w:p>
      <w:pPr>
        <w:snapToGrid w:val="0"/>
        <w:spacing w:line="360" w:lineRule="auto"/>
        <w:ind w:firstLine="472" w:firstLineChars="200"/>
        <w:rPr>
          <w:rFonts w:hint="eastAsia" w:ascii="仿宋" w:hAnsi="仿宋" w:eastAsia="仿宋" w:cs="仿宋"/>
          <w:b/>
          <w:bCs/>
          <w:sz w:val="24"/>
        </w:rPr>
        <w:sectPr>
          <w:pgSz w:w="11906" w:h="16838"/>
          <w:pgMar w:top="1757" w:right="1474" w:bottom="1757" w:left="1588" w:header="851" w:footer="992" w:gutter="0"/>
          <w:pgNumType w:fmt="numberInDash"/>
          <w:cols w:space="720" w:num="1"/>
          <w:docGrid w:type="linesAndChars" w:linePitch="604" w:charSpace="-882"/>
        </w:sectPr>
      </w:pPr>
      <w:r>
        <w:rPr>
          <w:rFonts w:ascii="仿宋" w:hAnsi="仿宋" w:eastAsia="仿宋" w:cs="仿宋"/>
          <w:b/>
          <w:bCs/>
          <w:sz w:val="24"/>
        </w:rPr>
        <w:t>备注：项目</w:t>
      </w:r>
      <w:r>
        <w:rPr>
          <w:rFonts w:hint="eastAsia" w:ascii="仿宋" w:hAnsi="仿宋" w:eastAsia="仿宋" w:cs="仿宋"/>
          <w:b/>
          <w:bCs/>
          <w:sz w:val="24"/>
        </w:rPr>
        <w:t>准入</w:t>
      </w:r>
      <w:r>
        <w:rPr>
          <w:rFonts w:ascii="仿宋" w:hAnsi="仿宋" w:eastAsia="仿宋" w:cs="仿宋"/>
          <w:b/>
          <w:bCs/>
          <w:sz w:val="24"/>
        </w:rPr>
        <w:t>清单包括但不限于上述内容，具体以满足</w:t>
      </w:r>
      <w:r>
        <w:rPr>
          <w:rFonts w:hint="eastAsia" w:ascii="仿宋" w:hAnsi="仿宋" w:eastAsia="仿宋" w:cs="仿宋"/>
          <w:b/>
          <w:bCs/>
          <w:sz w:val="24"/>
        </w:rPr>
        <w:t>法律法规及相关政策文件</w:t>
      </w:r>
      <w:r>
        <w:rPr>
          <w:rFonts w:ascii="仿宋" w:hAnsi="仿宋" w:eastAsia="仿宋" w:cs="仿宋"/>
          <w:b/>
          <w:bCs/>
          <w:sz w:val="24"/>
        </w:rPr>
        <w:t>规定为准。</w:t>
      </w:r>
    </w:p>
    <w:p>
      <w:pPr>
        <w:topLinePunct/>
        <w:adjustRightInd w:val="0"/>
        <w:snapToGrid w:val="0"/>
        <w:spacing w:line="560" w:lineRule="exact"/>
        <w:jc w:val="center"/>
        <w:rPr>
          <w:rFonts w:hint="eastAsia" w:ascii="黑体" w:hAnsi="黑体" w:eastAsia="黑体" w:cs="黑体"/>
          <w:sz w:val="32"/>
          <w:szCs w:val="32"/>
        </w:rPr>
      </w:pPr>
      <w:r>
        <w:rPr>
          <w:rFonts w:hint="eastAsia" w:ascii="黑体" w:hAnsi="黑体" w:eastAsia="黑体" w:cs="黑体"/>
          <w:sz w:val="32"/>
          <w:szCs w:val="32"/>
        </w:rPr>
        <w:t>附件2  莲都区水域岸线空间利用负面清单</w:t>
      </w:r>
    </w:p>
    <w:tbl>
      <w:tblPr>
        <w:tblStyle w:val="11"/>
        <w:tblW w:w="0" w:type="auto"/>
        <w:tblInd w:w="0" w:type="dxa"/>
        <w:tblLayout w:type="fixed"/>
        <w:tblCellMar>
          <w:top w:w="0" w:type="dxa"/>
          <w:left w:w="108" w:type="dxa"/>
          <w:bottom w:w="0" w:type="dxa"/>
          <w:right w:w="108" w:type="dxa"/>
        </w:tblCellMar>
      </w:tblPr>
      <w:tblGrid>
        <w:gridCol w:w="1056"/>
        <w:gridCol w:w="8004"/>
      </w:tblGrid>
      <w:tr>
        <w:tblPrEx>
          <w:tblCellMar>
            <w:top w:w="0" w:type="dxa"/>
            <w:left w:w="108" w:type="dxa"/>
            <w:bottom w:w="0" w:type="dxa"/>
            <w:right w:w="108" w:type="dxa"/>
          </w:tblCellMar>
        </w:tblPrEx>
        <w:trPr>
          <w:trHeight w:val="584" w:hRule="atLeast"/>
          <w:tblHeader/>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仿宋" w:hAnsi="仿宋" w:eastAsia="仿宋" w:cs="仿宋"/>
                <w:b/>
                <w:bCs/>
                <w:color w:val="000000"/>
                <w:sz w:val="28"/>
                <w:szCs w:val="28"/>
              </w:rPr>
            </w:pPr>
            <w:r>
              <w:rPr>
                <w:rStyle w:val="15"/>
                <w:rFonts w:hint="eastAsia" w:ascii="仿宋" w:hAnsi="仿宋" w:eastAsia="仿宋" w:cs="仿宋"/>
                <w:b/>
                <w:bCs/>
                <w:lang w:bidi="ar"/>
              </w:rPr>
              <w:t>序号</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仿宋" w:hAnsi="仿宋" w:eastAsia="仿宋" w:cs="仿宋"/>
                <w:b/>
                <w:bCs/>
                <w:color w:val="000000"/>
                <w:sz w:val="28"/>
                <w:szCs w:val="28"/>
              </w:rPr>
            </w:pPr>
            <w:r>
              <w:rPr>
                <w:rStyle w:val="15"/>
                <w:rFonts w:hint="eastAsia" w:ascii="仿宋" w:hAnsi="仿宋" w:eastAsia="仿宋" w:cs="仿宋"/>
                <w:b/>
                <w:bCs/>
                <w:lang w:bidi="ar"/>
              </w:rPr>
              <w:t>负面情形</w:t>
            </w:r>
          </w:p>
        </w:tc>
      </w:tr>
      <w:tr>
        <w:tblPrEx>
          <w:tblCellMar>
            <w:top w:w="0" w:type="dxa"/>
            <w:left w:w="108" w:type="dxa"/>
            <w:bottom w:w="0" w:type="dxa"/>
            <w:right w:w="108" w:type="dxa"/>
          </w:tblCellMar>
        </w:tblPrEx>
        <w:trPr>
          <w:trHeight w:val="577" w:hRule="atLeast"/>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b/>
                <w:bCs/>
                <w:color w:val="000000"/>
                <w:sz w:val="28"/>
                <w:szCs w:val="28"/>
              </w:rPr>
            </w:pPr>
            <w:r>
              <w:rPr>
                <w:rStyle w:val="17"/>
                <w:rFonts w:hint="eastAsia" w:ascii="仿宋" w:hAnsi="仿宋" w:eastAsia="仿宋" w:cs="仿宋"/>
                <w:b/>
                <w:bCs/>
                <w:lang w:bidi="ar"/>
              </w:rPr>
              <w:t>一、影响行洪安全类</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（1）</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sz w:val="28"/>
                <w:szCs w:val="28"/>
              </w:rPr>
            </w:pPr>
            <w:r>
              <w:rPr>
                <w:rFonts w:hint="eastAsia" w:ascii="仿宋" w:hAnsi="仿宋" w:eastAsia="仿宋" w:cs="仿宋"/>
                <w:sz w:val="28"/>
                <w:szCs w:val="28"/>
              </w:rPr>
              <w:t>禁止在河湖管理范围内建设妨碍河道行洪的建筑物、构筑物。</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（2）</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sz w:val="28"/>
                <w:szCs w:val="28"/>
              </w:rPr>
            </w:pPr>
            <w:r>
              <w:rPr>
                <w:rFonts w:hint="eastAsia" w:ascii="仿宋" w:hAnsi="仿宋" w:eastAsia="仿宋" w:cs="仿宋"/>
                <w:sz w:val="28"/>
                <w:szCs w:val="28"/>
              </w:rPr>
              <w:t>禁止在河道管理范围内种植阻碍行洪的林木和高秆作物。</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（3）</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sz w:val="28"/>
                <w:szCs w:val="28"/>
              </w:rPr>
            </w:pPr>
            <w:r>
              <w:rPr>
                <w:rFonts w:hint="eastAsia" w:ascii="仿宋" w:hAnsi="仿宋" w:eastAsia="仿宋" w:cs="仿宋"/>
                <w:sz w:val="28"/>
                <w:szCs w:val="28"/>
              </w:rPr>
              <w:t>禁止开展影响河道行洪安全、降低河道行洪标准的相关活动。</w:t>
            </w:r>
          </w:p>
        </w:tc>
      </w:tr>
      <w:tr>
        <w:tblPrEx>
          <w:tblCellMar>
            <w:top w:w="0" w:type="dxa"/>
            <w:left w:w="108" w:type="dxa"/>
            <w:bottom w:w="0" w:type="dxa"/>
            <w:right w:w="108" w:type="dxa"/>
          </w:tblCellMar>
        </w:tblPrEx>
        <w:trPr>
          <w:trHeight w:val="577" w:hRule="atLeast"/>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sz w:val="28"/>
                <w:szCs w:val="28"/>
              </w:rPr>
            </w:pPr>
            <w:r>
              <w:rPr>
                <w:rStyle w:val="17"/>
                <w:rFonts w:hint="eastAsia" w:ascii="仿宋" w:hAnsi="仿宋" w:eastAsia="仿宋" w:cs="仿宋"/>
                <w:b/>
                <w:bCs/>
                <w:lang w:bidi="ar"/>
              </w:rPr>
              <w:t>二、影响水资源类</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4</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Fonts w:hint="eastAsia" w:ascii="仿宋" w:hAnsi="仿宋" w:eastAsia="仿宋" w:cs="仿宋"/>
                <w:sz w:val="28"/>
                <w:szCs w:val="28"/>
              </w:rPr>
              <w:t>禁止在水资源紧缺河湖出现高耗水造景情况</w:t>
            </w:r>
            <w:r>
              <w:rPr>
                <w:rStyle w:val="16"/>
                <w:rFonts w:hint="default" w:ascii="仿宋" w:hAnsi="仿宋" w:eastAsia="仿宋" w:cs="仿宋"/>
                <w:sz w:val="28"/>
                <w:szCs w:val="28"/>
                <w:lang w:bidi="ar"/>
              </w:rPr>
              <w:t>。</w:t>
            </w:r>
          </w:p>
        </w:tc>
      </w:tr>
      <w:tr>
        <w:tblPrEx>
          <w:tblCellMar>
            <w:top w:w="0" w:type="dxa"/>
            <w:left w:w="108" w:type="dxa"/>
            <w:bottom w:w="0" w:type="dxa"/>
            <w:right w:w="108" w:type="dxa"/>
          </w:tblCellMar>
        </w:tblPrEx>
        <w:trPr>
          <w:trHeight w:val="702"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5</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禁止在取用水总量已达到或超过控制指标的地级以上市申请新增取水的开发利用项目。</w:t>
            </w:r>
          </w:p>
        </w:tc>
      </w:tr>
      <w:tr>
        <w:tblPrEx>
          <w:tblCellMar>
            <w:top w:w="0" w:type="dxa"/>
            <w:left w:w="108" w:type="dxa"/>
            <w:bottom w:w="0" w:type="dxa"/>
            <w:right w:w="108" w:type="dxa"/>
          </w:tblCellMar>
        </w:tblPrEx>
        <w:trPr>
          <w:trHeight w:val="1500"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6</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不符合国家产业政策或列入国家产业结构调整指导目录中淘汰类的，产品不符合行业用水定额标准的，在地表水供水管网能够满足用水需要却通过自备取水设施取用地下水的，以及在地下水禁采、限采地区取用地下水的建设项目申请取用水。</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7</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禁止任何单位和个人未经许可自行取用地表水。</w:t>
            </w:r>
          </w:p>
        </w:tc>
      </w:tr>
      <w:tr>
        <w:tblPrEx>
          <w:tblCellMar>
            <w:top w:w="0" w:type="dxa"/>
            <w:left w:w="108" w:type="dxa"/>
            <w:bottom w:w="0" w:type="dxa"/>
            <w:right w:w="108" w:type="dxa"/>
          </w:tblCellMar>
        </w:tblPrEx>
        <w:trPr>
          <w:trHeight w:val="577" w:hRule="atLeast"/>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b/>
                <w:bCs/>
                <w:color w:val="000000"/>
                <w:sz w:val="28"/>
                <w:szCs w:val="28"/>
              </w:rPr>
            </w:pPr>
            <w:r>
              <w:rPr>
                <w:rStyle w:val="17"/>
                <w:rFonts w:hint="eastAsia" w:ascii="仿宋" w:hAnsi="仿宋" w:eastAsia="仿宋" w:cs="仿宋"/>
                <w:b/>
                <w:bCs/>
                <w:lang w:bidi="ar"/>
              </w:rPr>
              <w:t>三、破坏水生态环境类</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8</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禁止因河湖空间</w:t>
            </w:r>
            <w:r>
              <w:rPr>
                <w:rStyle w:val="16"/>
                <w:rFonts w:ascii="仿宋" w:hAnsi="仿宋" w:eastAsia="仿宋" w:cs="仿宋"/>
                <w:sz w:val="28"/>
                <w:szCs w:val="28"/>
                <w:lang w:bidi="ar"/>
              </w:rPr>
              <w:t>保护利用</w:t>
            </w:r>
            <w:r>
              <w:rPr>
                <w:rStyle w:val="16"/>
                <w:rFonts w:hint="default" w:ascii="仿宋" w:hAnsi="仿宋" w:eastAsia="仿宋" w:cs="仿宋"/>
                <w:sz w:val="28"/>
                <w:szCs w:val="28"/>
                <w:lang w:bidi="ar"/>
              </w:rPr>
              <w:t>建设及活动导致河湖水质下降。</w:t>
            </w:r>
          </w:p>
        </w:tc>
      </w:tr>
      <w:tr>
        <w:tblPrEx>
          <w:tblCellMar>
            <w:top w:w="0" w:type="dxa"/>
            <w:left w:w="108" w:type="dxa"/>
            <w:bottom w:w="0" w:type="dxa"/>
            <w:right w:w="108" w:type="dxa"/>
          </w:tblCellMar>
        </w:tblPrEx>
        <w:trPr>
          <w:trHeight w:val="1502"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9</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禁止在一级饮用水水源地保护区内新建、改建、扩建与供水设施和保护水源无关的建设项目及网箱养殖、投饵式养殖、旅游、游泳、垂钓</w:t>
            </w:r>
            <w:bookmarkStart w:id="1" w:name="_GoBack"/>
            <w:bookmarkEnd w:id="1"/>
            <w:r>
              <w:rPr>
                <w:rStyle w:val="16"/>
                <w:rFonts w:hint="default" w:ascii="仿宋" w:hAnsi="仿宋" w:eastAsia="仿宋" w:cs="仿宋"/>
                <w:sz w:val="28"/>
                <w:szCs w:val="28"/>
                <w:lang w:bidi="ar"/>
              </w:rPr>
              <w:t>及其他可能污染水源的活动；不得在二级饮用水水源地保护区内新建、改建、扩建排放污染物的建设项目，不得在饮用水水源准保护区内新建、扩建对水体污染严重的建设项目。</w:t>
            </w:r>
          </w:p>
        </w:tc>
      </w:tr>
      <w:tr>
        <w:tblPrEx>
          <w:tblCellMar>
            <w:top w:w="0" w:type="dxa"/>
            <w:left w:w="108" w:type="dxa"/>
            <w:bottom w:w="0" w:type="dxa"/>
            <w:right w:w="108" w:type="dxa"/>
          </w:tblCellMar>
        </w:tblPrEx>
        <w:trPr>
          <w:trHeight w:val="750"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10</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禁止实施破坏河流自然形态、侵占生物栖息地、破坏生物多样性等损害水生态的建设及相关活动。</w:t>
            </w:r>
          </w:p>
        </w:tc>
      </w:tr>
      <w:tr>
        <w:tblPrEx>
          <w:tblCellMar>
            <w:top w:w="0" w:type="dxa"/>
            <w:left w:w="108" w:type="dxa"/>
            <w:bottom w:w="0" w:type="dxa"/>
            <w:right w:w="108" w:type="dxa"/>
          </w:tblCellMar>
        </w:tblPrEx>
        <w:trPr>
          <w:trHeight w:val="577" w:hRule="atLeast"/>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b/>
                <w:bCs/>
                <w:color w:val="000000"/>
                <w:sz w:val="28"/>
                <w:szCs w:val="28"/>
              </w:rPr>
            </w:pPr>
            <w:r>
              <w:rPr>
                <w:rStyle w:val="17"/>
                <w:rFonts w:hint="eastAsia" w:ascii="仿宋" w:hAnsi="仿宋" w:eastAsia="仿宋" w:cs="仿宋"/>
                <w:b/>
                <w:bCs/>
                <w:lang w:bidi="ar"/>
              </w:rPr>
              <w:t>四、危及水工程安全类</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11</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禁止违法违规征占水利工程管理范围内的土地和水域。</w:t>
            </w:r>
          </w:p>
        </w:tc>
      </w:tr>
      <w:tr>
        <w:tblPrEx>
          <w:tblCellMar>
            <w:top w:w="0" w:type="dxa"/>
            <w:left w:w="108" w:type="dxa"/>
            <w:bottom w:w="0" w:type="dxa"/>
            <w:right w:w="108" w:type="dxa"/>
          </w:tblCellMar>
        </w:tblPrEx>
        <w:trPr>
          <w:trHeight w:val="750"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12</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禁止兴建影响水利工程安全与正常运行的建筑物和其他设施，禁止开展影响水利工程安全与正常运行的相关活动。</w:t>
            </w:r>
          </w:p>
        </w:tc>
      </w:tr>
      <w:tr>
        <w:tblPrEx>
          <w:tblCellMar>
            <w:top w:w="0" w:type="dxa"/>
            <w:left w:w="108" w:type="dxa"/>
            <w:bottom w:w="0" w:type="dxa"/>
            <w:right w:w="108" w:type="dxa"/>
          </w:tblCellMar>
        </w:tblPrEx>
        <w:trPr>
          <w:trHeight w:val="580"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（13）</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禁止影响水文、水质自动监测站正常运行的。</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14</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禁止导致水利工程设施出现重大安全隐患的任何建设及活动。</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15</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禁止破坏水文化遗存遗迹及水利遗产。</w:t>
            </w:r>
          </w:p>
        </w:tc>
      </w:tr>
      <w:tr>
        <w:tblPrEx>
          <w:tblCellMar>
            <w:top w:w="0" w:type="dxa"/>
            <w:left w:w="108" w:type="dxa"/>
            <w:bottom w:w="0" w:type="dxa"/>
            <w:right w:w="108" w:type="dxa"/>
          </w:tblCellMar>
        </w:tblPrEx>
        <w:trPr>
          <w:trHeight w:val="577" w:hRule="atLeast"/>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b/>
                <w:bCs/>
                <w:color w:val="000000"/>
                <w:sz w:val="28"/>
                <w:szCs w:val="28"/>
              </w:rPr>
            </w:pPr>
            <w:r>
              <w:rPr>
                <w:rStyle w:val="18"/>
                <w:rFonts w:hint="eastAsia" w:ascii="仿宋" w:hAnsi="仿宋" w:eastAsia="仿宋" w:cs="仿宋"/>
                <w:b/>
                <w:bCs/>
                <w:sz w:val="28"/>
                <w:szCs w:val="28"/>
                <w:lang w:bidi="ar"/>
              </w:rPr>
              <w:t>五、河湖水域</w:t>
            </w:r>
            <w:r>
              <w:rPr>
                <w:rStyle w:val="16"/>
                <w:rFonts w:hint="default" w:ascii="仿宋" w:hAnsi="仿宋" w:eastAsia="仿宋" w:cs="仿宋"/>
                <w:b/>
                <w:bCs/>
                <w:sz w:val="28"/>
                <w:szCs w:val="28"/>
                <w:lang w:bidi="ar"/>
              </w:rPr>
              <w:t>岸线保护</w:t>
            </w:r>
          </w:p>
        </w:tc>
      </w:tr>
      <w:tr>
        <w:tblPrEx>
          <w:tblCellMar>
            <w:top w:w="0" w:type="dxa"/>
            <w:left w:w="108" w:type="dxa"/>
            <w:bottom w:w="0" w:type="dxa"/>
            <w:right w:w="108" w:type="dxa"/>
          </w:tblCellMar>
        </w:tblPrEx>
        <w:trPr>
          <w:trHeight w:val="605"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16</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禁止围湖造地、非法围垦河道及缩窄河道，禁止</w:t>
            </w:r>
            <w:r>
              <w:rPr>
                <w:rFonts w:hint="eastAsia" w:ascii="仿宋" w:hAnsi="仿宋" w:eastAsia="仿宋" w:cs="仿宋"/>
                <w:sz w:val="28"/>
                <w:szCs w:val="28"/>
              </w:rPr>
              <w:t>违法违规</w:t>
            </w:r>
            <w:r>
              <w:rPr>
                <w:rFonts w:hint="eastAsia" w:ascii="仿宋" w:hAnsi="仿宋" w:eastAsia="仿宋" w:cs="仿宋"/>
                <w:color w:val="000000"/>
                <w:sz w:val="28"/>
                <w:szCs w:val="28"/>
              </w:rPr>
              <w:t>侵占耕地挖田造湖、挖湖造景。</w:t>
            </w:r>
          </w:p>
        </w:tc>
      </w:tr>
      <w:tr>
        <w:tblPrEx>
          <w:tblCellMar>
            <w:top w:w="0" w:type="dxa"/>
            <w:left w:w="108" w:type="dxa"/>
            <w:bottom w:w="0" w:type="dxa"/>
            <w:right w:w="108" w:type="dxa"/>
          </w:tblCellMar>
        </w:tblPrEx>
        <w:trPr>
          <w:trHeight w:val="465"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17</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 w:hAnsi="仿宋" w:eastAsia="仿宋" w:cs="仿宋"/>
                <w:color w:val="000000"/>
                <w:sz w:val="28"/>
                <w:szCs w:val="28"/>
                <w:lang w:bidi="ar"/>
              </w:rPr>
            </w:pPr>
            <w:r>
              <w:rPr>
                <w:rStyle w:val="16"/>
                <w:rFonts w:hint="default" w:ascii="仿宋" w:hAnsi="仿宋" w:eastAsia="仿宋" w:cs="仿宋"/>
                <w:sz w:val="28"/>
                <w:szCs w:val="28"/>
                <w:lang w:bidi="ar"/>
              </w:rPr>
              <w:t>禁止破坏耕地，禁止以开展</w:t>
            </w:r>
            <w:r>
              <w:rPr>
                <w:rStyle w:val="16"/>
                <w:rFonts w:ascii="仿宋" w:hAnsi="仿宋" w:eastAsia="仿宋" w:cs="仿宋"/>
                <w:sz w:val="28"/>
                <w:szCs w:val="28"/>
                <w:lang w:bidi="ar"/>
              </w:rPr>
              <w:t>岸线利用</w:t>
            </w:r>
            <w:r>
              <w:rPr>
                <w:rStyle w:val="16"/>
                <w:rFonts w:hint="default" w:ascii="仿宋" w:hAnsi="仿宋" w:eastAsia="仿宋" w:cs="仿宋"/>
                <w:sz w:val="28"/>
                <w:szCs w:val="28"/>
                <w:lang w:bidi="ar"/>
              </w:rPr>
              <w:t>项目名义违法违规占用耕地及永久基本农田。</w:t>
            </w:r>
          </w:p>
        </w:tc>
      </w:tr>
      <w:tr>
        <w:tblPrEx>
          <w:tblCellMar>
            <w:top w:w="0" w:type="dxa"/>
            <w:left w:w="108" w:type="dxa"/>
            <w:bottom w:w="0" w:type="dxa"/>
            <w:right w:w="108" w:type="dxa"/>
          </w:tblCellMar>
        </w:tblPrEx>
        <w:trPr>
          <w:trHeight w:val="805"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18</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 w:hAnsi="仿宋" w:eastAsia="仿宋" w:cs="仿宋"/>
                <w:color w:val="000000"/>
                <w:sz w:val="28"/>
                <w:szCs w:val="28"/>
              </w:rPr>
            </w:pPr>
            <w:r>
              <w:rPr>
                <w:rFonts w:hint="eastAsia" w:ascii="仿宋" w:hAnsi="仿宋" w:eastAsia="仿宋" w:cs="仿宋"/>
                <w:color w:val="000000"/>
                <w:sz w:val="28"/>
                <w:szCs w:val="28"/>
              </w:rPr>
              <w:t>禁止</w:t>
            </w:r>
            <w:r>
              <w:rPr>
                <w:rStyle w:val="16"/>
                <w:rFonts w:hint="default" w:ascii="仿宋" w:hAnsi="仿宋" w:eastAsia="仿宋" w:cs="仿宋"/>
                <w:sz w:val="28"/>
                <w:szCs w:val="28"/>
                <w:lang w:bidi="ar"/>
              </w:rPr>
              <w:t>以风雨廊桥、便民商服等名义在河湖管理范围内开发建设房屋及规模化的商业设施。</w:t>
            </w:r>
          </w:p>
        </w:tc>
      </w:tr>
      <w:tr>
        <w:tblPrEx>
          <w:tblCellMar>
            <w:top w:w="0" w:type="dxa"/>
            <w:left w:w="108" w:type="dxa"/>
            <w:bottom w:w="0" w:type="dxa"/>
            <w:right w:w="108" w:type="dxa"/>
          </w:tblCellMar>
        </w:tblPrEx>
        <w:trPr>
          <w:trHeight w:val="565"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rPr>
                <w:rFonts w:hint="eastAsia" w:ascii="仿宋" w:hAnsi="仿宋" w:eastAsia="仿宋" w:cs="仿宋"/>
                <w:color w:val="000000"/>
                <w:sz w:val="28"/>
                <w:szCs w:val="28"/>
              </w:rPr>
            </w:pPr>
            <w:r>
              <w:rPr>
                <w:rFonts w:hint="eastAsia" w:ascii="仿宋" w:hAnsi="仿宋" w:eastAsia="仿宋" w:cs="仿宋"/>
                <w:color w:val="000000"/>
                <w:sz w:val="28"/>
                <w:szCs w:val="28"/>
              </w:rPr>
              <w:t>（19）</w:t>
            </w:r>
          </w:p>
        </w:tc>
        <w:tc>
          <w:tcPr>
            <w:tcW w:w="8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 w:hAnsi="仿宋" w:eastAsia="仿宋" w:cs="仿宋"/>
                <w:color w:val="000000"/>
                <w:sz w:val="28"/>
                <w:szCs w:val="28"/>
                <w:lang w:bidi="ar"/>
              </w:rPr>
            </w:pPr>
            <w:r>
              <w:rPr>
                <w:rStyle w:val="16"/>
                <w:rFonts w:hint="default" w:ascii="仿宋" w:hAnsi="仿宋" w:eastAsia="仿宋" w:cs="仿宋"/>
                <w:sz w:val="28"/>
                <w:szCs w:val="28"/>
                <w:lang w:bidi="ar"/>
              </w:rPr>
              <w:t>禁止以</w:t>
            </w:r>
            <w:r>
              <w:rPr>
                <w:rStyle w:val="16"/>
                <w:rFonts w:ascii="仿宋" w:hAnsi="仿宋" w:eastAsia="仿宋" w:cs="仿宋"/>
                <w:sz w:val="28"/>
                <w:szCs w:val="28"/>
                <w:lang w:bidi="ar"/>
              </w:rPr>
              <w:t>岸线利用项目</w:t>
            </w:r>
            <w:r>
              <w:rPr>
                <w:rStyle w:val="16"/>
                <w:rFonts w:hint="default" w:ascii="仿宋" w:hAnsi="仿宋" w:eastAsia="仿宋" w:cs="仿宋"/>
                <w:sz w:val="28"/>
                <w:szCs w:val="28"/>
                <w:lang w:bidi="ar"/>
              </w:rPr>
              <w:t>之名大搞景观亮化工程等“政绩工程”“面子工程”。</w:t>
            </w:r>
          </w:p>
        </w:tc>
      </w:tr>
      <w:tr>
        <w:tblPrEx>
          <w:tblCellMar>
            <w:top w:w="0" w:type="dxa"/>
            <w:left w:w="108" w:type="dxa"/>
            <w:bottom w:w="0" w:type="dxa"/>
            <w:right w:w="108" w:type="dxa"/>
          </w:tblCellMar>
        </w:tblPrEx>
        <w:trPr>
          <w:trHeight w:val="577" w:hRule="atLeast"/>
        </w:trPr>
        <w:tc>
          <w:tcPr>
            <w:tcW w:w="9060" w:type="dxa"/>
            <w:gridSpan w:val="2"/>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b/>
                <w:bCs/>
                <w:color w:val="000000"/>
                <w:sz w:val="28"/>
                <w:szCs w:val="28"/>
              </w:rPr>
            </w:pPr>
            <w:r>
              <w:rPr>
                <w:rStyle w:val="18"/>
                <w:rFonts w:hint="eastAsia" w:ascii="仿宋" w:hAnsi="仿宋" w:eastAsia="仿宋" w:cs="仿宋"/>
                <w:b/>
                <w:bCs/>
                <w:sz w:val="28"/>
                <w:szCs w:val="28"/>
                <w:lang w:bidi="ar"/>
              </w:rPr>
              <w:t xml:space="preserve">六、运行管理 </w:t>
            </w:r>
          </w:p>
        </w:tc>
      </w:tr>
      <w:tr>
        <w:tblPrEx>
          <w:tblCellMar>
            <w:top w:w="0" w:type="dxa"/>
            <w:left w:w="108" w:type="dxa"/>
            <w:bottom w:w="0" w:type="dxa"/>
            <w:right w:w="108" w:type="dxa"/>
          </w:tblCellMar>
        </w:tblPrEx>
        <w:trPr>
          <w:trHeight w:val="750" w:hRule="atLeast"/>
        </w:trPr>
        <w:tc>
          <w:tcPr>
            <w:tcW w:w="105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20</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禁止随意排放污水，禁止随意倾倒、抛撒生活垃圾和餐厨垃圾；禁止堆放阻碍行洪或者影响堤防安全的物料，设置阻碍行洪的拦河渔具。</w:t>
            </w:r>
          </w:p>
        </w:tc>
      </w:tr>
      <w:tr>
        <w:tblPrEx>
          <w:tblCellMar>
            <w:top w:w="0" w:type="dxa"/>
            <w:left w:w="108" w:type="dxa"/>
            <w:bottom w:w="0" w:type="dxa"/>
            <w:right w:w="108" w:type="dxa"/>
          </w:tblCellMar>
        </w:tblPrEx>
        <w:trPr>
          <w:trHeight w:val="577"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21</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Style w:val="16"/>
                <w:rFonts w:hint="default" w:ascii="仿宋" w:hAnsi="仿宋" w:eastAsia="仿宋" w:cs="仿宋"/>
                <w:sz w:val="28"/>
                <w:szCs w:val="28"/>
                <w:lang w:bidi="ar"/>
              </w:rPr>
            </w:pPr>
            <w:r>
              <w:rPr>
                <w:rStyle w:val="16"/>
                <w:rFonts w:hint="default" w:ascii="仿宋" w:hAnsi="仿宋" w:eastAsia="仿宋" w:cs="仿宋"/>
                <w:sz w:val="28"/>
                <w:szCs w:val="28"/>
                <w:lang w:bidi="ar"/>
              </w:rPr>
              <w:t>禁止在未落实安全责任主体、未制定应急预案、安全设施未到位情况下开放运营。</w:t>
            </w:r>
          </w:p>
        </w:tc>
      </w:tr>
      <w:tr>
        <w:tblPrEx>
          <w:tblCellMar>
            <w:top w:w="0" w:type="dxa"/>
            <w:left w:w="108" w:type="dxa"/>
            <w:bottom w:w="0" w:type="dxa"/>
            <w:right w:w="108" w:type="dxa"/>
          </w:tblCellMar>
        </w:tblPrEx>
        <w:trPr>
          <w:trHeight w:val="603"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22</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不得擅自经营未经许可或超越许可范围经营的业务。</w:t>
            </w:r>
          </w:p>
        </w:tc>
      </w:tr>
      <w:tr>
        <w:tblPrEx>
          <w:tblCellMar>
            <w:top w:w="0" w:type="dxa"/>
            <w:left w:w="108" w:type="dxa"/>
            <w:bottom w:w="0" w:type="dxa"/>
            <w:right w:w="108" w:type="dxa"/>
          </w:tblCellMar>
        </w:tblPrEx>
        <w:trPr>
          <w:trHeight w:val="590" w:hRule="atLeast"/>
        </w:trPr>
        <w:tc>
          <w:tcPr>
            <w:tcW w:w="10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w:t>
            </w:r>
            <w:r>
              <w:rPr>
                <w:rStyle w:val="18"/>
                <w:rFonts w:hint="eastAsia" w:ascii="仿宋" w:hAnsi="仿宋" w:eastAsia="仿宋" w:cs="仿宋"/>
                <w:sz w:val="28"/>
                <w:szCs w:val="28"/>
                <w:lang w:bidi="ar"/>
              </w:rPr>
              <w:t>23</w:t>
            </w:r>
            <w:r>
              <w:rPr>
                <w:rStyle w:val="16"/>
                <w:rFonts w:hint="default" w:ascii="仿宋" w:hAnsi="仿宋" w:eastAsia="仿宋" w:cs="仿宋"/>
                <w:sz w:val="28"/>
                <w:szCs w:val="28"/>
                <w:lang w:bidi="ar"/>
              </w:rPr>
              <w:t>）</w:t>
            </w:r>
          </w:p>
        </w:tc>
        <w:tc>
          <w:tcPr>
            <w:tcW w:w="8004"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textAlignment w:val="center"/>
              <w:rPr>
                <w:rFonts w:hint="eastAsia" w:ascii="仿宋" w:hAnsi="仿宋" w:eastAsia="仿宋" w:cs="仿宋"/>
                <w:color w:val="000000"/>
                <w:sz w:val="28"/>
                <w:szCs w:val="28"/>
              </w:rPr>
            </w:pPr>
            <w:r>
              <w:rPr>
                <w:rStyle w:val="16"/>
                <w:rFonts w:hint="default" w:ascii="仿宋" w:hAnsi="仿宋" w:eastAsia="仿宋" w:cs="仿宋"/>
                <w:sz w:val="28"/>
                <w:szCs w:val="28"/>
                <w:lang w:bidi="ar"/>
              </w:rPr>
              <w:t>存在严重不良舆情且尚未得到妥善解决、列入全国失信执行</w:t>
            </w:r>
            <w:bookmarkStart w:id="0" w:name="OLE_LINK9"/>
            <w:r>
              <w:rPr>
                <w:rStyle w:val="16"/>
                <w:rFonts w:hint="default" w:ascii="仿宋" w:hAnsi="仿宋" w:eastAsia="仿宋" w:cs="仿宋"/>
                <w:sz w:val="28"/>
                <w:szCs w:val="28"/>
                <w:lang w:bidi="ar"/>
              </w:rPr>
              <w:t>人名单等</w:t>
            </w:r>
            <w:bookmarkEnd w:id="0"/>
            <w:r>
              <w:rPr>
                <w:rStyle w:val="16"/>
                <w:rFonts w:hint="default" w:ascii="仿宋" w:hAnsi="仿宋" w:eastAsia="仿宋" w:cs="仿宋"/>
                <w:sz w:val="28"/>
                <w:szCs w:val="28"/>
                <w:lang w:bidi="ar"/>
              </w:rPr>
              <w:t>情形的建设管理机构不得开展河湖空间</w:t>
            </w:r>
            <w:r>
              <w:rPr>
                <w:rStyle w:val="16"/>
                <w:rFonts w:ascii="仿宋" w:hAnsi="仿宋" w:eastAsia="仿宋" w:cs="仿宋"/>
                <w:sz w:val="28"/>
                <w:szCs w:val="28"/>
                <w:lang w:bidi="ar"/>
              </w:rPr>
              <w:t>利用</w:t>
            </w:r>
            <w:r>
              <w:rPr>
                <w:rStyle w:val="16"/>
                <w:rFonts w:hint="default" w:ascii="仿宋" w:hAnsi="仿宋" w:eastAsia="仿宋" w:cs="仿宋"/>
                <w:sz w:val="28"/>
                <w:szCs w:val="28"/>
                <w:lang w:bidi="ar"/>
              </w:rPr>
              <w:t>项目。</w:t>
            </w:r>
          </w:p>
        </w:tc>
      </w:tr>
    </w:tbl>
    <w:p>
      <w:pPr>
        <w:snapToGrid w:val="0"/>
        <w:spacing w:line="360" w:lineRule="auto"/>
        <w:ind w:firstLine="236" w:firstLineChars="100"/>
        <w:rPr>
          <w:rFonts w:hint="eastAsia" w:ascii="仿宋" w:hAnsi="仿宋" w:eastAsia="仿宋" w:cs="仿宋"/>
          <w:b/>
          <w:bCs/>
          <w:sz w:val="24"/>
        </w:rPr>
      </w:pPr>
      <w:r>
        <w:rPr>
          <w:rFonts w:hint="eastAsia" w:ascii="仿宋" w:hAnsi="仿宋" w:eastAsia="仿宋" w:cs="仿宋"/>
          <w:b/>
          <w:bCs/>
          <w:sz w:val="24"/>
        </w:rPr>
        <w:t>备注：水域岸线空间利用项目负面清单包括且不仅限于上述情形，具体以满足法律法规及相关政策文件规定为准。</w:t>
      </w:r>
    </w:p>
    <w:p>
      <w:pPr>
        <w:pStyle w:val="7"/>
        <w:numPr>
          <w:ilvl w:val="0"/>
          <w:numId w:val="0"/>
        </w:numPr>
        <w:rPr>
          <w:rFonts w:hint="eastAsia" w:ascii="仿宋" w:hAnsi="仿宋" w:eastAsia="仿宋" w:cs="仿宋"/>
          <w:b/>
          <w:bCs/>
          <w:sz w:val="24"/>
        </w:rPr>
        <w:sectPr>
          <w:pgSz w:w="11906" w:h="16838"/>
          <w:pgMar w:top="1757" w:right="1474" w:bottom="1757" w:left="1588" w:header="851" w:footer="992" w:gutter="0"/>
          <w:pgNumType w:fmt="numberInDash"/>
          <w:cols w:space="720" w:num="1"/>
          <w:docGrid w:type="linesAndChars" w:linePitch="604" w:charSpace="-882"/>
        </w:sectPr>
      </w:pPr>
    </w:p>
    <w:p>
      <w:pPr>
        <w:pStyle w:val="7"/>
        <w:numPr>
          <w:ilvl w:val="0"/>
          <w:numId w:val="0"/>
        </w:numPr>
        <w:jc w:val="center"/>
        <w:rPr>
          <w:rFonts w:hint="eastAsia" w:ascii="仿宋" w:hAnsi="仿宋" w:eastAsia="仿宋" w:cs="仿宋"/>
          <w:b/>
          <w:bCs/>
          <w:sz w:val="24"/>
        </w:rPr>
      </w:pPr>
      <w:r>
        <w:drawing>
          <wp:inline distT="0" distB="0" distL="114300" distR="114300">
            <wp:extent cx="7399655" cy="4919345"/>
            <wp:effectExtent l="0" t="0" r="10795" b="1460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7399655" cy="4919345"/>
                    </a:xfrm>
                    <a:prstGeom prst="rect">
                      <a:avLst/>
                    </a:prstGeom>
                    <a:noFill/>
                    <a:ln>
                      <a:noFill/>
                    </a:ln>
                  </pic:spPr>
                </pic:pic>
              </a:graphicData>
            </a:graphic>
          </wp:inline>
        </w:drawing>
      </w:r>
    </w:p>
    <w:p>
      <w:pPr>
        <w:pStyle w:val="7"/>
        <w:numPr>
          <w:ilvl w:val="0"/>
          <w:numId w:val="0"/>
        </w:numPr>
        <w:jc w:val="center"/>
        <w:rPr>
          <w:rFonts w:hint="eastAsia" w:ascii="黑体" w:hAnsi="黑体" w:eastAsia="黑体" w:cs="黑体"/>
          <w:sz w:val="32"/>
          <w:szCs w:val="32"/>
        </w:rPr>
      </w:pPr>
      <w:r>
        <w:rPr>
          <w:rFonts w:hint="eastAsia" w:ascii="黑体" w:hAnsi="黑体" w:eastAsia="黑体" w:cs="黑体"/>
          <w:sz w:val="32"/>
          <w:szCs w:val="32"/>
        </w:rPr>
        <w:t>水域岸线空间利用项目办理流程图</w:t>
      </w:r>
    </w:p>
    <w:p>
      <w:pPr>
        <w:pStyle w:val="7"/>
        <w:numPr>
          <w:ilvl w:val="0"/>
          <w:numId w:val="0"/>
        </w:numPr>
        <w:jc w:val="center"/>
        <w:rPr>
          <w:rFonts w:hint="eastAsia" w:ascii="黑体" w:hAnsi="黑体" w:eastAsia="黑体" w:cs="黑体"/>
          <w:sz w:val="32"/>
          <w:szCs w:val="32"/>
        </w:rPr>
        <w:sectPr>
          <w:pgSz w:w="16838" w:h="11906" w:orient="landscape"/>
          <w:pgMar w:top="1588" w:right="1757" w:bottom="1474" w:left="1757" w:header="851" w:footer="992" w:gutter="0"/>
          <w:pgNumType w:fmt="numberInDash"/>
          <w:cols w:space="720" w:num="1"/>
          <w:docGrid w:type="linesAndChars" w:linePitch="604" w:charSpace="-882"/>
        </w:sectPr>
      </w:pPr>
    </w:p>
    <w:p>
      <w:pPr>
        <w:topLinePunct/>
        <w:adjustRightInd w:val="0"/>
        <w:spacing w:line="360" w:lineRule="auto"/>
        <w:jc w:val="center"/>
        <w:outlineLvl w:val="0"/>
        <w:rPr>
          <w:rFonts w:hint="eastAsia" w:ascii="黑体" w:hAnsi="黑体" w:eastAsia="黑体" w:cs="黑体"/>
          <w:sz w:val="32"/>
          <w:szCs w:val="32"/>
        </w:rPr>
      </w:pPr>
      <w:r>
        <w:rPr>
          <w:rFonts w:hint="eastAsia" w:ascii="黑体" w:hAnsi="黑体" w:eastAsia="黑体" w:cs="黑体"/>
          <w:sz w:val="32"/>
          <w:szCs w:val="32"/>
        </w:rPr>
        <w:t>附件 莲都区水域岸线空间利用项目申请表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5"/>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163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7425" w:type="dxa"/>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trPr>
        <w:tc>
          <w:tcPr>
            <w:tcW w:w="163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申请主体</w:t>
            </w:r>
          </w:p>
        </w:tc>
        <w:tc>
          <w:tcPr>
            <w:tcW w:w="7425" w:type="dxa"/>
          </w:tcPr>
          <w:p>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1" w:hRule="atLeast"/>
        </w:trPr>
        <w:tc>
          <w:tcPr>
            <w:tcW w:w="163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项目位置</w:t>
            </w:r>
          </w:p>
        </w:tc>
        <w:tc>
          <w:tcPr>
            <w:tcW w:w="7425" w:type="dxa"/>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6" w:hRule="atLeast"/>
        </w:trPr>
        <w:tc>
          <w:tcPr>
            <w:tcW w:w="1635"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项目内容</w:t>
            </w:r>
          </w:p>
        </w:tc>
        <w:tc>
          <w:tcPr>
            <w:tcW w:w="7425" w:type="dxa"/>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（须同时提供项目建设（设计）方案、项目建设红线范围（矢量图）等）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5" w:type="dxa"/>
            <w:vAlign w:val="center"/>
          </w:tcPr>
          <w:p>
            <w:pPr>
              <w:snapToGrid w:val="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属地乡镇（街道）初审意见</w:t>
            </w:r>
          </w:p>
        </w:tc>
        <w:tc>
          <w:tcPr>
            <w:tcW w:w="7425" w:type="dxa"/>
          </w:tcPr>
          <w:p>
            <w:pPr>
              <w:pStyle w:val="2"/>
              <w:spacing w:after="0"/>
              <w:ind w:left="411"/>
              <w:rPr>
                <w:rFonts w:hint="eastAsia" w:ascii="仿宋_GB2312" w:hAnsi="仿宋_GB2312" w:eastAsia="仿宋_GB2312" w:cs="仿宋_GB2312"/>
                <w:sz w:val="28"/>
                <w:szCs w:val="28"/>
              </w:rPr>
            </w:pPr>
          </w:p>
          <w:p>
            <w:pPr>
              <w:pStyle w:val="2"/>
              <w:snapToGrid w:val="0"/>
              <w:spacing w:after="0" w:line="240" w:lineRule="auto"/>
              <w:ind w:left="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签字（分管领导）：                         （盖章）</w:t>
            </w:r>
          </w:p>
          <w:p>
            <w:pPr>
              <w:pStyle w:val="2"/>
              <w:snapToGrid w:val="0"/>
              <w:spacing w:after="0" w:line="240" w:lineRule="auto"/>
              <w:ind w:left="0" w:leftChars="0" w:firstLine="552"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年    月   日</w:t>
            </w:r>
          </w:p>
        </w:tc>
      </w:tr>
    </w:tbl>
    <w:p>
      <w:pPr>
        <w:pStyle w:val="7"/>
        <w:numPr>
          <w:ilvl w:val="0"/>
          <w:numId w:val="0"/>
        </w:numPr>
        <w:jc w:val="center"/>
        <w:rPr>
          <w:rFonts w:hint="eastAsia" w:ascii="黑体" w:hAnsi="黑体" w:eastAsia="黑体" w:cs="黑体"/>
          <w:sz w:val="32"/>
          <w:szCs w:val="32"/>
        </w:rPr>
      </w:pPr>
    </w:p>
    <w:sectPr>
      <w:pgSz w:w="11906" w:h="16838"/>
      <w:pgMar w:top="1757" w:right="1474" w:bottom="1757" w:left="1588" w:header="851" w:footer="992" w:gutter="0"/>
      <w:pgNumType w:fmt="numberInDash"/>
      <w:cols w:space="720" w:num="1"/>
      <w:docGrid w:type="linesAndChars" w:linePitch="604" w:charSpace="-8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等线 Light">
    <w:altName w:val="华文中宋"/>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1</w:t>
                          </w:r>
                          <w:r>
                            <w:rPr>
                              <w:rFonts w:hint="eastAsia"/>
                              <w:sz w:val="24"/>
                            </w:rPr>
                            <w:fldChar w:fldCharType="end"/>
                          </w:r>
                        </w:p>
                      </w:txbxContent>
                    </wps:txbx>
                    <wps:bodyPr vert="horz" wrap="none" lIns="0" tIns="0" rIns="0" bIns="0">
                      <a:spAutoFit/>
                    </wps:bodyPr>
                  </wps:wsp>
                </a:graphicData>
              </a:graphic>
            </wp:anchor>
          </w:drawing>
        </mc:Choice>
        <mc:Fallback>
          <w:pict>
            <v:shape id="文本框 3"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mXhjnK8BAABL&#10;AwAADgAAAAAAAAABACAAAAAeAQAAZHJzL2Uyb0RvYy54bWxQSwUGAAAAAAYABgBZAQAAPwUAAAAA&#10;">
              <v:fill on="f" focussize="0,0"/>
              <v:stroke on="f"/>
              <v:imagedata o:title=""/>
              <o:lock v:ext="edit" aspectratio="f"/>
              <v:textbox inset="0mm,0mm,0mm,0mm" style="mso-fit-shape-to-text:t;">
                <w:txbxContent>
                  <w:p>
                    <w:pPr>
                      <w:snapToGrid w:val="0"/>
                      <w:rPr>
                        <w:sz w:val="24"/>
                      </w:rPr>
                    </w:pPr>
                    <w:r>
                      <w:rPr>
                        <w:rFonts w:hint="eastAsia"/>
                        <w:sz w:val="24"/>
                      </w:rPr>
                      <w:fldChar w:fldCharType="begin"/>
                    </w:r>
                    <w:r>
                      <w:rPr>
                        <w:rFonts w:hint="eastAsia"/>
                        <w:sz w:val="24"/>
                      </w:rPr>
                      <w:instrText xml:space="preserve"> PAGE  \* MERGEFORMAT </w:instrText>
                    </w:r>
                    <w:r>
                      <w:rPr>
                        <w:rFonts w:hint="eastAsia"/>
                        <w:sz w:val="24"/>
                      </w:rPr>
                      <w:fldChar w:fldCharType="separate"/>
                    </w:r>
                    <w:r>
                      <w:rPr>
                        <w:sz w:val="24"/>
                      </w:rPr>
                      <w:t>1</w:t>
                    </w:r>
                    <w:r>
                      <w:rPr>
                        <w:rFonts w:hint="eastAsia"/>
                        <w:sz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8AC5DF"/>
    <w:multiLevelType w:val="singleLevel"/>
    <w:tmpl w:val="598AC5DF"/>
    <w:lvl w:ilvl="0" w:tentative="0">
      <w:start w:val="1"/>
      <w:numFmt w:val="bullet"/>
      <w:pStyle w:val="7"/>
      <w:lvlText w:val=""/>
      <w:lvlJc w:val="left"/>
      <w:pPr>
        <w:tabs>
          <w:tab w:val="left" w:pos="780"/>
        </w:tabs>
        <w:ind w:left="7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267DA0"/>
    <w:rsid w:val="000F0398"/>
    <w:rsid w:val="002220A7"/>
    <w:rsid w:val="00435F3D"/>
    <w:rsid w:val="0046191D"/>
    <w:rsid w:val="004D5CC0"/>
    <w:rsid w:val="00564013"/>
    <w:rsid w:val="005B4602"/>
    <w:rsid w:val="00763142"/>
    <w:rsid w:val="007B0D3B"/>
    <w:rsid w:val="008042D8"/>
    <w:rsid w:val="008E5BCB"/>
    <w:rsid w:val="00A95CE0"/>
    <w:rsid w:val="00C55652"/>
    <w:rsid w:val="00C93FC9"/>
    <w:rsid w:val="00CE1118"/>
    <w:rsid w:val="00F035F2"/>
    <w:rsid w:val="02277AFA"/>
    <w:rsid w:val="02552737"/>
    <w:rsid w:val="04D125E3"/>
    <w:rsid w:val="05D44712"/>
    <w:rsid w:val="05E73D80"/>
    <w:rsid w:val="0617156F"/>
    <w:rsid w:val="0708213D"/>
    <w:rsid w:val="08D94315"/>
    <w:rsid w:val="0C756C7F"/>
    <w:rsid w:val="0ED85268"/>
    <w:rsid w:val="18445664"/>
    <w:rsid w:val="1A0735A7"/>
    <w:rsid w:val="1B7F3CE8"/>
    <w:rsid w:val="1BC339F3"/>
    <w:rsid w:val="1CF245F9"/>
    <w:rsid w:val="1E5A62C4"/>
    <w:rsid w:val="1ED0597E"/>
    <w:rsid w:val="1FEA15B7"/>
    <w:rsid w:val="255015E3"/>
    <w:rsid w:val="25BC2712"/>
    <w:rsid w:val="269435DD"/>
    <w:rsid w:val="2739723C"/>
    <w:rsid w:val="28F1686C"/>
    <w:rsid w:val="2D5948EF"/>
    <w:rsid w:val="2DF7019E"/>
    <w:rsid w:val="2F286230"/>
    <w:rsid w:val="2FB336EB"/>
    <w:rsid w:val="302121BE"/>
    <w:rsid w:val="317B37E7"/>
    <w:rsid w:val="324D3E16"/>
    <w:rsid w:val="333F099A"/>
    <w:rsid w:val="381D7F37"/>
    <w:rsid w:val="3A24799C"/>
    <w:rsid w:val="3A8D195C"/>
    <w:rsid w:val="3EB1056E"/>
    <w:rsid w:val="40234C7C"/>
    <w:rsid w:val="40662CB8"/>
    <w:rsid w:val="409D2FD5"/>
    <w:rsid w:val="460131B2"/>
    <w:rsid w:val="46A33DD0"/>
    <w:rsid w:val="47537093"/>
    <w:rsid w:val="481A201C"/>
    <w:rsid w:val="48862B4D"/>
    <w:rsid w:val="4A150683"/>
    <w:rsid w:val="4E8F04FC"/>
    <w:rsid w:val="50A4624E"/>
    <w:rsid w:val="54267DA0"/>
    <w:rsid w:val="550F1949"/>
    <w:rsid w:val="551C475F"/>
    <w:rsid w:val="55EB230C"/>
    <w:rsid w:val="5B080942"/>
    <w:rsid w:val="5BCD59A4"/>
    <w:rsid w:val="5C7472E9"/>
    <w:rsid w:val="5C8A64E1"/>
    <w:rsid w:val="5F2E20B5"/>
    <w:rsid w:val="601E082E"/>
    <w:rsid w:val="60A51878"/>
    <w:rsid w:val="60BA360B"/>
    <w:rsid w:val="61200AAC"/>
    <w:rsid w:val="625E3EBC"/>
    <w:rsid w:val="62621EA9"/>
    <w:rsid w:val="65290C3F"/>
    <w:rsid w:val="6616309F"/>
    <w:rsid w:val="66F824FD"/>
    <w:rsid w:val="68EE2365"/>
    <w:rsid w:val="6A305414"/>
    <w:rsid w:val="6A682DD1"/>
    <w:rsid w:val="6CDE32C7"/>
    <w:rsid w:val="6D15495E"/>
    <w:rsid w:val="6E9F0D93"/>
    <w:rsid w:val="703B00F6"/>
    <w:rsid w:val="72A55C9E"/>
    <w:rsid w:val="73B34AEA"/>
    <w:rsid w:val="74CF1FEE"/>
    <w:rsid w:val="759D1ED4"/>
    <w:rsid w:val="7A280D5C"/>
    <w:rsid w:val="7C464371"/>
    <w:rsid w:val="7CA55A84"/>
    <w:rsid w:val="7EA41DFB"/>
    <w:rsid w:val="7FC23702"/>
    <w:rsid w:val="BAED7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4"/>
    <w:unhideWhenUsed/>
    <w:qFormat/>
    <w:uiPriority w:val="9"/>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annotation text"/>
    <w:basedOn w:val="1"/>
    <w:unhideWhenUsed/>
    <w:qFormat/>
    <w:uiPriority w:val="99"/>
    <w:pPr>
      <w:jc w:val="left"/>
    </w:pPr>
  </w:style>
  <w:style w:type="paragraph" w:styleId="5">
    <w:name w:val="Body Text"/>
    <w:basedOn w:val="1"/>
    <w:next w:val="6"/>
    <w:unhideWhenUsed/>
    <w:qFormat/>
    <w:uiPriority w:val="1"/>
    <w:pPr>
      <w:spacing w:before="236"/>
      <w:ind w:left="120"/>
    </w:pPr>
    <w:rPr>
      <w:rFonts w:hint="eastAsia" w:ascii="仿宋" w:hAnsi="仿宋" w:eastAsia="仿宋"/>
      <w:sz w:val="28"/>
    </w:rPr>
  </w:style>
  <w:style w:type="paragraph" w:styleId="6">
    <w:name w:val="Body Text First Indent"/>
    <w:basedOn w:val="5"/>
    <w:next w:val="1"/>
    <w:unhideWhenUsed/>
    <w:qFormat/>
    <w:uiPriority w:val="99"/>
    <w:pPr>
      <w:ind w:firstLine="420" w:firstLineChars="100"/>
    </w:pPr>
  </w:style>
  <w:style w:type="paragraph" w:styleId="7">
    <w:name w:val="List Bullet 2"/>
    <w:basedOn w:val="1"/>
    <w:unhideWhenUsed/>
    <w:qFormat/>
    <w:uiPriority w:val="99"/>
    <w:pPr>
      <w:numPr>
        <w:ilvl w:val="0"/>
        <w:numId w:val="1"/>
      </w:numPr>
    </w:p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kern w:val="0"/>
      <w:sz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标题 2 字符"/>
    <w:basedOn w:val="13"/>
    <w:link w:val="3"/>
    <w:qFormat/>
    <w:uiPriority w:val="0"/>
    <w:rPr>
      <w:rFonts w:ascii="等线 Light" w:hAnsi="等线 Light" w:eastAsia="等线 Light" w:cs="Times New Roman"/>
      <w:color w:val="2F5496"/>
      <w:kern w:val="2"/>
      <w:sz w:val="40"/>
      <w:szCs w:val="40"/>
    </w:rPr>
  </w:style>
  <w:style w:type="character" w:customStyle="1" w:styleId="15">
    <w:name w:val="font11"/>
    <w:basedOn w:val="13"/>
    <w:qFormat/>
    <w:uiPriority w:val="0"/>
    <w:rPr>
      <w:rFonts w:ascii="黑体" w:hAnsi="宋体" w:eastAsia="黑体" w:cs="黑体"/>
      <w:color w:val="000000"/>
      <w:sz w:val="28"/>
      <w:szCs w:val="28"/>
      <w:u w:val="none"/>
    </w:rPr>
  </w:style>
  <w:style w:type="character" w:customStyle="1" w:styleId="16">
    <w:name w:val="font31"/>
    <w:basedOn w:val="13"/>
    <w:qFormat/>
    <w:uiPriority w:val="0"/>
    <w:rPr>
      <w:rFonts w:hint="eastAsia" w:ascii="微软雅黑" w:hAnsi="微软雅黑" w:eastAsia="微软雅黑" w:cs="微软雅黑"/>
      <w:color w:val="000000"/>
      <w:sz w:val="24"/>
      <w:szCs w:val="24"/>
      <w:u w:val="none"/>
    </w:rPr>
  </w:style>
  <w:style w:type="character" w:customStyle="1" w:styleId="17">
    <w:name w:val="font21"/>
    <w:basedOn w:val="13"/>
    <w:qFormat/>
    <w:uiPriority w:val="0"/>
    <w:rPr>
      <w:rFonts w:ascii="微软雅黑" w:hAnsi="微软雅黑" w:eastAsia="微软雅黑" w:cs="微软雅黑"/>
      <w:color w:val="000000"/>
      <w:sz w:val="28"/>
      <w:szCs w:val="28"/>
      <w:u w:val="none"/>
    </w:rPr>
  </w:style>
  <w:style w:type="character" w:customStyle="1" w:styleId="18">
    <w:name w:val="font41"/>
    <w:basedOn w:val="13"/>
    <w:qFormat/>
    <w:uiPriority w:val="0"/>
    <w:rPr>
      <w:rFonts w:hint="default" w:ascii="Arial" w:hAnsi="Arial" w:cs="Arial"/>
      <w:color w:val="000000"/>
      <w:sz w:val="24"/>
      <w:szCs w:val="24"/>
      <w:u w:val="none"/>
    </w:rPr>
  </w:style>
  <w:style w:type="paragraph" w:customStyle="1" w:styleId="19">
    <w:name w:val="修订1"/>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3068</Words>
  <Characters>3082</Characters>
  <Lines>23</Lines>
  <Paragraphs>6</Paragraphs>
  <TotalTime>24</TotalTime>
  <ScaleCrop>false</ScaleCrop>
  <LinksUpToDate>false</LinksUpToDate>
  <CharactersWithSpaces>3133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2023-09-22T09:13:00Z</dcterms:created>
  <dc:creator>Lenovo</dc:creator>
  <cp:lastModifiedBy>莲都区水利局文书</cp:lastModifiedBy>
  <cp:lastPrinted>2025-03-11T10:38:00Z</cp:lastPrinted>
  <dcterms:modified xsi:type="dcterms:W3CDTF">2025-04-28T09:05:11Z</dcterms:modified>
  <dc:title> 余杭区水域空间开放共享指导意见</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E72EC22EF4BA4467AD9AE17448DD2E2B_13</vt:lpwstr>
  </property>
  <property fmtid="{D5CDD505-2E9C-101B-9397-08002B2CF9AE}" pid="4" name="KSOTemplateDocerSaveRecord">
    <vt:lpwstr>eyJoZGlkIjoiZTZiZDRiMWI1OTJlZTNlYzBlY2ExZjA0OWI0NGJkNjIiLCJ1c2VySWQiOiI0NjI1Mjc1MzkifQ==</vt:lpwstr>
  </property>
</Properties>
</file>