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cs="Times New Roman"/>
          <w:spacing w:val="-20"/>
          <w:sz w:val="44"/>
          <w:szCs w:val="44"/>
        </w:rPr>
      </w:pPr>
      <w:r>
        <w:rPr>
          <w:rFonts w:hint="eastAsia" w:ascii="Times New Roman" w:hAnsi="Times New Roman" w:cs="Times New Roman"/>
          <w:spacing w:val="-20"/>
          <w:sz w:val="44"/>
          <w:szCs w:val="44"/>
        </w:rPr>
        <w:t>《关于开展202</w:t>
      </w:r>
      <w:r>
        <w:rPr>
          <w:rFonts w:hint="eastAsia" w:cs="Times New Roman"/>
          <w:spacing w:val="-2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cs="Times New Roman"/>
          <w:spacing w:val="-20"/>
          <w:sz w:val="44"/>
          <w:szCs w:val="44"/>
        </w:rPr>
        <w:t>年度</w:t>
      </w:r>
      <w:r>
        <w:rPr>
          <w:rFonts w:hint="eastAsia" w:cs="Times New Roman"/>
          <w:spacing w:val="-20"/>
          <w:sz w:val="44"/>
          <w:szCs w:val="44"/>
          <w:lang w:val="en-US" w:eastAsia="zh-CN"/>
        </w:rPr>
        <w:t>地方性</w:t>
      </w:r>
      <w:r>
        <w:rPr>
          <w:rFonts w:hint="eastAsia" w:ascii="Times New Roman" w:hAnsi="Times New Roman" w:cs="Times New Roman"/>
          <w:spacing w:val="-20"/>
          <w:sz w:val="44"/>
          <w:szCs w:val="44"/>
        </w:rPr>
        <w:t>农业</w:t>
      </w:r>
      <w:r>
        <w:rPr>
          <w:rFonts w:hint="eastAsia" w:cs="Times New Roman"/>
          <w:spacing w:val="-20"/>
          <w:sz w:val="44"/>
          <w:szCs w:val="44"/>
          <w:lang w:val="en-US" w:eastAsia="zh-CN"/>
        </w:rPr>
        <w:t>政策</w:t>
      </w:r>
      <w:r>
        <w:rPr>
          <w:rFonts w:hint="eastAsia" w:ascii="Times New Roman" w:hAnsi="Times New Roman" w:cs="Times New Roman"/>
          <w:spacing w:val="-20"/>
          <w:sz w:val="44"/>
          <w:szCs w:val="44"/>
        </w:rPr>
        <w:t xml:space="preserve">保险工作的通知》的起草说明 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诸暨市农业农村局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p>
      <w:pPr>
        <w:snapToGrid w:val="0"/>
        <w:spacing w:line="560" w:lineRule="exact"/>
        <w:ind w:firstLine="480" w:firstLineChars="15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480" w:firstLineChars="15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现就发布《关于开展202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地方性</w:t>
      </w:r>
      <w:r>
        <w:rPr>
          <w:rFonts w:hint="eastAsia" w:ascii="仿宋_GB2312" w:eastAsia="仿宋_GB2312"/>
          <w:sz w:val="32"/>
          <w:szCs w:val="32"/>
        </w:rPr>
        <w:t>农业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</w:rPr>
        <w:t>保险工作的通知》说明如下：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一、起草目的</w:t>
      </w:r>
    </w:p>
    <w:p>
      <w:pPr>
        <w:snapToGrid w:val="0"/>
        <w:spacing w:line="520" w:lineRule="exact"/>
        <w:ind w:firstLine="640" w:firstLineChars="200"/>
        <w:textAlignment w:val="baseline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为完善农业产业保障体系，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通过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财政手段与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"https://baike.baidu.com/item/%E5%B8%82%E5%9C%BA%E6%9C%BA%E5%88%B6/2369848?fromModule=lemma_inlink"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市场机制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相对接，创新政府救灾方式，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进一步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提高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"https://baike.baidu.com/item/%E8%B4%A2%E6%94%BF%E8%B5%84%E9%87%91/10736264?fromModule=lemma_inlink"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财政资金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使用效益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使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"https://baike.baidu.com/item/%E5%86%9C%E4%B8%9A%E9%A3%8E%E9%99%A9/5805538?fromModule=lemma_inlink"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农业风险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得以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分散，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从而进一步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促进农民收入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"https://baike.baidu.com/item/%E5%8F%AF%E6%8C%81%E7%BB%AD%E5%A2%9E%E9%95%BF/10513012?fromModule=lemma_inlink"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可持续增长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二、主要内容和实施重点</w:t>
      </w:r>
    </w:p>
    <w:p>
      <w:pPr>
        <w:pStyle w:val="7"/>
        <w:spacing w:line="560" w:lineRule="exact"/>
        <w:ind w:left="0" w:leftChars="0"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按照“政府推动、市场运作、农户自愿”的原则，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明确</w:t>
      </w:r>
      <w:r>
        <w:rPr>
          <w:rFonts w:hint="eastAsia" w:ascii="仿宋_GB2312" w:hAnsi="宋体" w:eastAsia="仿宋_GB2312" w:cs="宋体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财政扶持导向，加快农业保险机制创新，推进政策性农业保险“提标、扩面、增品”，提高农业保险的深度和密度，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对照中央、省、绍兴指定品种及我市主导产业开展政策性保险</w:t>
      </w:r>
      <w:r>
        <w:rPr>
          <w:rFonts w:hint="eastAsia" w:ascii="仿宋_GB2312" w:hAnsi="黑体" w:eastAsia="仿宋_GB2312" w:cs="黑体"/>
          <w:sz w:val="32"/>
          <w:szCs w:val="32"/>
        </w:rPr>
        <w:t>提供政策依据。整个政策意见，共分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 w:cs="黑体"/>
          <w:sz w:val="32"/>
          <w:szCs w:val="32"/>
        </w:rPr>
        <w:t>个部分：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第一部分，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总体目标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主要明确2024年地方性农业政策性保险的种类，主要包括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《诸暨市高粱种植保险试点方案》、《诸暨市新型农业经营主体综合保险试点方案》、《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诸暨市香榧高温干旱气象指数保险试点方案》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诸暨市农机具综合保险试点方案》、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诸暨市香榧古树保险试点方案》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诸暨市水稻收获期间损失保险试点方案》等6个种类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第二部分，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具体细则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“工作目标”、“参保方案”两个方面，“工作目标”方面主要是开辟本品种保险的目的；“参保方案”主要是实施本保险品种的操作方法方法，主要涉及参保对象、保险金额、保险责任范围、投保流程、赔偿处理、责任追朔期及承保公司的确定等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三、起草经过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按照上级相关文件要求，由农业农村局牵头，联合财政局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eastAsia="仿宋_GB2312"/>
          <w:sz w:val="31"/>
        </w:rPr>
        <w:t>在</w:t>
      </w:r>
      <w:r>
        <w:rPr>
          <w:rFonts w:hint="eastAsia" w:eastAsia="仿宋_GB2312"/>
          <w:sz w:val="31"/>
          <w:lang w:val="en-US" w:eastAsia="zh-CN"/>
        </w:rPr>
        <w:t>召开由相关单位、镇乡、相关种养殖大户座谈会基础上以及参考</w:t>
      </w:r>
      <w:r>
        <w:rPr>
          <w:rFonts w:hint="eastAsia" w:eastAsia="仿宋_GB2312"/>
          <w:sz w:val="31"/>
        </w:rPr>
        <w:t>202</w:t>
      </w:r>
      <w:r>
        <w:rPr>
          <w:rFonts w:hint="eastAsia" w:eastAsia="仿宋_GB2312"/>
          <w:sz w:val="31"/>
          <w:lang w:val="en-US" w:eastAsia="zh-CN"/>
        </w:rPr>
        <w:t>3</w:t>
      </w:r>
      <w:r>
        <w:rPr>
          <w:rFonts w:hint="eastAsia" w:eastAsia="仿宋_GB2312"/>
          <w:sz w:val="31"/>
        </w:rPr>
        <w:t>年度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《关于开展202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地方性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农业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政策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保险工作的通知》</w:t>
      </w:r>
      <w:r>
        <w:rPr>
          <w:rFonts w:hint="eastAsia" w:eastAsia="仿宋_GB2312"/>
          <w:sz w:val="31"/>
        </w:rPr>
        <w:t>基础上修订而成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四、文件施行日期说明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本政策自发文之日起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日后起施行，各类奖补的执行期限至202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年12月31日。　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pStyle w:val="7"/>
        <w:ind w:left="840" w:hanging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N2MwNTgxNGRiZTRkNzM0ZGRkOWRhMzE5ZmViNmMifQ=="/>
  </w:docVars>
  <w:rsids>
    <w:rsidRoot w:val="73327835"/>
    <w:rsid w:val="00091BDA"/>
    <w:rsid w:val="003D3326"/>
    <w:rsid w:val="004053BB"/>
    <w:rsid w:val="006E3A5C"/>
    <w:rsid w:val="00785AEE"/>
    <w:rsid w:val="009B62D5"/>
    <w:rsid w:val="00AD7C0E"/>
    <w:rsid w:val="00BE3C93"/>
    <w:rsid w:val="00F07EFB"/>
    <w:rsid w:val="00F577F3"/>
    <w:rsid w:val="05D906A9"/>
    <w:rsid w:val="0F5E4507"/>
    <w:rsid w:val="44FC2154"/>
    <w:rsid w:val="733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简体"/>
      <w:kern w:val="44"/>
      <w:sz w:val="4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2022-05-31T06:23:00Z</dcterms:created>
  <dc:creator>豆豆</dc:creator>
  <cp:lastModifiedBy>南山樵</cp:lastModifiedBy>
  <dcterms:modified xsi:type="dcterms:W3CDTF">2024-04-03T01:07:32Z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2D202980F577457494E1FF1A91F7BBC0_13</vt:lpwstr>
  </property>
</Properties>
</file>