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景宁畲族自治县城市基础设施配套费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征收管理实施细则（征求意见稿）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为进一步规范</w:t>
      </w:r>
      <w:r>
        <w:rPr>
          <w:rFonts w:hint="eastAsia" w:ascii="仿宋_GB2312" w:hAnsi="仿宋_GB2312" w:eastAsia="仿宋_GB2312" w:cs="仿宋_GB2312"/>
          <w:color w:val="auto"/>
          <w:sz w:val="32"/>
          <w:szCs w:val="32"/>
          <w:lang w:eastAsia="zh-CN"/>
        </w:rPr>
        <w:t>景宁畲族自治县</w:t>
      </w:r>
      <w:r>
        <w:rPr>
          <w:rFonts w:hint="eastAsia" w:ascii="仿宋_GB2312" w:hAnsi="仿宋_GB2312" w:eastAsia="仿宋_GB2312" w:cs="仿宋_GB2312"/>
          <w:color w:val="auto"/>
          <w:sz w:val="32"/>
          <w:szCs w:val="32"/>
        </w:rPr>
        <w:t>城市基础设施配套费的征收管理,根据《浙江省政府非税收入管理条例》《财政部关于印发〈政府性基金管理暂行办法〉的通知》（财综〔2010〕80号）《浙江省财政厅 浙江省住房和城乡建设厅关于规范城市基础设施配套费有关事项的通知》（浙财综〔2024〕9号）等</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制定本细则。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w:t>
      </w:r>
      <w:r>
        <w:rPr>
          <w:rFonts w:hint="eastAsia" w:ascii="黑体" w:hAnsi="黑体" w:eastAsia="黑体" w:cs="黑体"/>
          <w:b w:val="0"/>
          <w:bCs w:val="0"/>
          <w:color w:val="auto"/>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城市基础设施配套费是政府有关部门征收用于城市基础设施建设的专项资金，属于政府性基金。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、征收对象</w:t>
      </w:r>
      <w:r>
        <w:rPr>
          <w:rFonts w:hint="eastAsia" w:ascii="黑体" w:hAnsi="黑体" w:eastAsia="黑体" w:cs="黑体"/>
          <w:b w:val="0"/>
          <w:bCs w:val="0"/>
          <w:color w:val="auto"/>
          <w:sz w:val="32"/>
          <w:szCs w:val="32"/>
          <w:lang w:eastAsia="zh-CN"/>
        </w:rPr>
        <w:t>及</w:t>
      </w:r>
      <w:r>
        <w:rPr>
          <w:rFonts w:hint="eastAsia" w:ascii="黑体" w:hAnsi="黑体" w:eastAsia="黑体" w:cs="黑体"/>
          <w:b w:val="0"/>
          <w:bCs w:val="0"/>
          <w:color w:val="auto"/>
          <w:sz w:val="32"/>
          <w:szCs w:val="32"/>
        </w:rPr>
        <w:t>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城市基础设施配套费征收对象为</w:t>
      </w:r>
      <w:r>
        <w:rPr>
          <w:rFonts w:hint="eastAsia" w:ascii="仿宋_GB2312" w:hAnsi="仿宋_GB2312" w:eastAsia="仿宋_GB2312" w:cs="仿宋_GB2312"/>
          <w:sz w:val="32"/>
          <w:szCs w:val="32"/>
          <w:highlight w:val="none"/>
          <w:lang w:eastAsia="zh-CN"/>
        </w:rPr>
        <w:t>我县</w:t>
      </w:r>
      <w:r>
        <w:rPr>
          <w:rFonts w:ascii="仿宋_GB2312" w:hAnsi="仿宋_GB2312" w:eastAsia="仿宋_GB2312" w:cs="仿宋_GB2312"/>
          <w:b w:val="0"/>
          <w:bCs w:val="0"/>
          <w:color w:val="000000"/>
          <w:sz w:val="31"/>
          <w:szCs w:val="31"/>
        </w:rPr>
        <w:t>城市规划区</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color w:val="auto"/>
          <w:sz w:val="32"/>
          <w:szCs w:val="32"/>
          <w:lang w:eastAsia="zh-CN"/>
        </w:rPr>
        <w:t>中心城区</w:t>
      </w:r>
      <w:r>
        <w:rPr>
          <w:rFonts w:hint="eastAsia" w:ascii="仿宋_GB2312" w:hAnsi="仿宋_GB2312" w:eastAsia="仿宋_GB2312" w:cs="仿宋_GB2312"/>
          <w:b w:val="0"/>
          <w:bCs w:val="0"/>
          <w:color w:val="auto"/>
          <w:sz w:val="32"/>
          <w:szCs w:val="32"/>
        </w:rPr>
        <w:t>规划区</w:t>
      </w:r>
      <w:r>
        <w:rPr>
          <w:rFonts w:hint="eastAsia" w:ascii="仿宋_GB2312" w:hAnsi="仿宋_GB2312" w:eastAsia="仿宋_GB2312" w:cs="仿宋_GB2312"/>
          <w:color w:val="auto"/>
          <w:sz w:val="32"/>
          <w:szCs w:val="32"/>
          <w:lang w:eastAsia="zh-CN"/>
        </w:rPr>
        <w:t>、丽景民族工业园）</w:t>
      </w:r>
      <w:r>
        <w:rPr>
          <w:rFonts w:hint="eastAsia" w:ascii="仿宋_GB2312" w:hAnsi="仿宋_GB2312" w:eastAsia="仿宋_GB2312" w:cs="仿宋_GB2312"/>
          <w:b w:val="0"/>
          <w:bCs w:val="0"/>
          <w:color w:val="auto"/>
          <w:sz w:val="32"/>
          <w:szCs w:val="32"/>
        </w:rPr>
        <w:t>范围内</w:t>
      </w:r>
      <w:r>
        <w:rPr>
          <w:rFonts w:hint="eastAsia" w:ascii="仿宋_GB2312" w:hAnsi="仿宋_GB2312" w:eastAsia="仿宋_GB2312" w:cs="仿宋_GB2312"/>
          <w:color w:val="auto"/>
          <w:sz w:val="32"/>
          <w:szCs w:val="32"/>
        </w:rPr>
        <w:t>取得土地使用权</w:t>
      </w:r>
      <w:r>
        <w:rPr>
          <w:rFonts w:hint="eastAsia" w:ascii="仿宋_GB2312" w:hAnsi="仿宋_GB2312" w:eastAsia="仿宋_GB2312" w:cs="仿宋_GB2312"/>
          <w:sz w:val="32"/>
          <w:szCs w:val="32"/>
          <w:highlight w:val="none"/>
        </w:rPr>
        <w:t>（包括出让方式及非出让方式）进行建设的各类工程项目的建设单位和个人。</w:t>
      </w:r>
      <w:r>
        <w:rPr>
          <w:rFonts w:hint="eastAsia" w:ascii="仿宋_GB2312" w:hAnsi="仿宋_GB2312" w:eastAsia="仿宋_GB2312" w:cs="仿宋_GB2312"/>
          <w:sz w:val="32"/>
          <w:szCs w:val="32"/>
          <w:shd w:val="clear" w:color="auto" w:fill="auto"/>
        </w:rPr>
        <w:t>农民个人依法利用村集体土地新建、翻建的自用住房</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不征收城市基础设施配套费。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三、征收</w:t>
      </w:r>
      <w:r>
        <w:rPr>
          <w:rFonts w:hint="eastAsia" w:ascii="黑体" w:hAnsi="黑体" w:eastAsia="黑体" w:cs="黑体"/>
          <w:b w:val="0"/>
          <w:bCs w:val="0"/>
          <w:color w:val="auto"/>
          <w:sz w:val="32"/>
          <w:szCs w:val="32"/>
          <w:lang w:eastAsia="zh-CN"/>
        </w:rPr>
        <w:t>部门</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征收方式</w:t>
      </w:r>
      <w:r>
        <w:rPr>
          <w:rFonts w:hint="eastAsia" w:ascii="黑体" w:hAnsi="黑体" w:eastAsia="黑体" w:cs="黑体"/>
          <w:b w:val="0"/>
          <w:bCs w:val="0"/>
          <w:color w:val="auto"/>
          <w:sz w:val="32"/>
          <w:szCs w:val="32"/>
        </w:rPr>
        <w:t>和征收</w:t>
      </w:r>
      <w:r>
        <w:rPr>
          <w:rFonts w:hint="eastAsia" w:ascii="黑体" w:hAnsi="黑体" w:eastAsia="黑体" w:cs="黑体"/>
          <w:b w:val="0"/>
          <w:bCs w:val="0"/>
          <w:color w:val="auto"/>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（一）征收部门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auto"/>
          <w:sz w:val="32"/>
          <w:szCs w:val="32"/>
        </w:rPr>
        <w:t>城市基础设施配套费由</w:t>
      </w:r>
      <w:r>
        <w:rPr>
          <w:rFonts w:hint="eastAsia" w:ascii="仿宋_GB2312" w:hAnsi="仿宋_GB2312" w:eastAsia="仿宋_GB2312" w:cs="仿宋_GB2312"/>
          <w:b w:val="0"/>
          <w:bCs w:val="0"/>
          <w:color w:val="auto"/>
          <w:sz w:val="32"/>
          <w:szCs w:val="32"/>
          <w:lang w:eastAsia="zh-CN"/>
        </w:rPr>
        <w:t>景宁畲族自治县</w:t>
      </w:r>
      <w:r>
        <w:rPr>
          <w:rFonts w:hint="eastAsia" w:ascii="仿宋_GB2312" w:hAnsi="仿宋_GB2312" w:eastAsia="仿宋_GB2312" w:cs="仿宋_GB2312"/>
          <w:color w:val="auto"/>
          <w:sz w:val="32"/>
          <w:szCs w:val="32"/>
        </w:rPr>
        <w:t>住房城乡建设</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负责具体征收工作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（二）征收方式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00"/>
          <w:lang w:eastAsia="zh-CN"/>
        </w:rPr>
      </w:pPr>
      <w:r>
        <w:rPr>
          <w:rFonts w:hint="eastAsia" w:ascii="仿宋_GB2312" w:hAnsi="仿宋_GB2312" w:eastAsia="仿宋_GB2312" w:cs="仿宋_GB2312"/>
          <w:color w:val="auto"/>
          <w:sz w:val="32"/>
          <w:szCs w:val="32"/>
        </w:rPr>
        <w:t>城市基础设施配套费计算方式为：城市基础设施配套费=建设项目地上建筑面积×收费标准+地下建筑面积（人防面积除外）×收费标准，建筑面积以《建设工程规划许可证》核定的建筑面积为准；扩建、改建、拆复建项目及旧城改造拆建项目按新增面积征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ascii="仿宋_GB2312" w:hAnsi="仿宋_GB2312" w:eastAsia="仿宋_GB2312" w:cs="仿宋_GB2312"/>
          <w:color w:val="000000"/>
          <w:sz w:val="32"/>
          <w:szCs w:val="32"/>
          <w:highlight w:val="none"/>
          <w:shd w:val="clear" w:color="auto" w:fill="FFFFFF"/>
        </w:rPr>
        <w:t>建设单位或个人应</w:t>
      </w:r>
      <w:r>
        <w:rPr>
          <w:rFonts w:hint="eastAsia" w:ascii="仿宋_GB2312" w:hAnsi="仿宋_GB2312" w:eastAsia="仿宋_GB2312" w:cs="仿宋_GB2312"/>
          <w:color w:val="000000"/>
          <w:sz w:val="32"/>
          <w:szCs w:val="32"/>
          <w:highlight w:val="none"/>
          <w:shd w:val="clear" w:color="auto" w:fill="FFFFFF"/>
        </w:rPr>
        <w:t>当在开工前</w:t>
      </w:r>
      <w:r>
        <w:rPr>
          <w:rFonts w:hint="eastAsia" w:ascii="仿宋_GB2312" w:hAnsi="仿宋_GB2312" w:eastAsia="仿宋_GB2312" w:cs="仿宋_GB2312"/>
          <w:color w:val="000000"/>
          <w:sz w:val="32"/>
          <w:szCs w:val="32"/>
          <w:highlight w:val="none"/>
          <w:shd w:val="clear" w:color="auto" w:fill="FFFFFF"/>
          <w:lang w:eastAsia="zh-CN"/>
        </w:rPr>
        <w:t>缴清</w:t>
      </w:r>
      <w:r>
        <w:rPr>
          <w:rFonts w:hint="eastAsia" w:ascii="仿宋_GB2312" w:hAnsi="仿宋_GB2312" w:eastAsia="仿宋_GB2312" w:cs="仿宋_GB2312"/>
          <w:color w:val="000000"/>
          <w:sz w:val="32"/>
          <w:szCs w:val="32"/>
          <w:highlight w:val="none"/>
          <w:shd w:val="clear" w:color="auto" w:fill="FFFFFF"/>
        </w:rPr>
        <w:t>城市基础设施配套费</w:t>
      </w:r>
      <w:r>
        <w:rPr>
          <w:rFonts w:hint="eastAsia" w:ascii="仿宋_GB2312" w:hAnsi="仿宋_GB2312" w:eastAsia="仿宋_GB2312" w:cs="仿宋_GB2312"/>
          <w:color w:val="auto"/>
          <w:sz w:val="32"/>
          <w:szCs w:val="32"/>
          <w:highlight w:val="none"/>
        </w:rPr>
        <w:t>；分</w:t>
      </w:r>
      <w:r>
        <w:rPr>
          <w:rFonts w:ascii="仿宋_GB2312" w:hAnsi="仿宋_GB2312" w:eastAsia="仿宋_GB2312" w:cs="仿宋_GB2312"/>
          <w:color w:val="auto"/>
          <w:sz w:val="32"/>
          <w:szCs w:val="32"/>
          <w:highlight w:val="none"/>
        </w:rPr>
        <w:t>期核发建设工程规划许可证</w:t>
      </w:r>
      <w:r>
        <w:rPr>
          <w:rFonts w:hint="eastAsia" w:ascii="仿宋_GB2312" w:hAnsi="仿宋_GB2312" w:eastAsia="仿宋_GB2312" w:cs="仿宋_GB2312"/>
          <w:color w:val="auto"/>
          <w:sz w:val="32"/>
          <w:szCs w:val="32"/>
          <w:highlight w:val="none"/>
        </w:rPr>
        <w:t>的可分期缴纳。建设工程竣工规划核实时，建筑面积发生变化、规划功能用途变更</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按现行标准予以补交或按原标准退还配套费差额。</w:t>
      </w:r>
      <w:r>
        <w:rPr>
          <w:rFonts w:ascii="仿宋_GB2312" w:hAnsi="仿宋_GB2312" w:eastAsia="仿宋_GB2312" w:cs="仿宋_GB2312"/>
          <w:b w:val="0"/>
          <w:color w:val="auto"/>
          <w:sz w:val="32"/>
          <w:szCs w:val="32"/>
          <w:highlight w:val="none"/>
          <w:shd w:val="clear" w:color="auto" w:fill="auto"/>
        </w:rPr>
        <w:t>需退还配套费差额的，</w:t>
      </w:r>
      <w:r>
        <w:rPr>
          <w:rFonts w:hint="eastAsia" w:ascii="仿宋_GB2312" w:hAnsi="仿宋_GB2312" w:eastAsia="仿宋_GB2312" w:cs="仿宋_GB2312"/>
          <w:color w:val="auto"/>
          <w:sz w:val="32"/>
          <w:szCs w:val="32"/>
          <w:highlight w:val="none"/>
          <w:shd w:val="clear" w:color="auto" w:fill="auto"/>
        </w:rPr>
        <w:t>由</w:t>
      </w:r>
      <w:r>
        <w:rPr>
          <w:rFonts w:hint="eastAsia" w:ascii="仿宋_GB2312" w:hAnsi="仿宋_GB2312" w:eastAsia="仿宋_GB2312" w:cs="仿宋_GB2312"/>
          <w:color w:val="auto"/>
          <w:sz w:val="32"/>
          <w:szCs w:val="32"/>
          <w:highlight w:val="none"/>
          <w:shd w:val="clear" w:color="auto" w:fill="auto"/>
          <w:lang w:eastAsia="zh-CN"/>
        </w:rPr>
        <w:t>征收</w:t>
      </w:r>
      <w:r>
        <w:rPr>
          <w:rFonts w:hint="eastAsia" w:ascii="仿宋_GB2312" w:hAnsi="仿宋_GB2312" w:eastAsia="仿宋_GB2312" w:cs="仿宋_GB2312"/>
          <w:color w:val="auto"/>
          <w:sz w:val="32"/>
          <w:szCs w:val="32"/>
          <w:highlight w:val="none"/>
          <w:shd w:val="clear" w:color="auto" w:fill="auto"/>
        </w:rPr>
        <w:t>部门</w:t>
      </w:r>
      <w:r>
        <w:rPr>
          <w:rFonts w:ascii="仿宋_GB2312" w:hAnsi="仿宋_GB2312" w:eastAsia="仿宋_GB2312" w:cs="仿宋_GB2312"/>
          <w:b w:val="0"/>
          <w:color w:val="auto"/>
          <w:sz w:val="32"/>
          <w:szCs w:val="32"/>
          <w:highlight w:val="none"/>
          <w:shd w:val="clear" w:color="auto" w:fill="auto"/>
        </w:rPr>
        <w:t>填写非税收入</w:t>
      </w:r>
      <w:r>
        <w:rPr>
          <w:rFonts w:hint="eastAsia" w:ascii="仿宋_GB2312" w:hAnsi="仿宋_GB2312" w:eastAsia="仿宋_GB2312" w:cs="仿宋_GB2312"/>
          <w:b w:val="0"/>
          <w:color w:val="auto"/>
          <w:sz w:val="32"/>
          <w:szCs w:val="32"/>
          <w:highlight w:val="none"/>
          <w:shd w:val="clear" w:color="auto" w:fill="auto"/>
          <w:lang w:eastAsia="zh-CN"/>
        </w:rPr>
        <w:t>（财政收入）退还审批表</w:t>
      </w:r>
      <w:r>
        <w:rPr>
          <w:rFonts w:ascii="仿宋_GB2312" w:hAnsi="仿宋_GB2312" w:eastAsia="仿宋_GB2312" w:cs="仿宋_GB2312"/>
          <w:b w:val="0"/>
          <w:color w:val="auto"/>
          <w:sz w:val="32"/>
          <w:szCs w:val="32"/>
          <w:highlight w:val="none"/>
          <w:shd w:val="clear" w:color="auto" w:fill="auto"/>
        </w:rPr>
        <w:t>，并提供相关材料，财政部门审核同意后，将差额退</w:t>
      </w:r>
      <w:r>
        <w:rPr>
          <w:rFonts w:hint="eastAsia" w:ascii="仿宋_GB2312" w:hAnsi="仿宋_GB2312" w:eastAsia="仿宋_GB2312" w:cs="仿宋_GB2312"/>
          <w:b w:val="0"/>
          <w:color w:val="auto"/>
          <w:sz w:val="32"/>
          <w:szCs w:val="32"/>
          <w:highlight w:val="none"/>
          <w:shd w:val="clear" w:color="auto" w:fill="auto"/>
          <w:lang w:eastAsia="zh-CN"/>
        </w:rPr>
        <w:t>至</w:t>
      </w:r>
      <w:r>
        <w:rPr>
          <w:rFonts w:hint="eastAsia" w:ascii="仿宋_GB2312" w:hAnsi="仿宋_GB2312" w:eastAsia="仿宋_GB2312" w:cs="仿宋_GB2312"/>
          <w:color w:val="auto"/>
          <w:sz w:val="32"/>
          <w:szCs w:val="32"/>
          <w:highlight w:val="none"/>
          <w:shd w:val="clear" w:color="auto" w:fill="auto"/>
          <w:lang w:eastAsia="zh-CN"/>
        </w:rPr>
        <w:t>征</w:t>
      </w:r>
      <w:r>
        <w:rPr>
          <w:rFonts w:hint="eastAsia" w:ascii="仿宋_GB2312" w:hAnsi="仿宋_GB2312" w:eastAsia="仿宋_GB2312" w:cs="仿宋_GB2312"/>
          <w:color w:val="auto"/>
          <w:sz w:val="32"/>
          <w:szCs w:val="32"/>
          <w:shd w:val="clear" w:color="auto" w:fill="auto"/>
          <w:lang w:eastAsia="zh-CN"/>
        </w:rPr>
        <w:t>收</w:t>
      </w:r>
      <w:r>
        <w:rPr>
          <w:rFonts w:hint="eastAsia" w:ascii="仿宋_GB2312" w:hAnsi="仿宋_GB2312" w:eastAsia="仿宋_GB2312" w:cs="仿宋_GB2312"/>
          <w:color w:val="auto"/>
          <w:sz w:val="32"/>
          <w:szCs w:val="32"/>
          <w:shd w:val="clear" w:color="auto" w:fill="auto"/>
        </w:rPr>
        <w:t>部门</w:t>
      </w:r>
      <w:r>
        <w:rPr>
          <w:rFonts w:hint="eastAsia" w:ascii="仿宋_GB2312" w:hAnsi="仿宋_GB2312" w:eastAsia="仿宋_GB2312" w:cs="仿宋_GB2312"/>
          <w:color w:val="auto"/>
          <w:sz w:val="32"/>
          <w:szCs w:val="32"/>
          <w:shd w:val="clear" w:color="auto" w:fill="auto"/>
          <w:lang w:eastAsia="zh-CN"/>
        </w:rPr>
        <w:t>，再退</w:t>
      </w:r>
      <w:r>
        <w:rPr>
          <w:rFonts w:ascii="仿宋_GB2312" w:hAnsi="仿宋_GB2312" w:eastAsia="仿宋_GB2312" w:cs="仿宋_GB2312"/>
          <w:b w:val="0"/>
          <w:color w:val="auto"/>
          <w:sz w:val="32"/>
          <w:szCs w:val="32"/>
          <w:shd w:val="clear" w:color="auto" w:fill="auto"/>
        </w:rPr>
        <w:t>还建设单位和个人。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lang w:eastAsia="zh-CN"/>
        </w:rPr>
        <w:t>（三）征收标准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（1）住宅，按建筑面积每平方米30元征收；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（2）非住宅，按建筑面积每平方米80元征收。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非单一用途项目，地上建筑物明确作为住宅部分的按住宅标准征收，其他部分均按非住宅标准征收；地下建筑物明确作为商业等经营性用途部分的按非住宅标准征收，其他部分均按住宅标准征收。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、减免</w:t>
      </w:r>
      <w:r>
        <w:rPr>
          <w:rFonts w:hint="eastAsia" w:ascii="黑体" w:hAnsi="黑体" w:eastAsia="黑体" w:cs="黑体"/>
          <w:b w:val="0"/>
          <w:bCs w:val="0"/>
          <w:color w:val="auto"/>
          <w:sz w:val="32"/>
          <w:szCs w:val="32"/>
          <w:lang w:eastAsia="zh-CN"/>
        </w:rPr>
        <w:t>政策和</w:t>
      </w:r>
      <w:r>
        <w:rPr>
          <w:rFonts w:hint="eastAsia" w:ascii="黑体" w:hAnsi="黑体" w:eastAsia="黑体" w:cs="黑体"/>
          <w:b w:val="0"/>
          <w:bCs w:val="0"/>
          <w:color w:val="auto"/>
          <w:sz w:val="32"/>
          <w:szCs w:val="32"/>
        </w:rPr>
        <w:t>程序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城市基础设施配套费的减免权限按照政府性基金有关规定执行。</w:t>
      </w:r>
      <w:r>
        <w:rPr>
          <w:rFonts w:hint="eastAsia" w:ascii="仿宋_GB2312" w:hAnsi="仿宋_GB2312" w:eastAsia="仿宋_GB2312" w:cs="仿宋_GB2312"/>
          <w:color w:val="auto"/>
          <w:sz w:val="32"/>
          <w:szCs w:val="32"/>
        </w:rPr>
        <w:t>国家制定的城市基础设施配套费减免政策</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，各部门要逐项落实到位，明确免缴口径、认定方法、减免办理程序，不得以任何借口拒绝和变更执行。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171A1D"/>
          <w:spacing w:val="0"/>
          <w:sz w:val="32"/>
          <w:szCs w:val="32"/>
          <w:highlight w:val="none"/>
          <w:shd w:val="clear" w:color="auto" w:fill="FFFFFF"/>
        </w:rPr>
        <w:t>符合国家规定的减免条件</w:t>
      </w:r>
      <w:r>
        <w:rPr>
          <w:rFonts w:hint="eastAsia" w:ascii="仿宋_GB2312" w:hAnsi="仿宋_GB2312" w:eastAsia="仿宋_GB2312" w:cs="仿宋_GB2312"/>
          <w:i w:val="0"/>
          <w:caps w:val="0"/>
          <w:color w:val="171A1D"/>
          <w:spacing w:val="0"/>
          <w:sz w:val="32"/>
          <w:szCs w:val="32"/>
          <w:highlight w:val="none"/>
          <w:shd w:val="clear" w:color="auto" w:fill="FFFFFF"/>
          <w:lang w:eastAsia="zh-CN"/>
        </w:rPr>
        <w:t>的</w:t>
      </w:r>
      <w:r>
        <w:rPr>
          <w:rFonts w:hint="eastAsia" w:ascii="仿宋_GB2312" w:hAnsi="仿宋_GB2312" w:eastAsia="仿宋_GB2312" w:cs="仿宋_GB2312"/>
          <w:i w:val="0"/>
          <w:caps w:val="0"/>
          <w:color w:val="171A1D"/>
          <w:spacing w:val="0"/>
          <w:sz w:val="32"/>
          <w:szCs w:val="32"/>
          <w:highlight w:val="none"/>
          <w:shd w:val="clear" w:color="auto" w:fill="FFFFFF"/>
        </w:rPr>
        <w:t>,由项目建设单位</w:t>
      </w:r>
      <w:r>
        <w:rPr>
          <w:rFonts w:hint="eastAsia" w:ascii="仿宋_GB2312" w:hAnsi="仿宋_GB2312" w:eastAsia="仿宋_GB2312" w:cs="仿宋_GB2312"/>
          <w:i w:val="0"/>
          <w:caps w:val="0"/>
          <w:color w:val="171A1D"/>
          <w:spacing w:val="0"/>
          <w:sz w:val="32"/>
          <w:szCs w:val="32"/>
          <w:highlight w:val="none"/>
          <w:shd w:val="clear" w:color="auto" w:fill="FFFFFF"/>
          <w:lang w:eastAsia="zh-CN"/>
        </w:rPr>
        <w:t>或</w:t>
      </w:r>
      <w:r>
        <w:rPr>
          <w:rFonts w:hint="eastAsia" w:ascii="仿宋_GB2312" w:hAnsi="仿宋_GB2312" w:eastAsia="仿宋_GB2312" w:cs="仿宋_GB2312"/>
          <w:i w:val="0"/>
          <w:caps w:val="0"/>
          <w:color w:val="171A1D"/>
          <w:spacing w:val="0"/>
          <w:sz w:val="32"/>
          <w:szCs w:val="32"/>
          <w:highlight w:val="none"/>
          <w:shd w:val="clear" w:color="auto" w:fill="FFFFFF"/>
        </w:rPr>
        <w:t>个人向征收部门提出，并提供相关佐证材料，征收部门审核后，认为符合减免政策的直接予以减免；认为需相关行业主管部门提供减免认定或信息的，由项目建设单位</w:t>
      </w:r>
      <w:r>
        <w:rPr>
          <w:rFonts w:hint="eastAsia" w:ascii="仿宋_GB2312" w:hAnsi="仿宋_GB2312" w:eastAsia="仿宋_GB2312" w:cs="仿宋_GB2312"/>
          <w:i w:val="0"/>
          <w:caps w:val="0"/>
          <w:color w:val="171A1D"/>
          <w:spacing w:val="0"/>
          <w:sz w:val="32"/>
          <w:szCs w:val="32"/>
          <w:highlight w:val="none"/>
          <w:shd w:val="clear" w:color="auto" w:fill="FFFFFF"/>
          <w:lang w:eastAsia="zh-CN"/>
        </w:rPr>
        <w:t>或</w:t>
      </w:r>
      <w:r>
        <w:rPr>
          <w:rFonts w:hint="eastAsia" w:ascii="仿宋_GB2312" w:hAnsi="仿宋_GB2312" w:eastAsia="仿宋_GB2312" w:cs="仿宋_GB2312"/>
          <w:i w:val="0"/>
          <w:caps w:val="0"/>
          <w:color w:val="171A1D"/>
          <w:spacing w:val="0"/>
          <w:sz w:val="32"/>
          <w:szCs w:val="32"/>
          <w:highlight w:val="none"/>
          <w:shd w:val="clear" w:color="auto" w:fill="FFFFFF"/>
        </w:rPr>
        <w:t>个人填报《城市基础设施配套费减免申请表》(附件</w:t>
      </w:r>
      <w:r>
        <w:rPr>
          <w:rFonts w:hint="eastAsia" w:ascii="仿宋_GB2312" w:hAnsi="仿宋_GB2312" w:eastAsia="仿宋_GB2312" w:cs="仿宋_GB2312"/>
          <w:i w:val="0"/>
          <w:caps w:val="0"/>
          <w:color w:val="171A1D"/>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171A1D"/>
          <w:spacing w:val="0"/>
          <w:sz w:val="32"/>
          <w:szCs w:val="32"/>
          <w:highlight w:val="none"/>
          <w:shd w:val="clear" w:color="auto" w:fill="FFFFFF"/>
        </w:rPr>
        <w:t>)，相关部门应积极协同配合，确保优惠政策落实到位。经批准执行城市基础设施配套费减免政策的建设项目,改变原批准用途的,按现行标准补缴城市基础设施配套费。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预算</w:t>
      </w:r>
      <w:r>
        <w:rPr>
          <w:rFonts w:hint="eastAsia" w:ascii="黑体" w:hAnsi="黑体" w:eastAsia="黑体" w:cs="黑体"/>
          <w:b w:val="0"/>
          <w:bCs w:val="0"/>
          <w:color w:val="auto"/>
          <w:sz w:val="32"/>
          <w:szCs w:val="32"/>
        </w:rPr>
        <w:t>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配套费要严格按照“收支两条线”纳入政府性基金预算管理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实行专</w:t>
      </w:r>
      <w:r>
        <w:rPr>
          <w:rFonts w:hint="eastAsia" w:ascii="仿宋_GB2312" w:hAnsi="仿宋_GB2312" w:eastAsia="仿宋_GB2312" w:cs="仿宋_GB2312"/>
          <w:color w:val="auto"/>
          <w:sz w:val="32"/>
          <w:szCs w:val="32"/>
          <w:highlight w:val="none"/>
        </w:rPr>
        <w:t>款专用。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、票据</w:t>
      </w:r>
      <w:r>
        <w:rPr>
          <w:rFonts w:hint="eastAsia" w:ascii="黑体" w:hAnsi="黑体" w:eastAsia="黑体" w:cs="黑体"/>
          <w:b w:val="0"/>
          <w:bCs w:val="0"/>
          <w:color w:val="auto"/>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征收部门在征收</w:t>
      </w: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配套费时，应当按照规定开具</w:t>
      </w:r>
      <w:r>
        <w:rPr>
          <w:rFonts w:hint="eastAsia" w:ascii="仿宋_GB2312" w:hAnsi="仿宋_GB2312" w:eastAsia="仿宋_GB2312" w:cs="仿宋_GB2312"/>
          <w:color w:val="auto"/>
          <w:sz w:val="32"/>
          <w:szCs w:val="32"/>
          <w:lang w:eastAsia="zh-CN"/>
        </w:rPr>
        <w:t>财政票据</w:t>
      </w:r>
      <w:r>
        <w:rPr>
          <w:rFonts w:hint="eastAsia" w:ascii="仿宋_GB2312" w:hAnsi="仿宋_GB2312" w:eastAsia="仿宋_GB2312" w:cs="仿宋_GB2312"/>
          <w:color w:val="auto"/>
          <w:sz w:val="32"/>
          <w:szCs w:val="32"/>
        </w:rPr>
        <w:t>；不按规定开具财政票据的，公民、法人和其他组织有权拒绝缴纳。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、信息共享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各有关部门应建立信息共享机制，在职能范围内向征收部门共享</w:t>
      </w:r>
      <w:r>
        <w:rPr>
          <w:rFonts w:hint="eastAsia" w:ascii="仿宋_GB2312" w:hAnsi="仿宋_GB2312" w:eastAsia="仿宋_GB2312" w:cs="仿宋_GB2312"/>
          <w:color w:val="auto"/>
          <w:sz w:val="32"/>
          <w:szCs w:val="32"/>
          <w:lang w:eastAsia="zh-CN"/>
        </w:rPr>
        <w:t>城市基础设施</w:t>
      </w:r>
      <w:r>
        <w:rPr>
          <w:rFonts w:hint="eastAsia" w:ascii="仿宋_GB2312" w:hAnsi="仿宋_GB2312" w:eastAsia="仿宋_GB2312" w:cs="仿宋_GB2312"/>
          <w:color w:val="auto"/>
          <w:sz w:val="32"/>
          <w:szCs w:val="32"/>
        </w:rPr>
        <w:t>配套费征收和减免的有关信息，共同做好城市基础设施配套费征缴业务衔接。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各级相关监管部门应加强对城市基础设施配套费收支情况的监督检查，对未及时足额缴纳城市基础设施配套费和擅自设立收费项目、提高收费标准、扩大收费范围，擅自减免、截留、挤占、挪用城市基础设施配套费的，按《中华人民共和国预算法》《财政违法行为处罚处分条例》《政府性基金管理暂行办法》《浙江省政府非税收入管理条例》等规定予以处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九、其他规定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024年 月 日起</w:t>
      </w:r>
      <w:r>
        <w:rPr>
          <w:rFonts w:hint="eastAsia" w:ascii="仿宋_GB2312" w:hAnsi="仿宋_GB2312" w:eastAsia="仿宋_GB2312" w:cs="仿宋_GB2312"/>
          <w:color w:val="auto"/>
          <w:sz w:val="32"/>
          <w:szCs w:val="32"/>
        </w:rPr>
        <w:t>实施(以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规划许可</w:t>
      </w:r>
      <w:r>
        <w:rPr>
          <w:rFonts w:hint="eastAsia" w:ascii="仿宋_GB2312" w:hAnsi="仿宋_GB2312" w:eastAsia="仿宋_GB2312" w:cs="仿宋_GB2312"/>
          <w:color w:val="auto"/>
          <w:sz w:val="32"/>
          <w:szCs w:val="32"/>
          <w:lang w:eastAsia="zh-CN"/>
        </w:rPr>
        <w:t>证》核发</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为界限)。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right="0"/>
        <w:jc w:val="both"/>
        <w:textAlignment w:val="auto"/>
        <w:rPr>
          <w:rFonts w:hint="default" w:ascii="仿宋_GB2312" w:hAnsi="仿宋_GB2312" w:eastAsia="仿宋_GB2312" w:cs="仿宋_GB2312"/>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right="0" w:firstLine="640" w:firstLineChars="200"/>
        <w:jc w:val="both"/>
        <w:textAlignment w:val="auto"/>
        <w:rPr>
          <w:rStyle w:val="10"/>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Style w:val="10"/>
          <w:rFonts w:hint="eastAsia" w:ascii="仿宋_GB2312" w:hAnsi="仿宋_GB2312" w:eastAsia="仿宋_GB2312" w:cs="仿宋_GB2312"/>
          <w:b w:val="0"/>
          <w:bCs/>
          <w:color w:val="auto"/>
          <w:sz w:val="32"/>
          <w:szCs w:val="32"/>
          <w:lang w:eastAsia="zh-CN"/>
        </w:rPr>
        <w:t>国家规定的</w:t>
      </w:r>
      <w:r>
        <w:rPr>
          <w:rStyle w:val="10"/>
          <w:rFonts w:hint="eastAsia" w:ascii="仿宋_GB2312" w:hAnsi="仿宋_GB2312" w:eastAsia="仿宋_GB2312" w:cs="仿宋_GB2312"/>
          <w:b w:val="0"/>
          <w:bCs/>
          <w:color w:val="auto"/>
          <w:sz w:val="32"/>
          <w:szCs w:val="32"/>
        </w:rPr>
        <w:t>城市基础设施配套费减免</w:t>
      </w:r>
      <w:r>
        <w:rPr>
          <w:rStyle w:val="10"/>
          <w:rFonts w:hint="eastAsia" w:ascii="仿宋_GB2312" w:hAnsi="仿宋_GB2312" w:eastAsia="仿宋_GB2312" w:cs="仿宋_GB2312"/>
          <w:b w:val="0"/>
          <w:bCs/>
          <w:color w:val="auto"/>
          <w:sz w:val="32"/>
          <w:szCs w:val="32"/>
          <w:lang w:eastAsia="zh-CN"/>
        </w:rPr>
        <w:t>政策</w:t>
      </w:r>
    </w:p>
    <w:p>
      <w:pPr>
        <w:keepNext w:val="0"/>
        <w:keepLines w:val="0"/>
        <w:pageBreakBefore w:val="0"/>
        <w:kinsoku/>
        <w:wordWrap/>
        <w:overflowPunct/>
        <w:topLinePunct w:val="0"/>
        <w:autoSpaceDE/>
        <w:autoSpaceDN/>
        <w:bidi w:val="0"/>
        <w:adjustRightInd/>
        <w:spacing w:line="560" w:lineRule="exact"/>
        <w:ind w:firstLine="1600" w:firstLineChars="500"/>
        <w:jc w:val="both"/>
        <w:textAlignment w:val="auto"/>
        <w:rPr>
          <w:rFonts w:hint="eastAsia" w:ascii="黑体" w:hAnsi="黑体" w:eastAsia="黑体" w:cs="黑体"/>
          <w:color w:val="auto"/>
          <w:sz w:val="32"/>
          <w:szCs w:val="32"/>
        </w:rPr>
      </w:pPr>
      <w:r>
        <w:rPr>
          <w:rStyle w:val="10"/>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sz w:val="32"/>
          <w:szCs w:val="32"/>
        </w:rPr>
        <w:t>城市基础设施配套费</w:t>
      </w:r>
      <w:r>
        <w:rPr>
          <w:rFonts w:hint="eastAsia" w:ascii="仿宋_GB2312" w:hAnsi="仿宋_GB2312" w:eastAsia="仿宋_GB2312" w:cs="仿宋_GB2312"/>
          <w:b w:val="0"/>
          <w:bCs/>
          <w:sz w:val="32"/>
          <w:szCs w:val="32"/>
          <w:lang w:eastAsia="zh-CN"/>
        </w:rPr>
        <w:t>减免</w:t>
      </w:r>
      <w:r>
        <w:rPr>
          <w:rFonts w:hint="eastAsia" w:ascii="仿宋_GB2312" w:hAnsi="仿宋_GB2312" w:eastAsia="仿宋_GB2312" w:cs="仿宋_GB2312"/>
          <w:b w:val="0"/>
          <w:bCs/>
          <w:sz w:val="32"/>
          <w:szCs w:val="32"/>
        </w:rPr>
        <w:t>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方正黑体_GBK" w:hAnsi="方正黑体_GBK" w:eastAsia="方正黑体_GBK" w:cs="方正黑体_GBK"/>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10"/>
          <w:rFonts w:hint="eastAsia" w:ascii="方正小标宋简体" w:hAnsi="方正小标宋简体" w:eastAsia="方正小标宋简体" w:cs="方正小标宋简体"/>
          <w:b w:val="0"/>
          <w:bCs/>
          <w:color w:val="auto"/>
          <w:sz w:val="44"/>
          <w:szCs w:val="44"/>
          <w:lang w:eastAsia="zh-CN"/>
        </w:rPr>
      </w:pPr>
      <w:r>
        <w:rPr>
          <w:rStyle w:val="10"/>
          <w:rFonts w:hint="eastAsia" w:ascii="方正小标宋简体" w:hAnsi="方正小标宋简体" w:eastAsia="方正小标宋简体" w:cs="方正小标宋简体"/>
          <w:b w:val="0"/>
          <w:bCs/>
          <w:color w:val="auto"/>
          <w:sz w:val="44"/>
          <w:szCs w:val="44"/>
          <w:lang w:eastAsia="zh-CN"/>
        </w:rPr>
        <w:t>国家规定的</w:t>
      </w:r>
      <w:r>
        <w:rPr>
          <w:rStyle w:val="10"/>
          <w:rFonts w:hint="eastAsia" w:ascii="方正小标宋简体" w:hAnsi="方正小标宋简体" w:eastAsia="方正小标宋简体" w:cs="方正小标宋简体"/>
          <w:b w:val="0"/>
          <w:bCs/>
          <w:color w:val="auto"/>
          <w:sz w:val="44"/>
          <w:szCs w:val="44"/>
        </w:rPr>
        <w:t>城市基础设施配套费减免</w:t>
      </w:r>
      <w:r>
        <w:rPr>
          <w:rStyle w:val="10"/>
          <w:rFonts w:hint="eastAsia" w:ascii="方正小标宋简体" w:hAnsi="方正小标宋简体" w:eastAsia="方正小标宋简体" w:cs="方正小标宋简体"/>
          <w:b w:val="0"/>
          <w:bCs/>
          <w:color w:val="auto"/>
          <w:sz w:val="44"/>
          <w:szCs w:val="44"/>
          <w:lang w:eastAsia="zh-CN"/>
        </w:rPr>
        <w:t>政策</w:t>
      </w:r>
    </w:p>
    <w:tbl>
      <w:tblPr>
        <w:tblStyle w:val="8"/>
        <w:tblW w:w="83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077"/>
        <w:gridCol w:w="2106"/>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rPr>
              <w:t>项目名称</w:t>
            </w:r>
          </w:p>
        </w:tc>
        <w:tc>
          <w:tcPr>
            <w:tcW w:w="1077"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减免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rPr>
              <w:t>方式</w:t>
            </w:r>
          </w:p>
        </w:tc>
        <w:tc>
          <w:tcPr>
            <w:tcW w:w="21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rPr>
              <w:t>文件依据</w:t>
            </w:r>
          </w:p>
        </w:tc>
        <w:tc>
          <w:tcPr>
            <w:tcW w:w="3191"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廉租住房</w:t>
            </w:r>
            <w:r>
              <w:rPr>
                <w:rFonts w:hint="eastAsia" w:ascii="仿宋_GB2312" w:hAnsi="仿宋_GB2312" w:eastAsia="仿宋_GB2312" w:cs="仿宋_GB2312"/>
                <w:color w:val="auto"/>
                <w:sz w:val="24"/>
                <w:szCs w:val="24"/>
                <w:lang w:eastAsia="zh-CN"/>
              </w:rPr>
              <w:t>和经济适用房建设</w:t>
            </w:r>
            <w:r>
              <w:rPr>
                <w:rFonts w:hint="eastAsia" w:ascii="仿宋_GB2312" w:hAnsi="仿宋_GB2312" w:eastAsia="仿宋_GB2312" w:cs="仿宋_GB2312"/>
                <w:color w:val="auto"/>
                <w:sz w:val="24"/>
                <w:szCs w:val="24"/>
              </w:rPr>
              <w:t>、棚户区改造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旧住宅区整治项目</w:t>
            </w:r>
          </w:p>
        </w:tc>
        <w:tc>
          <w:tcPr>
            <w:tcW w:w="1077"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国发〔2007〕24号</w:t>
            </w:r>
          </w:p>
        </w:tc>
        <w:tc>
          <w:tcPr>
            <w:tcW w:w="3191"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十六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一是廉租住房和经济适用住房建设、棚户区改造、旧住宅区整治一律免收城市基础设施配套费等各种行政事业性收费和政府性基金。</w:t>
            </w:r>
            <w:r>
              <w:rPr>
                <w:rFonts w:hint="eastAsia" w:ascii="仿宋_GB2312" w:hAnsi="仿宋_GB2312" w:eastAsia="仿宋_GB2312" w:cs="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廉租住房、公共租赁住房、经济适用房住房和棚户区改造安置住房</w:t>
            </w:r>
          </w:p>
        </w:tc>
        <w:tc>
          <w:tcPr>
            <w:tcW w:w="1077"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国办发〔2011〕45号</w:t>
            </w:r>
          </w:p>
        </w:tc>
        <w:tc>
          <w:tcPr>
            <w:tcW w:w="3191"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五）落实税费减免政策。对廉租住房、公共租赁住房、经济适用住房和棚户区改造安置住房，要切实落实现行建设、买卖、经营等环节税收优惠政策，免收城市基础设施配套费等各种行政事业性收费和政府性基金。</w:t>
            </w:r>
            <w:r>
              <w:rPr>
                <w:rFonts w:hint="eastAsia" w:ascii="仿宋_GB2312" w:hAnsi="仿宋_GB2312" w:eastAsia="仿宋_GB2312" w:cs="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军队后勤保障社会化</w:t>
            </w:r>
            <w:r>
              <w:rPr>
                <w:rFonts w:hint="eastAsia" w:ascii="仿宋_GB2312" w:hAnsi="仿宋_GB2312" w:eastAsia="仿宋_GB2312" w:cs="仿宋_GB2312"/>
                <w:color w:val="auto"/>
                <w:sz w:val="24"/>
                <w:szCs w:val="24"/>
                <w:lang w:eastAsia="zh-CN"/>
              </w:rPr>
              <w:t>需要配套</w:t>
            </w:r>
            <w:r>
              <w:rPr>
                <w:rFonts w:hint="eastAsia" w:ascii="仿宋_GB2312" w:hAnsi="仿宋_GB2312" w:eastAsia="仿宋_GB2312" w:cs="仿宋_GB2312"/>
                <w:color w:val="auto"/>
                <w:sz w:val="24"/>
                <w:szCs w:val="24"/>
              </w:rPr>
              <w:t>改造</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项目</w:t>
            </w:r>
          </w:p>
        </w:tc>
        <w:tc>
          <w:tcPr>
            <w:tcW w:w="1077"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国发〔2002〕20号</w:t>
            </w:r>
          </w:p>
        </w:tc>
        <w:tc>
          <w:tcPr>
            <w:tcW w:w="3191"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一、关于营房保障（二）对军队后勤保障社会化需要配套改造的项目，免征城市基础设施配套费。</w:t>
            </w:r>
            <w:r>
              <w:rPr>
                <w:rFonts w:hint="eastAsia" w:ascii="仿宋_GB2312" w:hAnsi="仿宋_GB2312" w:eastAsia="仿宋_GB2312" w:cs="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rPr>
              <w:t>城镇和农村、公立和民办、教育系统和非教育系统的所有中小学校 (含幼儿园) 校舍建设项目</w:t>
            </w:r>
          </w:p>
        </w:tc>
        <w:tc>
          <w:tcPr>
            <w:tcW w:w="1077"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国办发〔2013〕103号</w:t>
            </w:r>
          </w:p>
        </w:tc>
        <w:tc>
          <w:tcPr>
            <w:tcW w:w="3191"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二、(一)覆盖范围：全国城镇和农村、公立和民办、教育系统和非教育系统的所有中小学（含幼儿园）”“（三）落实扶持鼓励政策。校舍建设项目涉及的行政事业性收费和政府性基金，应予以免收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rPr>
              <w:t>项目名称</w:t>
            </w:r>
          </w:p>
        </w:tc>
        <w:tc>
          <w:tcPr>
            <w:tcW w:w="1077"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减免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rPr>
              <w:t>方式</w:t>
            </w:r>
          </w:p>
        </w:tc>
        <w:tc>
          <w:tcPr>
            <w:tcW w:w="2106"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rPr>
              <w:t>文件依据</w:t>
            </w:r>
          </w:p>
        </w:tc>
        <w:tc>
          <w:tcPr>
            <w:tcW w:w="3191"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Style w:val="10"/>
                <w:rFonts w:ascii="方正小标宋简体" w:hAnsi="方正小标宋简体" w:eastAsia="方正小标宋简体" w:cs="方正小标宋简体"/>
                <w:vertAlign w:val="baseline"/>
              </w:rPr>
            </w:pPr>
            <w:r>
              <w:rPr>
                <w:rFonts w:hint="eastAsia" w:ascii="黑体" w:hAnsi="黑体" w:eastAsia="黑体" w:cs="黑体"/>
                <w:color w:val="auto"/>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8" w:lineRule="atLeast"/>
              <w:ind w:left="0" w:leftChars="0" w:right="0" w:rightChars="0"/>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易地扶贫搬迁项目</w:t>
            </w:r>
          </w:p>
        </w:tc>
        <w:tc>
          <w:tcPr>
            <w:tcW w:w="107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center"/>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财税〔2019〕53号</w:t>
            </w:r>
          </w:p>
        </w:tc>
        <w:tc>
          <w:tcPr>
            <w:tcW w:w="3191"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rPr>
              <w:t>一、对易地扶贫搬迁项目免征城市基础设施配套费、不动产登记费。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105" w:rightChars="0"/>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用于提供社区养老、托育、家政服务的建设项目</w:t>
            </w:r>
          </w:p>
        </w:tc>
        <w:tc>
          <w:tcPr>
            <w:tcW w:w="107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center"/>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财政部等6部门2019年第76号公告</w:t>
            </w:r>
          </w:p>
        </w:tc>
        <w:tc>
          <w:tcPr>
            <w:tcW w:w="3191"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用于提供社区养老、托育、家政服务的建设项目，免征城市基础设施配套费（自2019年6月1日起执行至2025年12月31日）</w:t>
            </w:r>
            <w:r>
              <w:rPr>
                <w:rFonts w:hint="eastAsia" w:ascii="仿宋_GB2312" w:hAnsi="仿宋_GB2312" w:eastAsia="仿宋_GB2312" w:cs="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105" w:rightChars="0"/>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保障性租赁住房项目</w:t>
            </w:r>
          </w:p>
        </w:tc>
        <w:tc>
          <w:tcPr>
            <w:tcW w:w="107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center"/>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免征</w:t>
            </w:r>
          </w:p>
        </w:tc>
        <w:tc>
          <w:tcPr>
            <w:tcW w:w="2106"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国办发〔2021〕22号</w:t>
            </w:r>
          </w:p>
        </w:tc>
        <w:tc>
          <w:tcPr>
            <w:tcW w:w="3191"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rPr>
              <w:t>（四）降低税费负担。对保障性租赁住房项目免收城市基础设施配套费。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105" w:rightChars="0"/>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保障性住房</w:t>
            </w:r>
          </w:p>
        </w:tc>
        <w:tc>
          <w:tcPr>
            <w:tcW w:w="107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center"/>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免征</w:t>
            </w:r>
          </w:p>
        </w:tc>
        <w:tc>
          <w:tcPr>
            <w:tcW w:w="2106"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rPr>
              <w:t>国发〔2023〕14号</w:t>
            </w:r>
          </w:p>
        </w:tc>
        <w:tc>
          <w:tcPr>
            <w:tcW w:w="3191"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“三、支持政策。符合条件的保障性住房项目适用经济适用住房有关税费支持政策。”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105" w:rightChars="0"/>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城中村改造项目</w:t>
            </w:r>
          </w:p>
        </w:tc>
        <w:tc>
          <w:tcPr>
            <w:tcW w:w="107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center"/>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免征</w:t>
            </w:r>
          </w:p>
        </w:tc>
        <w:tc>
          <w:tcPr>
            <w:tcW w:w="2106"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国办发</w:t>
            </w:r>
            <w:r>
              <w:rPr>
                <w:rFonts w:hint="eastAsia" w:ascii="仿宋_GB2312" w:hAnsi="仿宋_GB2312" w:eastAsia="仿宋_GB2312" w:cs="仿宋_GB2312"/>
                <w:color w:val="auto"/>
                <w:sz w:val="24"/>
                <w:szCs w:val="24"/>
              </w:rPr>
              <w:t>〔2023〕</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号</w:t>
            </w:r>
          </w:p>
        </w:tc>
        <w:tc>
          <w:tcPr>
            <w:tcW w:w="3191"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Style w:val="10"/>
                <w:rFonts w:ascii="方正小标宋简体" w:hAnsi="方正小标宋简体" w:eastAsia="方正小标宋简体" w:cs="方正小标宋简体"/>
                <w:vertAlign w:val="baseline"/>
              </w:rPr>
            </w:pPr>
            <w:r>
              <w:rPr>
                <w:rFonts w:hint="eastAsia" w:ascii="仿宋_GB2312" w:hAnsi="仿宋_GB2312" w:eastAsia="仿宋_GB2312" w:cs="仿宋_GB2312"/>
                <w:color w:val="auto"/>
                <w:sz w:val="24"/>
                <w:szCs w:val="24"/>
                <w:lang w:eastAsia="zh-CN"/>
              </w:rPr>
              <w:t>“三、支持政策。符合条件的城中村改造项目适用现行棚户区改造有关税费支持政策。”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9" w:type="dxa"/>
            <w:gridSpan w:val="4"/>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国家对减免城市基础设施配套费</w:t>
            </w:r>
            <w:r>
              <w:rPr>
                <w:rFonts w:hint="eastAsia" w:ascii="仿宋_GB2312" w:hAnsi="仿宋_GB2312" w:eastAsia="仿宋_GB2312" w:cs="仿宋_GB2312"/>
                <w:color w:val="auto"/>
                <w:sz w:val="24"/>
                <w:szCs w:val="24"/>
                <w:lang w:eastAsia="zh-CN"/>
              </w:rPr>
              <w:t>的其他规定或</w:t>
            </w:r>
            <w:r>
              <w:rPr>
                <w:rFonts w:hint="eastAsia" w:ascii="仿宋_GB2312" w:hAnsi="仿宋_GB2312" w:eastAsia="仿宋_GB2312" w:cs="仿宋_GB2312"/>
                <w:color w:val="auto"/>
                <w:sz w:val="24"/>
                <w:szCs w:val="24"/>
              </w:rPr>
              <w:t>有新规定的，从其规定。</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firstLine="240" w:firstLineChars="100"/>
        <w:jc w:val="left"/>
        <w:rPr>
          <w:rFonts w:hint="eastAsia" w:ascii="黑体" w:hAnsi="黑体" w:eastAsia="黑体" w:cs="黑体"/>
          <w:color w:val="auto"/>
          <w:sz w:val="32"/>
          <w:szCs w:val="32"/>
        </w:rPr>
      </w:pPr>
      <w:r>
        <w:rPr>
          <w:rFonts w:hint="eastAsia" w:ascii="仿宋_GB2312" w:hAnsi="仿宋_GB2312" w:eastAsia="仿宋_GB2312" w:cs="仿宋_GB2312"/>
          <w:color w:val="auto"/>
          <w:kern w:val="0"/>
          <w:sz w:val="24"/>
          <w:szCs w:val="24"/>
          <w:lang w:eastAsia="zh-CN"/>
        </w:rPr>
        <w:t>备注：此表仅是对国家相关文件规定的摘录。国家出台的减免政策最终解释权，由中央相关职能部门负责解释。</w:t>
      </w:r>
    </w:p>
    <w:p>
      <w:pPr>
        <w:jc w:val="left"/>
        <w:rPr>
          <w:rFonts w:hint="eastAsia" w:ascii="黑体" w:hAnsi="黑体" w:eastAsia="黑体" w:cs="黑体"/>
          <w:b w:val="0"/>
          <w:bCs/>
          <w:sz w:val="32"/>
          <w:szCs w:val="32"/>
          <w:lang w:eastAsia="zh-CN"/>
        </w:rPr>
      </w:pPr>
    </w:p>
    <w:p>
      <w:pPr>
        <w:jc w:val="left"/>
        <w:rPr>
          <w:rFonts w:hint="eastAsia" w:ascii="黑体" w:hAnsi="黑体" w:eastAsia="黑体" w:cs="黑体"/>
          <w:b w:val="0"/>
          <w:bCs/>
          <w:sz w:val="32"/>
          <w:szCs w:val="32"/>
          <w:lang w:eastAsia="zh-CN"/>
        </w:rPr>
      </w:pPr>
    </w:p>
    <w:p>
      <w:pPr>
        <w:jc w:val="left"/>
        <w:rPr>
          <w:rFonts w:hint="eastAsia" w:ascii="黑体" w:hAnsi="黑体" w:eastAsia="黑体" w:cs="黑体"/>
          <w:b w:val="0"/>
          <w:bCs/>
          <w:sz w:val="32"/>
          <w:szCs w:val="32"/>
          <w:lang w:eastAsia="zh-CN"/>
        </w:rPr>
      </w:pPr>
    </w:p>
    <w:p>
      <w:pPr>
        <w:jc w:val="left"/>
        <w:rPr>
          <w:rFonts w:hint="eastAsia" w:ascii="黑体" w:hAnsi="黑体" w:eastAsia="黑体" w:cs="黑体"/>
          <w:b w:val="0"/>
          <w:bCs/>
          <w:sz w:val="32"/>
          <w:szCs w:val="32"/>
          <w:lang w:eastAsia="zh-CN"/>
        </w:rPr>
      </w:pPr>
    </w:p>
    <w:p>
      <w:pPr>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城市基础设施配套费</w:t>
      </w:r>
      <w:r>
        <w:rPr>
          <w:rFonts w:hint="eastAsia" w:ascii="方正小标宋简体" w:hAnsi="方正小标宋简体" w:eastAsia="方正小标宋简体" w:cs="方正小标宋简体"/>
          <w:b w:val="0"/>
          <w:bCs/>
          <w:sz w:val="40"/>
          <w:szCs w:val="40"/>
          <w:lang w:eastAsia="zh-CN"/>
        </w:rPr>
        <w:t>减免</w:t>
      </w:r>
      <w:r>
        <w:rPr>
          <w:rFonts w:hint="eastAsia" w:ascii="方正小标宋简体" w:hAnsi="方正小标宋简体" w:eastAsia="方正小标宋简体" w:cs="方正小标宋简体"/>
          <w:b w:val="0"/>
          <w:bCs/>
          <w:sz w:val="40"/>
          <w:szCs w:val="40"/>
        </w:rPr>
        <w:t>申请表</w:t>
      </w:r>
    </w:p>
    <w:tbl>
      <w:tblPr>
        <w:tblStyle w:val="7"/>
        <w:tblpPr w:leftFromText="180" w:rightFromText="180" w:vertAnchor="text" w:horzAnchor="page" w:tblpX="1705" w:tblpY="62"/>
        <w:tblOverlap w:val="never"/>
        <w:tblW w:w="8673" w:type="dxa"/>
        <w:tblInd w:w="0" w:type="dxa"/>
        <w:tblLayout w:type="fixed"/>
        <w:tblCellMar>
          <w:top w:w="0" w:type="dxa"/>
          <w:left w:w="108" w:type="dxa"/>
          <w:bottom w:w="0" w:type="dxa"/>
          <w:right w:w="108" w:type="dxa"/>
        </w:tblCellMar>
      </w:tblPr>
      <w:tblGrid>
        <w:gridCol w:w="1653"/>
        <w:gridCol w:w="3695"/>
        <w:gridCol w:w="1500"/>
        <w:gridCol w:w="1825"/>
      </w:tblGrid>
      <w:tr>
        <w:tblPrEx>
          <w:tblCellMar>
            <w:top w:w="0" w:type="dxa"/>
            <w:left w:w="108" w:type="dxa"/>
            <w:bottom w:w="0" w:type="dxa"/>
            <w:right w:w="108" w:type="dxa"/>
          </w:tblCellMar>
        </w:tblPrEx>
        <w:trPr>
          <w:trHeight w:val="671"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val="0"/>
                <w:bCs w:val="0"/>
                <w:kern w:val="0"/>
                <w:sz w:val="24"/>
                <w:szCs w:val="24"/>
                <w:lang w:val="en" w:eastAsia="zh-CN"/>
              </w:rPr>
            </w:pPr>
            <w:r>
              <w:rPr>
                <w:rFonts w:hint="default" w:ascii="宋体" w:hAnsi="宋体" w:cs="宋体"/>
                <w:i w:val="0"/>
                <w:color w:val="000000"/>
                <w:kern w:val="0"/>
                <w:sz w:val="24"/>
                <w:szCs w:val="24"/>
                <w:u w:val="none"/>
                <w:lang w:val="en" w:eastAsia="zh-CN" w:bidi="ar"/>
              </w:rPr>
              <w:t>申请单位</w:t>
            </w:r>
          </w:p>
        </w:tc>
        <w:tc>
          <w:tcPr>
            <w:tcW w:w="702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宋体" w:hAnsi="宋体" w:eastAsia="宋体" w:cs="宋体"/>
                <w:bCs w:val="0"/>
                <w:kern w:val="0"/>
                <w:sz w:val="24"/>
                <w:szCs w:val="24"/>
                <w:lang w:eastAsia="zh-CN"/>
              </w:rPr>
            </w:pPr>
          </w:p>
        </w:tc>
      </w:tr>
      <w:tr>
        <w:tblPrEx>
          <w:tblCellMar>
            <w:top w:w="0" w:type="dxa"/>
            <w:left w:w="108" w:type="dxa"/>
            <w:bottom w:w="0" w:type="dxa"/>
            <w:right w:w="108" w:type="dxa"/>
          </w:tblCellMar>
        </w:tblPrEx>
        <w:trPr>
          <w:trHeight w:val="716"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kern w:val="0"/>
                <w:sz w:val="24"/>
                <w:szCs w:val="24"/>
                <w:lang w:eastAsia="zh-CN"/>
              </w:rPr>
            </w:pPr>
            <w:r>
              <w:rPr>
                <w:rFonts w:hint="eastAsia" w:ascii="宋体" w:hAnsi="宋体" w:eastAsia="宋体" w:cs="宋体"/>
                <w:i w:val="0"/>
                <w:color w:val="000000"/>
                <w:kern w:val="0"/>
                <w:sz w:val="24"/>
                <w:szCs w:val="24"/>
                <w:u w:val="none"/>
                <w:lang w:val="en-US" w:eastAsia="zh-CN" w:bidi="ar"/>
              </w:rPr>
              <w:t>联系人</w:t>
            </w:r>
          </w:p>
        </w:tc>
        <w:tc>
          <w:tcPr>
            <w:tcW w:w="369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val="0"/>
                <w:kern w:val="0"/>
                <w:sz w:val="24"/>
                <w:szCs w:val="24"/>
                <w:lang w:eastAsia="zh-CN"/>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val="0"/>
                <w:kern w:val="0"/>
                <w:sz w:val="24"/>
                <w:szCs w:val="24"/>
                <w:lang w:eastAsia="zh-CN"/>
              </w:rPr>
            </w:pPr>
            <w:r>
              <w:rPr>
                <w:rFonts w:hint="eastAsia" w:ascii="宋体" w:hAnsi="宋体" w:eastAsia="宋体" w:cs="宋体"/>
                <w:i w:val="0"/>
                <w:color w:val="000000"/>
                <w:kern w:val="0"/>
                <w:sz w:val="24"/>
                <w:szCs w:val="24"/>
                <w:u w:val="none"/>
                <w:lang w:val="en-US" w:eastAsia="zh-CN" w:bidi="ar"/>
              </w:rPr>
              <w:t>联系电话</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val="0"/>
                <w:kern w:val="0"/>
                <w:sz w:val="24"/>
                <w:szCs w:val="24"/>
                <w:lang w:eastAsia="zh-CN"/>
              </w:rPr>
            </w:pPr>
          </w:p>
        </w:tc>
      </w:tr>
      <w:tr>
        <w:tblPrEx>
          <w:tblCellMar>
            <w:top w:w="0" w:type="dxa"/>
            <w:left w:w="108" w:type="dxa"/>
            <w:bottom w:w="0" w:type="dxa"/>
            <w:right w:w="108" w:type="dxa"/>
          </w:tblCellMar>
        </w:tblPrEx>
        <w:trPr>
          <w:trHeight w:val="180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b w:val="0"/>
                <w:bCs w:val="0"/>
                <w:kern w:val="0"/>
                <w:sz w:val="24"/>
                <w:szCs w:val="24"/>
                <w:lang w:val="en" w:eastAsia="zh-CN"/>
              </w:rPr>
            </w:pPr>
            <w:r>
              <w:rPr>
                <w:rFonts w:hint="eastAsia" w:ascii="宋体" w:hAnsi="宋体" w:eastAsia="宋体" w:cs="宋体"/>
                <w:i w:val="0"/>
                <w:color w:val="000000"/>
                <w:kern w:val="0"/>
                <w:sz w:val="24"/>
                <w:szCs w:val="24"/>
                <w:u w:val="none"/>
                <w:lang w:val="en-US" w:eastAsia="zh-CN" w:bidi="ar"/>
              </w:rPr>
              <w:t>项目</w:t>
            </w:r>
            <w:r>
              <w:rPr>
                <w:rFonts w:hint="default" w:ascii="宋体" w:hAnsi="宋体" w:cs="宋体"/>
                <w:i w:val="0"/>
                <w:color w:val="000000"/>
                <w:kern w:val="0"/>
                <w:sz w:val="24"/>
                <w:szCs w:val="24"/>
                <w:u w:val="none"/>
                <w:lang w:val="en" w:eastAsia="zh-CN" w:bidi="ar"/>
              </w:rPr>
              <w:t>基本情况</w:t>
            </w:r>
          </w:p>
        </w:tc>
        <w:tc>
          <w:tcPr>
            <w:tcW w:w="702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lang w:eastAsia="zh-CN"/>
              </w:rPr>
            </w:pPr>
          </w:p>
          <w:p>
            <w:pPr>
              <w:pStyle w:val="12"/>
              <w:ind w:left="0" w:leftChars="0" w:firstLine="0" w:firstLineChars="0"/>
              <w:rPr>
                <w:rFonts w:hint="eastAsia" w:ascii="宋体" w:hAnsi="宋体" w:eastAsia="宋体" w:cs="宋体"/>
                <w:bCs w:val="0"/>
                <w:kern w:val="0"/>
                <w:sz w:val="24"/>
                <w:szCs w:val="24"/>
                <w:lang w:eastAsia="zh-CN"/>
              </w:rPr>
            </w:pPr>
          </w:p>
        </w:tc>
      </w:tr>
      <w:tr>
        <w:tblPrEx>
          <w:tblCellMar>
            <w:top w:w="0" w:type="dxa"/>
            <w:left w:w="108" w:type="dxa"/>
            <w:bottom w:w="0" w:type="dxa"/>
            <w:right w:w="108" w:type="dxa"/>
          </w:tblCellMar>
        </w:tblPrEx>
        <w:trPr>
          <w:trHeight w:val="2042"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cs="Times New Roman"/>
                <w:sz w:val="24"/>
                <w:lang w:val="en" w:eastAsia="zh-CN"/>
              </w:rPr>
            </w:pPr>
            <w:r>
              <w:rPr>
                <w:rFonts w:hint="default" w:ascii="Times New Roman" w:hAnsi="Times New Roman" w:cs="Times New Roman"/>
                <w:sz w:val="24"/>
                <w:lang w:val="en" w:eastAsia="zh-CN"/>
              </w:rPr>
              <w:t>减免内容</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val="0"/>
                <w:kern w:val="0"/>
                <w:sz w:val="28"/>
                <w:szCs w:val="28"/>
              </w:rPr>
            </w:pPr>
            <w:r>
              <w:rPr>
                <w:rFonts w:hint="default" w:ascii="Times New Roman" w:hAnsi="Times New Roman" w:cs="Times New Roman"/>
                <w:sz w:val="24"/>
                <w:lang w:val="en" w:eastAsia="zh-CN"/>
              </w:rPr>
              <w:t>及理由</w:t>
            </w:r>
          </w:p>
        </w:tc>
        <w:tc>
          <w:tcPr>
            <w:tcW w:w="702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imes New Roman" w:hAnsi="Times New Roman" w:cs="Times New Roman"/>
                <w:szCs w:val="21"/>
                <w:lang w:val="en-US" w:eastAsia="zh-CN"/>
              </w:rPr>
            </w:pPr>
          </w:p>
          <w:p>
            <w:pPr>
              <w:keepNext w:val="0"/>
              <w:keepLines w:val="0"/>
              <w:pageBreakBefore w:val="0"/>
              <w:kinsoku/>
              <w:wordWrap/>
              <w:overflowPunct/>
              <w:topLinePunct w:val="0"/>
              <w:autoSpaceDE/>
              <w:autoSpaceDN/>
              <w:bidi w:val="0"/>
              <w:adjustRightInd/>
              <w:snapToGrid/>
              <w:spacing w:line="380" w:lineRule="exact"/>
              <w:jc w:val="both"/>
              <w:rPr>
                <w:rFonts w:hint="eastAsia" w:ascii="Times New Roman" w:hAnsi="Times New Roman" w:cs="Times New Roman"/>
                <w:szCs w:val="21"/>
                <w:lang w:val="en-US" w:eastAsia="zh-CN"/>
              </w:rPr>
            </w:pPr>
          </w:p>
          <w:p>
            <w:pPr>
              <w:keepNext w:val="0"/>
              <w:keepLines w:val="0"/>
              <w:pageBreakBefore w:val="0"/>
              <w:kinsoku/>
              <w:wordWrap/>
              <w:overflowPunct/>
              <w:topLinePunct w:val="0"/>
              <w:autoSpaceDE/>
              <w:autoSpaceDN/>
              <w:bidi w:val="0"/>
              <w:adjustRightInd/>
              <w:snapToGrid/>
              <w:spacing w:line="380" w:lineRule="exact"/>
              <w:ind w:firstLine="840" w:firstLineChars="400"/>
              <w:jc w:val="both"/>
              <w:rPr>
                <w:rFonts w:hint="eastAsia" w:ascii="Times New Roman" w:hAnsi="Times New Roman" w:cs="Times New Roman"/>
                <w:szCs w:val="21"/>
                <w:lang w:val="en-US" w:eastAsia="zh-CN"/>
              </w:rPr>
            </w:pPr>
          </w:p>
          <w:p>
            <w:pPr>
              <w:keepNext w:val="0"/>
              <w:keepLines w:val="0"/>
              <w:pageBreakBefore w:val="0"/>
              <w:kinsoku/>
              <w:wordWrap/>
              <w:overflowPunct/>
              <w:topLinePunct w:val="0"/>
              <w:autoSpaceDE/>
              <w:autoSpaceDN/>
              <w:bidi w:val="0"/>
              <w:adjustRightInd/>
              <w:snapToGrid/>
              <w:spacing w:line="380" w:lineRule="exact"/>
              <w:ind w:firstLine="840" w:firstLineChars="400"/>
              <w:jc w:val="both"/>
              <w:rPr>
                <w:rFonts w:hint="eastAsia"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w:t>
            </w:r>
            <w:r>
              <w:rPr>
                <w:rFonts w:hint="eastAsia" w:ascii="Times New Roman" w:hAnsi="Times New Roman" w:cs="Times New Roman"/>
                <w:szCs w:val="21"/>
              </w:rPr>
              <w:t xml:space="preserve">盖章）  </w:t>
            </w:r>
          </w:p>
          <w:p>
            <w:pPr>
              <w:keepNext w:val="0"/>
              <w:keepLines w:val="0"/>
              <w:pageBreakBefore w:val="0"/>
              <w:kinsoku/>
              <w:wordWrap/>
              <w:overflowPunct/>
              <w:topLinePunct w:val="0"/>
              <w:autoSpaceDE/>
              <w:autoSpaceDN/>
              <w:bidi w:val="0"/>
              <w:adjustRightInd/>
              <w:snapToGrid/>
              <w:spacing w:line="380" w:lineRule="exact"/>
              <w:jc w:val="center"/>
              <w:rPr>
                <w:rFonts w:ascii="Times New Roman" w:hAnsi="Times New Roman" w:cs="Times New Roman"/>
                <w:szCs w:val="21"/>
              </w:rPr>
            </w:pP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年   月   日</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p>
        </w:tc>
      </w:tr>
      <w:tr>
        <w:tblPrEx>
          <w:tblCellMar>
            <w:top w:w="0" w:type="dxa"/>
            <w:left w:w="108" w:type="dxa"/>
            <w:bottom w:w="0" w:type="dxa"/>
            <w:right w:w="108" w:type="dxa"/>
          </w:tblCellMar>
        </w:tblPrEx>
        <w:trPr>
          <w:trHeight w:val="90" w:hRule="atLeast"/>
        </w:trPr>
        <w:tc>
          <w:tcPr>
            <w:tcW w:w="16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imes New Roman" w:hAnsi="Times New Roman" w:cs="Times New Roman"/>
                <w:sz w:val="24"/>
                <w:lang w:eastAsia="zh-CN"/>
              </w:rPr>
            </w:pPr>
            <w:r>
              <w:rPr>
                <w:rFonts w:hint="default" w:ascii="Times New Roman" w:hAnsi="Times New Roman" w:cs="Times New Roman"/>
                <w:sz w:val="24"/>
                <w:lang w:eastAsia="zh-CN"/>
              </w:rPr>
              <w:t>行业</w:t>
            </w:r>
            <w:r>
              <w:rPr>
                <w:rFonts w:hint="eastAsia" w:ascii="Times New Roman" w:hAnsi="Times New Roman" w:cs="Times New Roman"/>
                <w:sz w:val="24"/>
                <w:lang w:eastAsia="zh-CN"/>
              </w:rPr>
              <w:t>主管部门</w:t>
            </w:r>
          </w:p>
          <w:p>
            <w:pPr>
              <w:keepNext w:val="0"/>
              <w:keepLines w:val="0"/>
              <w:pageBreakBefore w:val="0"/>
              <w:kinsoku/>
              <w:wordWrap/>
              <w:overflowPunct/>
              <w:topLinePunct w:val="0"/>
              <w:autoSpaceDE/>
              <w:autoSpaceDN/>
              <w:bidi w:val="0"/>
              <w:adjustRightInd/>
              <w:snapToGrid/>
              <w:spacing w:line="380" w:lineRule="exact"/>
              <w:jc w:val="center"/>
              <w:rPr>
                <w:rFonts w:hint="eastAsia"/>
                <w:sz w:val="24"/>
              </w:rPr>
            </w:pPr>
            <w:r>
              <w:rPr>
                <w:rFonts w:hint="default" w:ascii="Times New Roman" w:hAnsi="Times New Roman" w:cs="Times New Roman"/>
                <w:sz w:val="24"/>
                <w:lang w:val="en" w:eastAsia="zh-CN"/>
              </w:rPr>
              <w:t>认定</w:t>
            </w:r>
            <w:r>
              <w:rPr>
                <w:rFonts w:hint="eastAsia"/>
                <w:sz w:val="24"/>
              </w:rPr>
              <w:t>意见</w:t>
            </w:r>
          </w:p>
        </w:tc>
        <w:tc>
          <w:tcPr>
            <w:tcW w:w="7020" w:type="dxa"/>
            <w:gridSpan w:val="3"/>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right"/>
              <w:rPr>
                <w:rFonts w:hint="eastAsia"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380" w:lineRule="exact"/>
              <w:jc w:val="right"/>
              <w:rPr>
                <w:rFonts w:hint="eastAsia"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380" w:lineRule="exact"/>
              <w:jc w:val="right"/>
              <w:rPr>
                <w:rFonts w:hint="eastAsia" w:ascii="Times New Roman" w:hAnsi="Times New Roman" w:cs="Times New Roman"/>
                <w:szCs w:val="21"/>
              </w:rPr>
            </w:pPr>
            <w:r>
              <w:rPr>
                <w:rFonts w:hint="eastAsia" w:ascii="Times New Roman" w:hAnsi="Times New Roman" w:cs="Times New Roman"/>
                <w:szCs w:val="21"/>
              </w:rPr>
              <w:t xml:space="preserve"> </w:t>
            </w:r>
          </w:p>
          <w:p>
            <w:pPr>
              <w:keepNext w:val="0"/>
              <w:keepLines w:val="0"/>
              <w:pageBreakBefore w:val="0"/>
              <w:kinsoku/>
              <w:wordWrap/>
              <w:overflowPunct/>
              <w:topLinePunct w:val="0"/>
              <w:autoSpaceDE/>
              <w:autoSpaceDN/>
              <w:bidi w:val="0"/>
              <w:adjustRightInd/>
              <w:snapToGrid/>
              <w:spacing w:line="380" w:lineRule="exact"/>
              <w:jc w:val="center"/>
              <w:rPr>
                <w:rFonts w:hint="eastAsia"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盖章</w:t>
            </w:r>
            <w:r>
              <w:rPr>
                <w:rFonts w:hint="eastAsia" w:ascii="Times New Roman" w:hAnsi="Times New Roman" w:cs="Times New Roman"/>
                <w:szCs w:val="21"/>
                <w:lang w:eastAsia="zh-CN"/>
              </w:rPr>
              <w:t>）</w:t>
            </w:r>
            <w:r>
              <w:rPr>
                <w:rFonts w:hint="eastAsia" w:ascii="Times New Roman" w:hAnsi="Times New Roman" w:cs="Times New Roman"/>
                <w:szCs w:val="21"/>
              </w:rPr>
              <w:t xml:space="preserve"> </w:t>
            </w:r>
          </w:p>
          <w:p>
            <w:pPr>
              <w:keepNext w:val="0"/>
              <w:keepLines w:val="0"/>
              <w:pageBreakBefore w:val="0"/>
              <w:kinsoku/>
              <w:wordWrap/>
              <w:overflowPunct/>
              <w:topLinePunct w:val="0"/>
              <w:autoSpaceDE/>
              <w:autoSpaceDN/>
              <w:bidi w:val="0"/>
              <w:adjustRightInd/>
              <w:snapToGrid/>
              <w:spacing w:line="380" w:lineRule="exact"/>
              <w:jc w:val="center"/>
              <w:rPr>
                <w:rFonts w:hint="eastAsia"/>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年   月   日</w:t>
            </w:r>
          </w:p>
        </w:tc>
      </w:tr>
      <w:tr>
        <w:tblPrEx>
          <w:tblCellMar>
            <w:top w:w="0" w:type="dxa"/>
            <w:left w:w="108" w:type="dxa"/>
            <w:bottom w:w="0" w:type="dxa"/>
            <w:right w:w="108" w:type="dxa"/>
          </w:tblCellMar>
        </w:tblPrEx>
        <w:trPr>
          <w:trHeight w:val="2165" w:hRule="atLeast"/>
        </w:trPr>
        <w:tc>
          <w:tcPr>
            <w:tcW w:w="16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sz w:val="24"/>
                <w:lang w:val="en"/>
              </w:rPr>
            </w:pPr>
            <w:r>
              <w:rPr>
                <w:rFonts w:hint="default"/>
                <w:sz w:val="24"/>
                <w:lang w:val="en"/>
              </w:rPr>
              <w:t>征收部门</w:t>
            </w:r>
          </w:p>
          <w:p>
            <w:pPr>
              <w:keepNext w:val="0"/>
              <w:keepLines w:val="0"/>
              <w:pageBreakBefore w:val="0"/>
              <w:kinsoku/>
              <w:wordWrap/>
              <w:overflowPunct/>
              <w:topLinePunct w:val="0"/>
              <w:autoSpaceDE/>
              <w:autoSpaceDN/>
              <w:bidi w:val="0"/>
              <w:adjustRightInd/>
              <w:snapToGrid/>
              <w:spacing w:line="380" w:lineRule="exact"/>
              <w:jc w:val="center"/>
              <w:rPr>
                <w:rFonts w:hint="eastAsia" w:eastAsia="宋体"/>
                <w:kern w:val="2"/>
                <w:sz w:val="24"/>
                <w:szCs w:val="24"/>
                <w:lang w:val="en-US" w:eastAsia="zh-CN" w:bidi="ar-SA"/>
              </w:rPr>
            </w:pPr>
            <w:r>
              <w:rPr>
                <w:rFonts w:hint="eastAsia"/>
                <w:sz w:val="24"/>
              </w:rPr>
              <w:t>意见</w:t>
            </w:r>
          </w:p>
        </w:tc>
        <w:tc>
          <w:tcPr>
            <w:tcW w:w="7020" w:type="dxa"/>
            <w:gridSpan w:val="3"/>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right"/>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firstLine="3675" w:firstLineChars="1750"/>
              <w:jc w:val="center"/>
              <w:rPr>
                <w:rFonts w:hint="eastAsia" w:ascii="Times New Roman" w:hAnsi="Times New Roman" w:cs="Times New Roman"/>
                <w:szCs w:val="21"/>
                <w:lang w:val="en-US" w:eastAsia="zh-CN"/>
              </w:rPr>
            </w:pPr>
          </w:p>
          <w:p>
            <w:pPr>
              <w:keepNext w:val="0"/>
              <w:keepLines w:val="0"/>
              <w:pageBreakBefore w:val="0"/>
              <w:kinsoku/>
              <w:wordWrap/>
              <w:overflowPunct/>
              <w:topLinePunct w:val="0"/>
              <w:autoSpaceDE/>
              <w:autoSpaceDN/>
              <w:bidi w:val="0"/>
              <w:adjustRightInd/>
              <w:snapToGrid/>
              <w:spacing w:line="380" w:lineRule="exact"/>
              <w:ind w:firstLine="3675" w:firstLineChars="1750"/>
              <w:jc w:val="center"/>
              <w:rPr>
                <w:rFonts w:hint="eastAsia" w:ascii="Times New Roman" w:hAnsi="Times New Roman" w:cs="Times New Roman"/>
                <w:szCs w:val="21"/>
                <w:lang w:val="en-US" w:eastAsia="zh-CN"/>
              </w:rPr>
            </w:pPr>
          </w:p>
          <w:p>
            <w:pPr>
              <w:keepNext w:val="0"/>
              <w:keepLines w:val="0"/>
              <w:pageBreakBefore w:val="0"/>
              <w:kinsoku/>
              <w:wordWrap/>
              <w:overflowPunct/>
              <w:topLinePunct w:val="0"/>
              <w:autoSpaceDE/>
              <w:autoSpaceDN/>
              <w:bidi w:val="0"/>
              <w:adjustRightInd/>
              <w:snapToGrid/>
              <w:spacing w:line="380" w:lineRule="exact"/>
              <w:ind w:firstLine="3675" w:firstLineChars="1750"/>
              <w:jc w:val="center"/>
              <w:rPr>
                <w:rFonts w:hint="eastAsia" w:ascii="Times New Roman" w:hAnsi="Times New Roman" w:cs="Times New Roman"/>
                <w:szCs w:val="21"/>
              </w:rPr>
            </w:pPr>
            <w:r>
              <w:rPr>
                <w:rFonts w:hint="eastAsia" w:ascii="Times New Roman" w:hAnsi="Times New Roman" w:cs="Times New Roman"/>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firstLine="3675" w:firstLineChars="1750"/>
              <w:jc w:val="center"/>
              <w:rPr>
                <w:rFonts w:hint="eastAsia" w:eastAsia="宋体"/>
                <w:kern w:val="2"/>
                <w:sz w:val="21"/>
                <w:szCs w:val="21"/>
                <w:lang w:val="en-US" w:eastAsia="zh-CN" w:bidi="ar-SA"/>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年   月   日</w:t>
            </w:r>
            <w:r>
              <w:rPr>
                <w:rFonts w:hint="eastAsia"/>
                <w:szCs w:val="21"/>
              </w:rPr>
              <w:t xml:space="preserve"> </w:t>
            </w:r>
            <w:r>
              <w:rPr>
                <w:szCs w:val="21"/>
              </w:rPr>
              <w:t xml:space="preserve"> </w:t>
            </w:r>
            <w:r>
              <w:rPr>
                <w:rFonts w:hint="eastAsia"/>
                <w:szCs w:val="21"/>
              </w:rPr>
              <w:t xml:space="preserve"> </w:t>
            </w:r>
          </w:p>
        </w:tc>
      </w:tr>
      <w:tr>
        <w:tblPrEx>
          <w:tblCellMar>
            <w:top w:w="0" w:type="dxa"/>
            <w:left w:w="108" w:type="dxa"/>
            <w:bottom w:w="0" w:type="dxa"/>
            <w:right w:w="108" w:type="dxa"/>
          </w:tblCellMar>
        </w:tblPrEx>
        <w:trPr>
          <w:trHeight w:val="1236" w:hRule="atLeast"/>
        </w:trPr>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kern w:val="2"/>
                <w:sz w:val="24"/>
                <w:szCs w:val="24"/>
                <w:lang w:val="en-US" w:eastAsia="zh-CN" w:bidi="ar-SA"/>
              </w:rPr>
            </w:pPr>
            <w:r>
              <w:rPr>
                <w:rFonts w:hint="eastAsia"/>
                <w:sz w:val="24"/>
                <w:lang w:val="en-US" w:eastAsia="zh-CN"/>
              </w:rPr>
              <w:t>备注</w:t>
            </w:r>
          </w:p>
        </w:tc>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eastAsia="宋体"/>
                <w:sz w:val="24"/>
                <w:szCs w:val="24"/>
                <w:lang w:val="en" w:eastAsia="zh-CN"/>
              </w:rPr>
            </w:pPr>
            <w:r>
              <w:rPr>
                <w:rFonts w:hint="default"/>
                <w:sz w:val="24"/>
                <w:szCs w:val="24"/>
                <w:lang w:val="en"/>
              </w:rPr>
              <w:t>申请人应同步提交相关证明材料</w:t>
            </w:r>
            <w:r>
              <w:rPr>
                <w:rFonts w:hint="eastAsia"/>
                <w:sz w:val="24"/>
                <w:szCs w:val="24"/>
                <w:lang w:val="en"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eastAsia="宋体"/>
                <w:kern w:val="2"/>
                <w:sz w:val="21"/>
                <w:szCs w:val="21"/>
                <w:lang w:val="en-US" w:eastAsia="zh-CN" w:bidi="ar-SA"/>
              </w:rPr>
            </w:pPr>
          </w:p>
        </w:tc>
      </w:tr>
    </w:tbl>
    <w:p>
      <w:pPr>
        <w:rPr>
          <w:rFonts w:hint="eastAsia"/>
        </w:rPr>
      </w:pPr>
      <w:r>
        <w:rPr>
          <w:rFonts w:hint="eastAsia"/>
          <w:sz w:val="28"/>
          <w:lang w:val="en-US" w:eastAsia="zh-CN"/>
        </w:rPr>
        <w:t xml:space="preserve">                                     </w:t>
      </w:r>
    </w:p>
    <w:p>
      <w:pPr>
        <w:rPr>
          <w:rFonts w:hint="default"/>
          <w:lang w:val="en-US" w:eastAsia="zh-CN"/>
        </w:rPr>
      </w:pPr>
    </w:p>
    <w:sectPr>
      <w:footerReference r:id="rId3" w:type="default"/>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703B1"/>
    <w:rsid w:val="00F429B3"/>
    <w:rsid w:val="15BC0A99"/>
    <w:rsid w:val="16A91EF8"/>
    <w:rsid w:val="17B45267"/>
    <w:rsid w:val="26422880"/>
    <w:rsid w:val="277E0924"/>
    <w:rsid w:val="2A355FB6"/>
    <w:rsid w:val="2F270D46"/>
    <w:rsid w:val="33032E07"/>
    <w:rsid w:val="35944C23"/>
    <w:rsid w:val="3AB703B1"/>
    <w:rsid w:val="3BB25BF2"/>
    <w:rsid w:val="3E2536C5"/>
    <w:rsid w:val="3FC165DA"/>
    <w:rsid w:val="409E17CC"/>
    <w:rsid w:val="44690EF5"/>
    <w:rsid w:val="48226458"/>
    <w:rsid w:val="4BEE696E"/>
    <w:rsid w:val="50085D38"/>
    <w:rsid w:val="51F64399"/>
    <w:rsid w:val="54A604E0"/>
    <w:rsid w:val="5D933443"/>
    <w:rsid w:val="5F953BAA"/>
    <w:rsid w:val="662B32DA"/>
    <w:rsid w:val="68093F62"/>
    <w:rsid w:val="6B041DB7"/>
    <w:rsid w:val="6EFB3121"/>
    <w:rsid w:val="6FAE6693"/>
    <w:rsid w:val="70A014F7"/>
    <w:rsid w:val="73581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600" w:lineRule="atLeast"/>
      <w:ind w:firstLine="0" w:firstLineChars="0"/>
      <w:jc w:val="center"/>
    </w:pPr>
    <w:rPr>
      <w:rFonts w:eastAsia="创艺简标宋"/>
      <w:sz w:val="44"/>
    </w:rPr>
  </w:style>
  <w:style w:type="paragraph" w:styleId="3">
    <w:name w:val="Body Text First Indent"/>
    <w:basedOn w:val="2"/>
    <w:next w:val="2"/>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line="240" w:lineRule="auto"/>
      <w:jc w:val="left"/>
    </w:pPr>
    <w:rPr>
      <w:rFonts w:ascii="宋体" w:hAnsi="宋体" w:eastAsia="宋体" w:cs="宋体"/>
      <w:snapToGrid/>
      <w:kern w:val="0"/>
      <w:sz w:val="24"/>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正文文本缩进 21"/>
    <w:basedOn w:val="1"/>
    <w:qFormat/>
    <w:uiPriority w:val="99"/>
    <w:pPr>
      <w:spacing w:after="120" w:line="480" w:lineRule="auto"/>
      <w:ind w:left="200" w:leftChars="200"/>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2024-08-15T14:46:00Z</dcterms:created>
  <dc:creator>Administrator</dc:creator>
  <cp:lastModifiedBy>景宁县财政局文书</cp:lastModifiedBy>
  <cp:lastPrinted>2024-08-19T02:55:56Z</cp:lastPrinted>
  <dcterms:modified xsi:type="dcterms:W3CDTF">2024-08-19T02:56:42Z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DBE74E1D2D2B4765B8766A08551E2D19</vt:lpwstr>
  </property>
</Properties>
</file>