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99E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台州市发展和改革委员会  台州市综合行政执法局关于</w:t>
      </w:r>
      <w:r>
        <w:rPr>
          <w:rFonts w:hint="eastAsia" w:ascii="方正小标宋简体" w:hAnsi="方正小标宋简体" w:eastAsia="方正小标宋简体" w:cs="方正小标宋简体"/>
          <w:w w:val="90"/>
          <w:sz w:val="44"/>
          <w:szCs w:val="44"/>
          <w:lang w:val="en-US" w:eastAsia="zh-CN"/>
        </w:rPr>
        <w:t>修改</w:t>
      </w:r>
      <w:r>
        <w:rPr>
          <w:rFonts w:hint="eastAsia" w:ascii="方正小标宋简体" w:hAnsi="方正小标宋简体" w:eastAsia="方正小标宋简体" w:cs="方正小标宋简体"/>
          <w:w w:val="90"/>
          <w:sz w:val="44"/>
          <w:szCs w:val="44"/>
        </w:rPr>
        <w:t>市区居民管道燃气工程安装服务</w:t>
      </w:r>
    </w:p>
    <w:p w14:paraId="6E22C0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收费</w:t>
      </w:r>
      <w:r>
        <w:rPr>
          <w:rFonts w:hint="eastAsia" w:ascii="方正小标宋简体" w:hAnsi="方正小标宋简体" w:eastAsia="方正小标宋简体" w:cs="方正小标宋简体"/>
          <w:w w:val="90"/>
          <w:sz w:val="44"/>
          <w:szCs w:val="44"/>
          <w:lang w:val="en-US" w:eastAsia="zh-CN"/>
        </w:rPr>
        <w:t>部分事项</w:t>
      </w:r>
      <w:r>
        <w:rPr>
          <w:rFonts w:hint="eastAsia" w:ascii="方正小标宋简体" w:hAnsi="方正小标宋简体" w:eastAsia="方正小标宋简体" w:cs="方正小标宋简体"/>
          <w:w w:val="90"/>
          <w:sz w:val="44"/>
          <w:szCs w:val="44"/>
        </w:rPr>
        <w:t>的通知</w:t>
      </w:r>
    </w:p>
    <w:p w14:paraId="6FCDE4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46AA15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0F230D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各区发改局、综合行政执法局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市区各房地产开发企业、管道燃气经营企业、管道燃气工程安装企业：</w:t>
      </w:r>
    </w:p>
    <w:p w14:paraId="3C8C2B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经研究决定，对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台州市发改委  台州市综合行政执法局关于调整市区居民管道燃气工程安装服务收费及有关事项的通</w:t>
      </w:r>
    </w:p>
    <w:p w14:paraId="042F8A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台发改价格〔2019〕216号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作如下修改：</w:t>
      </w:r>
    </w:p>
    <w:p w14:paraId="756E89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删除市区居民管道燃气工程安装费最高指导价标准</w:t>
      </w:r>
      <w:r>
        <w:rPr>
          <w:rFonts w:hint="eastAsia" w:ascii="Times New Roman" w:hAnsi="Times New Roman" w:eastAsia="仿宋_GB2312" w:cs="Times New Roman"/>
          <w:sz w:val="32"/>
          <w:szCs w:val="32"/>
          <w:highlight w:val="none"/>
          <w:lang w:val="en-US" w:eastAsia="zh-CN"/>
        </w:rPr>
        <w:t>表</w:t>
      </w:r>
      <w:r>
        <w:rPr>
          <w:rFonts w:hint="default" w:ascii="Times New Roman" w:hAnsi="Times New Roman" w:eastAsia="仿宋_GB2312" w:cs="Times New Roman"/>
          <w:sz w:val="32"/>
          <w:szCs w:val="32"/>
          <w:highlight w:val="none"/>
          <w:lang w:val="en-US" w:eastAsia="zh-CN"/>
        </w:rPr>
        <w:t>备注</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本标准含文件规定的表后材料费和人工费</w:t>
      </w:r>
      <w:r>
        <w:rPr>
          <w:rFonts w:hint="eastAsia" w:ascii="Times New Roman" w:hAnsi="Times New Roman" w:eastAsia="仿宋_GB2312" w:cs="Times New Roman"/>
          <w:sz w:val="32"/>
          <w:szCs w:val="32"/>
          <w:highlight w:val="none"/>
          <w:lang w:val="en-US" w:eastAsia="zh-CN"/>
        </w:rPr>
        <w:t>”。</w:t>
      </w:r>
      <w:bookmarkStart w:id="0" w:name="_GoBack"/>
      <w:bookmarkEnd w:id="0"/>
    </w:p>
    <w:p w14:paraId="58E3D2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本通知自发文之日起执行。</w:t>
      </w:r>
    </w:p>
    <w:p w14:paraId="79A58F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14:paraId="190DD9C5">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附件：台州市发展和改革委员会  台州市综合行政执法局关于调整市区居民管道燃气工程安装服务收费及有关事项的通知</w:t>
      </w:r>
    </w:p>
    <w:p w14:paraId="348102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14:paraId="173C37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台州市</w:t>
      </w:r>
      <w:r>
        <w:rPr>
          <w:rFonts w:hint="default" w:ascii="Times New Roman" w:hAnsi="Times New Roman" w:eastAsia="仿宋_GB2312" w:cs="Times New Roman"/>
          <w:sz w:val="32"/>
          <w:szCs w:val="32"/>
          <w:lang w:val="en-US" w:eastAsia="zh-CN"/>
        </w:rPr>
        <w:t>发展和改革</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员会</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台州市综合行政执法局</w:t>
      </w:r>
    </w:p>
    <w:p w14:paraId="79D560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2025年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p w14:paraId="434C55E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11749058">
      <w:pPr>
        <w:spacing w:line="400" w:lineRule="exact"/>
        <w:rPr>
          <w:rFonts w:hint="eastAsia" w:eastAsia="方正小标宋简体" w:cs="Times New Roman"/>
          <w:sz w:val="44"/>
        </w:rPr>
      </w:pPr>
      <w:r>
        <w:rPr>
          <w:rFonts w:hint="eastAsia" w:ascii="黑体" w:hAnsi="黑体" w:eastAsia="黑体" w:cs="黑体"/>
          <w:sz w:val="32"/>
          <w:szCs w:val="32"/>
          <w:lang w:val="en-US" w:eastAsia="zh-CN"/>
        </w:rPr>
        <w:t xml:space="preserve">附件                                   </w:t>
      </w:r>
    </w:p>
    <w:p w14:paraId="67E6A0A8">
      <w:pPr>
        <w:spacing w:line="600" w:lineRule="exact"/>
        <w:ind w:left="210" w:leftChars="100"/>
        <w:jc w:val="center"/>
        <w:rPr>
          <w:rFonts w:hint="eastAsia" w:eastAsia="华文中宋" w:cs="Times New Roman"/>
          <w:b/>
          <w:color w:val="FF0000"/>
          <w:sz w:val="100"/>
        </w:rPr>
      </w:pPr>
    </w:p>
    <w:p w14:paraId="11887A16">
      <w:pPr>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ascii="方正小标宋简体" w:hAnsi="方正小标宋简体" w:eastAsia="方正小标宋简体" w:cs="Times New Roman"/>
          <w:sz w:val="44"/>
          <w:szCs w:val="44"/>
        </w:rPr>
      </w:pPr>
    </w:p>
    <w:p w14:paraId="326D0D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w w:val="90"/>
          <w:sz w:val="44"/>
          <w:szCs w:val="44"/>
        </w:rPr>
        <w:t>台州市发展和改革委员会</w:t>
      </w:r>
      <w:r>
        <w:rPr>
          <w:rFonts w:hint="default" w:ascii="Times New Roman" w:hAnsi="Times New Roman" w:eastAsia="方正小标宋简体" w:cs="Times New Roman"/>
          <w:color w:val="000000" w:themeColor="text1"/>
          <w:sz w:val="44"/>
          <w:szCs w:val="44"/>
          <w14:textFill>
            <w14:solidFill>
              <w14:schemeClr w14:val="tx1"/>
            </w14:solidFill>
          </w14:textFill>
        </w:rPr>
        <w:t xml:space="preserve">  台州市综合行政执法局关于调整市区居民管道燃气工程安装</w:t>
      </w:r>
    </w:p>
    <w:p w14:paraId="7972E2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服务收费及有关事项的通知</w:t>
      </w:r>
    </w:p>
    <w:p w14:paraId="21AF15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（2019年11月14日台发改价格〔2019〕216号发布，根据2025年 月 日台发改价格〔2025〕 号《台州市发展和改革委员会  台州市综合行政执法局关于修改市区居民管道燃气工程安装服务收费部分事项的通知》修改）</w:t>
      </w:r>
      <w:r>
        <w:rPr>
          <w:rFonts w:hint="eastAsia" w:ascii="楷体_GB2312" w:hAnsi="楷体_GB2312" w:eastAsia="楷体_GB2312" w:cs="楷体_GB2312"/>
          <w:color w:val="000000" w:themeColor="text1"/>
          <w:sz w:val="32"/>
          <w:szCs w:val="32"/>
          <w14:textFill>
            <w14:solidFill>
              <w14:schemeClr w14:val="tx1"/>
            </w14:solidFill>
          </w14:textFill>
        </w:rPr>
        <w:t> </w:t>
      </w:r>
    </w:p>
    <w:p w14:paraId="2F4187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5EA21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各区发改局、综合行政执法局,市区各房地产开发企业、管道燃气经营企业、管道燃气工程安装企业：</w:t>
      </w:r>
    </w:p>
    <w:p w14:paraId="794A61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为规范管道燃气工程安装服务价格行为，落实国家“减税降费、优化营商环境”的要求，结合成本监审情况，现就调整市区居民管道燃气工程安装服务收费及有关事项通知如下：</w:t>
      </w:r>
    </w:p>
    <w:p w14:paraId="70765F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居民城镇燃气工程安装费是指为保障用户通气，燃气相关企业提供建筑区划红线内燃气工程勘察、设计、施工、监理、验收等服务而收取的与工程建设相关的服务费和材料费等费用。燃气工程安装费含管道燃气设施预埋费和改造费。居民管道燃气设施预埋费和改造费分别适用于新建住宅和未通气存量住宅的燃气计量表及表前燃气工程安装服务及材料等费用支出。</w:t>
      </w:r>
    </w:p>
    <w:p w14:paraId="63C515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居民管道燃气设施预埋费向住宅开发单位收取，计入新建住宅开发建设成本,住宅开发单位不得在住房销售价格以外向购房者另行收取。居民管道燃气设施改造费向申请改造的居民用户收取。燃气相关企业开展管道燃气工程安装业务，双方应签订服务合同。</w:t>
      </w:r>
    </w:p>
    <w:p w14:paraId="192642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三、降低居民管道燃气工程安装费标准。居民管道燃气工程安装费实行最高指导价管理，管道燃气经营或安装单位可根据企业实际情况下浮收费标准。调整后的最高指导价标准详见附件。</w:t>
      </w:r>
    </w:p>
    <w:p w14:paraId="1DABA3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四、本通知规定的居民管道燃气工程安装费最高指导价标准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，包括了一个计量表、两个用气阀门、中压进户的户内调压器和户内10米以内的管线。住宅开发单位需增加管线或改装等服务，双方本着自愿委托、</w:t>
      </w:r>
      <w:r>
        <w:rPr>
          <w:rFonts w:hint="default" w:ascii="Times New Roman" w:hAnsi="Times New Roman" w:eastAsia="仿宋_GB2312" w:cs="Times New Roman"/>
          <w:color w:val="000000" w:themeColor="text1"/>
          <w:sz w:val="32"/>
          <w:szCs w:val="32"/>
          <w14:textFill>
            <w14:solidFill>
              <w14:schemeClr w14:val="tx1"/>
            </w14:solidFill>
          </w14:textFill>
        </w:rPr>
        <w:t>有偿服务的原则协商确定；用户有个性化需求要求增加管线或改装的，所需费用按成本价结算。</w:t>
      </w:r>
    </w:p>
    <w:p w14:paraId="709AAC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五、管道燃气工程建成后，由燃气经营企业承担管道燃气设施的日常运行和维护管理工作，相关成本纳入燃气配气价格，燃气经营企业不得另行收取费用。</w:t>
      </w:r>
    </w:p>
    <w:p w14:paraId="1D2C80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六、管道燃气经营或安装单位提供管道燃气工程安装服务时应按规定实行明码标价。</w:t>
      </w:r>
    </w:p>
    <w:p w14:paraId="28E050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七、本通知自2020年1月1日起执行。台州市发改委 台州市建设局《关于规范市区住宅小区管道燃气配套设施建设收费的通知》（台计收费[2008]269号）、《关于进一步规范管道燃气设施预埋和改造收费的补充通知》（台发改价格[2012]206号）同时废止。</w:t>
      </w:r>
    </w:p>
    <w:p w14:paraId="114964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1C4A64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附件：市区居民管道燃气工程安装费最高指导价标准</w:t>
      </w:r>
    </w:p>
    <w:p w14:paraId="2A5BB2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14:paraId="4C4DD9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6473DF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6E470DD7">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5749533B">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3F9823E1">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35E93A38">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2389214A">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78D6BE91">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4FBEBE4C">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189722AC">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102B88F4">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42C1D213">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339330A5">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pPr>
    </w:p>
    <w:p w14:paraId="6DA5D200">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黑体" w:hAnsi="黑体" w:eastAsia="黑体" w:cs="仿宋_GB2312"/>
          <w:sz w:val="32"/>
          <w:szCs w:val="32"/>
        </w:rPr>
        <w:sectPr>
          <w:footerReference r:id="rId3" w:type="default"/>
          <w:pgSz w:w="11906" w:h="16838"/>
          <w:pgMar w:top="2098" w:right="1587" w:bottom="1984" w:left="1587" w:header="851" w:footer="1587" w:gutter="0"/>
          <w:pgNumType w:fmt="decimal"/>
          <w:cols w:space="0" w:num="1"/>
          <w:rtlGutter w:val="0"/>
          <w:docGrid w:linePitch="312" w:charSpace="0"/>
        </w:sectPr>
      </w:pPr>
    </w:p>
    <w:p w14:paraId="4FA9E96E">
      <w:pPr>
        <w:pBdr>
          <w:top w:val="none" w:color="auto" w:sz="0" w:space="0"/>
          <w:left w:val="none" w:color="auto" w:sz="0" w:space="0"/>
          <w:bottom w:val="none" w:color="auto" w:sz="0" w:space="0"/>
          <w:right w:val="none" w:color="auto" w:sz="0" w:space="0"/>
          <w:between w:val="none" w:color="auto" w:sz="0" w:space="0"/>
        </w:pBdr>
        <w:spacing w:line="600" w:lineRule="exact"/>
        <w:rPr>
          <w:rFonts w:ascii="黑体" w:hAnsi="黑体" w:eastAsia="黑体" w:cs="仿宋_GB2312"/>
          <w:sz w:val="32"/>
          <w:szCs w:val="32"/>
        </w:rPr>
      </w:pPr>
      <w:r>
        <w:rPr>
          <w:rFonts w:hint="eastAsia" w:ascii="黑体" w:hAnsi="黑体" w:eastAsia="黑体" w:cs="仿宋_GB2312"/>
          <w:sz w:val="32"/>
          <w:szCs w:val="32"/>
        </w:rPr>
        <w:t>附件</w:t>
      </w:r>
    </w:p>
    <w:p w14:paraId="11A6BB51">
      <w:pPr>
        <w:pBdr>
          <w:top w:val="none" w:color="auto" w:sz="0" w:space="0"/>
          <w:left w:val="none" w:color="auto" w:sz="0" w:space="0"/>
          <w:bottom w:val="none" w:color="auto" w:sz="0" w:space="0"/>
          <w:right w:val="none" w:color="auto" w:sz="0" w:space="0"/>
          <w:between w:val="none" w:color="auto" w:sz="0" w:space="0"/>
        </w:pBdr>
        <w:spacing w:line="600" w:lineRule="exact"/>
        <w:jc w:val="left"/>
        <w:rPr>
          <w:rFonts w:ascii="仿宋_GB2312" w:hAnsi="仿宋_GB2312" w:eastAsia="仿宋_GB2312" w:cs="仿宋_GB2312"/>
          <w:sz w:val="32"/>
          <w:szCs w:val="32"/>
        </w:rPr>
      </w:pPr>
    </w:p>
    <w:p w14:paraId="1B8CE821">
      <w:pPr>
        <w:pBdr>
          <w:top w:val="none" w:color="auto" w:sz="0" w:space="0"/>
          <w:left w:val="none" w:color="auto" w:sz="0" w:space="0"/>
          <w:bottom w:val="none" w:color="auto" w:sz="0" w:space="0"/>
          <w:right w:val="none" w:color="auto" w:sz="0" w:space="0"/>
          <w:between w:val="none" w:color="auto" w:sz="0" w:space="0"/>
        </w:pBdr>
        <w:tabs>
          <w:tab w:val="center" w:pos="7399"/>
          <w:tab w:val="left" w:pos="12259"/>
        </w:tabs>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市区居民管道燃气工程安装费最高指导价标准</w:t>
      </w:r>
    </w:p>
    <w:p w14:paraId="71A3C12F">
      <w:pPr>
        <w:pBdr>
          <w:top w:val="none" w:color="auto" w:sz="0" w:space="0"/>
          <w:left w:val="none" w:color="auto" w:sz="0" w:space="0"/>
          <w:bottom w:val="none" w:color="auto" w:sz="0" w:space="0"/>
          <w:right w:val="none" w:color="auto" w:sz="0" w:space="0"/>
          <w:between w:val="none" w:color="auto" w:sz="0" w:space="0"/>
        </w:pBdr>
        <w:tabs>
          <w:tab w:val="center" w:pos="7399"/>
          <w:tab w:val="left" w:pos="12259"/>
        </w:tabs>
        <w:spacing w:line="600" w:lineRule="exact"/>
        <w:jc w:val="left"/>
        <w:rPr>
          <w:rFonts w:ascii="方正小标宋简体" w:hAnsi="方正小标宋简体" w:eastAsia="方正小标宋简体" w:cs="方正小标宋简体"/>
          <w:sz w:val="44"/>
          <w:szCs w:val="44"/>
        </w:rPr>
      </w:pPr>
    </w:p>
    <w:p w14:paraId="731913FB">
      <w:pPr>
        <w:pBdr>
          <w:top w:val="none" w:color="auto" w:sz="0" w:space="0"/>
          <w:left w:val="none" w:color="auto" w:sz="0" w:space="0"/>
          <w:bottom w:val="none" w:color="auto" w:sz="0" w:space="0"/>
          <w:right w:val="none" w:color="auto" w:sz="0" w:space="0"/>
          <w:between w:val="none" w:color="auto" w:sz="0" w:space="0"/>
        </w:pBdr>
        <w:tabs>
          <w:tab w:val="center" w:pos="7399"/>
          <w:tab w:val="left" w:pos="12259"/>
        </w:tabs>
        <w:ind w:right="780"/>
        <w:jc w:val="right"/>
        <w:rPr>
          <w:rFonts w:ascii="仿宋_GB2312" w:hAnsi="仿宋_GB2312" w:eastAsia="仿宋_GB2312" w:cs="宋体"/>
          <w:sz w:val="24"/>
        </w:rPr>
      </w:pPr>
      <w:r>
        <w:rPr>
          <w:rFonts w:hint="eastAsia" w:ascii="仿宋_GB2312" w:hAnsi="仿宋_GB2312" w:eastAsia="仿宋_GB2312" w:cs="宋体"/>
          <w:sz w:val="24"/>
        </w:rPr>
        <w:t>单位：元</w:t>
      </w:r>
      <w:r>
        <w:rPr>
          <w:rFonts w:ascii="仿宋_GB2312" w:hAnsi="仿宋_GB2312" w:eastAsia="仿宋_GB2312" w:cs="宋体"/>
          <w:sz w:val="24"/>
        </w:rPr>
        <w:t>/</w:t>
      </w:r>
      <w:r>
        <w:rPr>
          <w:rFonts w:hint="eastAsia" w:ascii="仿宋_GB2312" w:hAnsi="仿宋_GB2312" w:eastAsia="仿宋_GB2312" w:cs="宋体"/>
          <w:sz w:val="24"/>
        </w:rPr>
        <w:t>户</w:t>
      </w:r>
    </w:p>
    <w:tbl>
      <w:tblPr>
        <w:tblStyle w:val="3"/>
        <w:tblW w:w="12725" w:type="dxa"/>
        <w:jc w:val="center"/>
        <w:tblLayout w:type="autofit"/>
        <w:tblCellMar>
          <w:top w:w="0" w:type="dxa"/>
          <w:left w:w="10" w:type="dxa"/>
          <w:bottom w:w="0" w:type="dxa"/>
          <w:right w:w="10" w:type="dxa"/>
        </w:tblCellMar>
      </w:tblPr>
      <w:tblGrid>
        <w:gridCol w:w="1539"/>
        <w:gridCol w:w="1440"/>
        <w:gridCol w:w="960"/>
        <w:gridCol w:w="968"/>
        <w:gridCol w:w="1090"/>
        <w:gridCol w:w="1516"/>
        <w:gridCol w:w="962"/>
        <w:gridCol w:w="1011"/>
        <w:gridCol w:w="3239"/>
      </w:tblGrid>
      <w:tr w14:paraId="12B0814D">
        <w:tblPrEx>
          <w:tblCellMar>
            <w:top w:w="0" w:type="dxa"/>
            <w:left w:w="10" w:type="dxa"/>
            <w:bottom w:w="0" w:type="dxa"/>
            <w:right w:w="10" w:type="dxa"/>
          </w:tblCellMar>
        </w:tblPrEx>
        <w:trPr>
          <w:trHeight w:val="535" w:hRule="atLeast"/>
          <w:jc w:val="center"/>
        </w:trPr>
        <w:tc>
          <w:tcPr>
            <w:tcW w:w="490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CC4F1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预埋费（户）</w:t>
            </w:r>
          </w:p>
        </w:tc>
        <w:tc>
          <w:tcPr>
            <w:tcW w:w="457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B461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改造费（户）</w:t>
            </w:r>
          </w:p>
        </w:tc>
        <w:tc>
          <w:tcPr>
            <w:tcW w:w="32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A91DB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备注</w:t>
            </w:r>
          </w:p>
        </w:tc>
      </w:tr>
      <w:tr w14:paraId="41E40461">
        <w:tblPrEx>
          <w:tblCellMar>
            <w:top w:w="0" w:type="dxa"/>
            <w:left w:w="10" w:type="dxa"/>
            <w:bottom w:w="0" w:type="dxa"/>
            <w:right w:w="10" w:type="dxa"/>
          </w:tblCellMar>
        </w:tblPrEx>
        <w:trPr>
          <w:trHeight w:val="1192" w:hRule="atLeast"/>
          <w:jc w:val="center"/>
        </w:trPr>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3B8BB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经济适用房和廉租房</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5443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普通住宅（含多层、高层）</w:t>
            </w: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87C8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排屋</w:t>
            </w:r>
          </w:p>
        </w:tc>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51D1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p>
          <w:p w14:paraId="6BCEB11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别墅</w:t>
            </w:r>
          </w:p>
          <w:p w14:paraId="1E74DD1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p>
        </w:tc>
        <w:tc>
          <w:tcPr>
            <w:tcW w:w="10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90854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经济适用房和廉租房</w:t>
            </w:r>
          </w:p>
        </w:tc>
        <w:tc>
          <w:tcPr>
            <w:tcW w:w="1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C6E1B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普通住宅（含</w:t>
            </w:r>
            <w:r>
              <w:rPr>
                <w:rFonts w:hint="eastAsia" w:ascii="Times New Roman" w:hAnsi="Times New Roman" w:eastAsia="仿宋_GB2312" w:cs="Times New Roman"/>
                <w:b/>
                <w:sz w:val="24"/>
                <w:lang w:eastAsia="zh-CN"/>
              </w:rPr>
              <w:t>多</w:t>
            </w:r>
            <w:r>
              <w:rPr>
                <w:rFonts w:hint="eastAsia" w:ascii="Times New Roman" w:hAnsi="Times New Roman" w:eastAsia="仿宋_GB2312" w:cs="Times New Roman"/>
                <w:b/>
                <w:sz w:val="24"/>
              </w:rPr>
              <w:t>层、高层）</w:t>
            </w: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1011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排屋</w:t>
            </w:r>
          </w:p>
        </w:tc>
        <w:tc>
          <w:tcPr>
            <w:tcW w:w="10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39557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r>
              <w:rPr>
                <w:rFonts w:hint="eastAsia" w:ascii="Times New Roman" w:hAnsi="Times New Roman" w:eastAsia="仿宋_GB2312" w:cs="Times New Roman"/>
                <w:b/>
                <w:sz w:val="24"/>
              </w:rPr>
              <w:t>别墅</w:t>
            </w:r>
          </w:p>
        </w:tc>
        <w:tc>
          <w:tcPr>
            <w:tcW w:w="32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C3555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b/>
                <w:sz w:val="24"/>
              </w:rPr>
            </w:pPr>
          </w:p>
        </w:tc>
      </w:tr>
      <w:tr w14:paraId="0EE5BC0C">
        <w:tblPrEx>
          <w:tblCellMar>
            <w:top w:w="0" w:type="dxa"/>
            <w:left w:w="10" w:type="dxa"/>
            <w:bottom w:w="0" w:type="dxa"/>
            <w:right w:w="10" w:type="dxa"/>
          </w:tblCellMar>
        </w:tblPrEx>
        <w:trPr>
          <w:trHeight w:val="1659" w:hRule="atLeast"/>
          <w:jc w:val="center"/>
        </w:trPr>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75CB0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2000</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72515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2800</w:t>
            </w:r>
          </w:p>
        </w:tc>
        <w:tc>
          <w:tcPr>
            <w:tcW w:w="9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080C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3500</w:t>
            </w:r>
          </w:p>
        </w:tc>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1AEE4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4000</w:t>
            </w:r>
          </w:p>
        </w:tc>
        <w:tc>
          <w:tcPr>
            <w:tcW w:w="10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E115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1800</w:t>
            </w:r>
          </w:p>
        </w:tc>
        <w:tc>
          <w:tcPr>
            <w:tcW w:w="1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8332EE">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2500</w:t>
            </w: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BB9C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3000</w:t>
            </w:r>
          </w:p>
        </w:tc>
        <w:tc>
          <w:tcPr>
            <w:tcW w:w="10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B934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仿宋_GB2312" w:cs="Times New Roman"/>
                <w:sz w:val="24"/>
              </w:rPr>
            </w:pPr>
            <w:r>
              <w:rPr>
                <w:rFonts w:ascii="Times New Roman" w:hAnsi="Times New Roman" w:eastAsia="仿宋_GB2312" w:cs="Times New Roman"/>
                <w:sz w:val="24"/>
              </w:rPr>
              <w:t>3600</w:t>
            </w:r>
          </w:p>
        </w:tc>
        <w:tc>
          <w:tcPr>
            <w:tcW w:w="32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87921C">
            <w:pPr>
              <w:numPr>
                <w:ilvl w:val="0"/>
                <w:numId w:val="0"/>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仿宋_GB2312" w:cs="Times New Roman"/>
                <w:sz w:val="24"/>
              </w:rPr>
            </w:pPr>
            <w:r>
              <w:rPr>
                <w:rFonts w:hint="eastAsia" w:ascii="Times New Roman" w:hAnsi="Times New Roman" w:eastAsia="仿宋_GB2312" w:cs="Times New Roman"/>
                <w:sz w:val="24"/>
              </w:rPr>
              <w:t>低保户改造</w:t>
            </w:r>
            <w:r>
              <w:rPr>
                <w:rFonts w:ascii="Times New Roman" w:hAnsi="Times New Roman" w:eastAsia="仿宋_GB2312" w:cs="Times New Roman"/>
                <w:sz w:val="24"/>
              </w:rPr>
              <w:t>1200</w:t>
            </w:r>
            <w:r>
              <w:rPr>
                <w:rFonts w:hint="eastAsia" w:ascii="仿宋_GB2312" w:hAnsi="仿宋_GB2312" w:eastAsia="仿宋_GB2312" w:cs="宋体"/>
                <w:sz w:val="24"/>
              </w:rPr>
              <w:t>元</w:t>
            </w:r>
            <w:r>
              <w:rPr>
                <w:rFonts w:ascii="仿宋_GB2312" w:hAnsi="仿宋_GB2312" w:eastAsia="仿宋_GB2312" w:cs="宋体"/>
                <w:sz w:val="24"/>
              </w:rPr>
              <w:t>/</w:t>
            </w:r>
            <w:r>
              <w:rPr>
                <w:rFonts w:hint="eastAsia" w:ascii="仿宋_GB2312" w:hAnsi="仿宋_GB2312" w:eastAsia="仿宋_GB2312" w:cs="宋体"/>
                <w:sz w:val="24"/>
              </w:rPr>
              <w:t>户</w:t>
            </w:r>
            <w:r>
              <w:rPr>
                <w:rFonts w:hint="eastAsia" w:ascii="Times New Roman" w:hAnsi="Times New Roman" w:eastAsia="仿宋_GB2312" w:cs="Times New Roman"/>
                <w:sz w:val="24"/>
              </w:rPr>
              <w:t>；</w:t>
            </w:r>
          </w:p>
          <w:p w14:paraId="2E153587">
            <w:pPr>
              <w:numPr>
                <w:ilvl w:val="0"/>
                <w:numId w:val="0"/>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仿宋_GB2312" w:cs="Times New Roman"/>
                <w:sz w:val="24"/>
              </w:rPr>
            </w:pPr>
          </w:p>
        </w:tc>
      </w:tr>
    </w:tbl>
    <w:p w14:paraId="668EF81B">
      <w:pPr>
        <w:rPr>
          <w:rFonts w:hint="eastAsia"/>
          <w:lang w:val="en-US" w:eastAsia="zh-CN"/>
        </w:rPr>
      </w:pPr>
    </w:p>
    <w:p w14:paraId="173DFB65"/>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83E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BFEA2">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DDBFEA2">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zkzZDNmYTk0NTVlNTBiNDRmZmUwZWRhOTllMjMifQ=="/>
  </w:docVars>
  <w:rsids>
    <w:rsidRoot w:val="3EA718ED"/>
    <w:rsid w:val="05EA1886"/>
    <w:rsid w:val="3EA7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jc w:val="left"/>
    </w:pPr>
    <w:rPr>
      <w:rFonts w:ascii="Calibri" w:hAnsi="Calibri" w:eastAsia="宋体" w:cs="Times New Roman"/>
      <w:kern w:val="1"/>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1407</Words>
  <Characters>1478</Characters>
  <Lines>0</Lines>
  <Paragraphs>0</Paragraphs>
  <TotalTime>0</TotalTime>
  <ScaleCrop>false</ScaleCrop>
  <LinksUpToDate>false</LinksUpToDate>
  <CharactersWithSpaces>1567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2025-03-18T02:40:00Z</dcterms:created>
  <dc:creator>葛建国</dc:creator>
  <cp:lastModifiedBy>葛建国</cp:lastModifiedBy>
  <dcterms:modified xsi:type="dcterms:W3CDTF">2025-03-18T06:33:50Z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29BD4C2530A0412C955108677521E84F_11</vt:lpwstr>
  </property>
</Properties>
</file>