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Style w:val="5"/>
          <w:rFonts w:hint="eastAsia" w:ascii="方正小标宋简体" w:hAnsi="方正小标宋简体" w:eastAsia="方正小标宋简体" w:cs="方正小标宋简体"/>
          <w:b w:val="0"/>
          <w:bCs w:val="0"/>
          <w:sz w:val="44"/>
          <w:szCs w:val="44"/>
          <w:bdr w:val="none" w:color="auto" w:sz="0" w:space="0"/>
          <w:vertAlign w:val="baseline"/>
        </w:rPr>
      </w:pPr>
      <w:bookmarkStart w:id="0" w:name="_GoBack"/>
      <w:r>
        <w:rPr>
          <w:rStyle w:val="5"/>
          <w:rFonts w:hint="eastAsia" w:ascii="方正小标宋简体" w:hAnsi="方正小标宋简体" w:eastAsia="方正小标宋简体" w:cs="方正小标宋简体"/>
          <w:b w:val="0"/>
          <w:bCs w:val="0"/>
          <w:sz w:val="44"/>
          <w:szCs w:val="44"/>
          <w:bdr w:val="none" w:color="auto" w:sz="0" w:space="0"/>
          <w:vertAlign w:val="baseline"/>
        </w:rPr>
        <w:t>金华市金东区人民政府办公室关于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bdr w:val="none" w:color="auto" w:sz="0" w:space="0"/>
          <w:vertAlign w:val="baseline"/>
        </w:rPr>
        <w:t>加强“十四五”期间年森林采伐限额管理的通知</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bdr w:val="none" w:color="auto" w:sz="0" w:space="0"/>
          <w:vertAlign w:val="baseline"/>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各乡镇人民政府（街道办事处）,区政府有关部门: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为加强森林资源保护和管理，深入贯彻中央省市关于生态文明建设决策部署，践行“两山”理论,切实提高我区森林生态系统质量和稳定性，不断提升林木采伐管理的科学性和执行力，根据省政府《关于公布批准“十四五”期间年森林采伐限额的通知》(浙政发[2021]11号）文件精神，结合我区森林资源管理工作实际，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一、严格执行森林采伐限额制度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1.森林采伐限额总量和各分项指标，是乡镇每年采伐林地上胸径5厘米以上林木蓄积的最大限量，必须严格执行，不得突破。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2.各乡镇之间采伐限额不得挪用，同乡镇分别权属、起源、森林类别、采伐类型的各分项限额不得串换使用。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3.采伐非林地和征占用林地上的林木，不占森林采伐限额；列入省级以上林业工程项目的，其抚育采伐可以占用主伐或者更新采伐限额。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4.自然灾害受害木、枯死木清理采伐可在区域内统筹使用森林采伐限额，不受限额分项限制；非林系统年度未使用的限额，可用于区重点工程林木采伐，也可在乡镇之间相互调剂使用，具体工作由区农业农村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5.加强天然林保护，严禁移植天然大树进城，严禁天然林商业性采伐，禁止对天然林实施皆伐改造。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二、合理分解落实森林采伐限额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区政府依据各乡镇(街道办事处)的森林资源总量、林木生长量以及资源保护情况将集体人工商品林采伐限额进行分解，并安排不超过限额总量的5%作为区专项限额,用于因自然灾害、林业重点工程等需集中采伐林木的特殊情况的林木采伐。“十四五”期间集体林采伐限额可由区林业部门根据实际情况统一调配使用,公益林采伐限额不作分解全区统一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三、优化林木采伐审批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1.个人采伐原则上实行一户一证;对于同一相连采伐地块，林权所有人申请联合采伐的，可联户发证。对于同一建设工程、同一林业有害生物除治项目及其他因自然灾害需要采伐林木的，在同一行政村范围内，可跨小班联户发证。采伐非林地和征占用林地上的林木，凭林木采伐许可证采伐，不纳入采伐限额管理。因征占用林地需要采伐林木的，凭区级以上林业行政主管部门作出的使用林地审核同意书（临时、林业生产设施占用林地批准书），办理相应的林木采伐许可证。人工商品林主伐年龄由经营者根据实际情况自主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黑体" w:hAnsi="黑体" w:eastAsia="黑体" w:cs="黑体"/>
          <w:sz w:val="32"/>
          <w:szCs w:val="32"/>
          <w:vertAlign w:val="baseline"/>
        </w:rPr>
      </w:pPr>
      <w:r>
        <w:rPr>
          <w:rFonts w:hint="default" w:ascii="黑体" w:hAnsi="黑体" w:eastAsia="黑体" w:cs="黑体"/>
          <w:sz w:val="32"/>
          <w:szCs w:val="32"/>
          <w:vertAlign w:val="baseline"/>
        </w:rPr>
        <w:t>四、严格林木采伐管理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1.因虫病害等原因需采伐受害林木的，按照谁经营、谁防治的原则，由乡镇告知林木所有者申请办理林木采伐许可证;逾期不申请办证的，村集体可以直接申请办理林木采伐许可证。对部分松材线虫病危害严重的天然松类商品林，确需皆伐改造的，由区农业农村局核发林木采伐许可证。因发生森林火灾、林业有害生物等重大自然灾害，确需对受害枯死木进行清理的，其采伐限额可不分采伐类型、起源用于受害枯死木清理，采伐期限可延长至次年3月31日。实行林木采伐公示制度，由区农业农村局或乡镇对林木采伐申请、许可等情况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2.严格执行《浙江省公益林管理办法》，省级以上公益林林木可以进行更新性质采伐，采伐强度不得超过伐前林分蓄积的25%，且一次连片皆伐面积不得超过1公顷。积极探索林木采伐迹地更新造林管理举措，各乡镇可根据本区域林木采伐管理实际，制定迹地更新保证金等管理制度，确保采伐迹地按时保质保量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bdr w:val="none" w:color="auto" w:sz="0" w:space="0"/>
          <w:vertAlign w:val="baseline"/>
        </w:rPr>
        <w:t>五、建立健全森林资源管理长效机制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vertAlign w:val="baseline"/>
        </w:rPr>
        <w:t>全面落实地方政府森林资源保护发展目标责任制和考核评价制度，科学实施森林资源及其生态功能的动态监测，紧密结合林长制工作,强化森林覆盖率、森林蓄积量、林地保有量、森林碳储量以及公益林、天然林保护情况的考核评价，切实保障森林资源持续稳定增长。加大林业执法监管力度，完善常态化的森林督查工作机制，落实林木采伐“双随机”检查制度，坚决制止和打击各类破坏森林资源违法行为，对森林资源保护发展工作不力的相关责任人员依法依规进行责任追究。区林业部门将定期组织开展森林采伐限额执行情况检查，并及时通报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sz w:val="32"/>
          <w:szCs w:val="32"/>
          <w:bdr w:val="none" w:color="auto" w:sz="0" w:space="0"/>
          <w:vertAlign w:val="baseli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bdr w:val="none" w:color="auto" w:sz="0" w:space="0"/>
          <w:vertAlign w:val="baseline"/>
        </w:rPr>
        <w:t>附件：金东区“十四五”期间年森林采伐限额汇总表</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8"/>
        <w:gridCol w:w="613"/>
        <w:gridCol w:w="540"/>
        <w:gridCol w:w="540"/>
        <w:gridCol w:w="568"/>
        <w:gridCol w:w="492"/>
        <w:gridCol w:w="495"/>
        <w:gridCol w:w="540"/>
        <w:gridCol w:w="643"/>
        <w:gridCol w:w="540"/>
        <w:gridCol w:w="554"/>
        <w:gridCol w:w="540"/>
        <w:gridCol w:w="836"/>
        <w:gridCol w:w="540"/>
        <w:gridCol w:w="733"/>
        <w:gridCol w:w="599"/>
        <w:gridCol w:w="811"/>
        <w:gridCol w:w="733"/>
        <w:gridCol w:w="781"/>
        <w:gridCol w:w="375"/>
        <w:gridCol w:w="629"/>
        <w:gridCol w:w="568"/>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000" w:type="pct"/>
            <w:gridSpan w:val="23"/>
            <w:tcBorders>
              <w:top w:val="nil"/>
              <w:left w:val="nil"/>
              <w:bottom w:val="nil"/>
              <w:right w:val="nil"/>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textAlignment w:val="center"/>
              <w:rPr>
                <w:sz w:val="21"/>
                <w:szCs w:val="21"/>
              </w:rPr>
            </w:pPr>
            <w:r>
              <w:rPr>
                <w:rStyle w:val="5"/>
                <w:rFonts w:hint="eastAsia" w:ascii="黑体" w:hAnsi="黑体" w:eastAsia="黑体" w:cs="黑体"/>
                <w:b w:val="0"/>
                <w:bCs w:val="0"/>
                <w:sz w:val="32"/>
                <w:szCs w:val="32"/>
                <w:bdr w:val="none" w:color="auto" w:sz="0" w:space="0"/>
                <w:vertAlign w:val="baseline"/>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5000" w:type="pct"/>
            <w:gridSpan w:val="23"/>
            <w:tcBorders>
              <w:top w:val="nil"/>
              <w:left w:val="nil"/>
              <w:bottom w:val="nil"/>
              <w:right w:val="nil"/>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center"/>
              <w:rPr>
                <w:sz w:val="21"/>
                <w:szCs w:val="21"/>
              </w:rPr>
            </w:pPr>
            <w:r>
              <w:rPr>
                <w:rFonts w:hint="eastAsia" w:ascii="方正小标宋简体" w:hAnsi="方正小标宋简体" w:eastAsia="方正小标宋简体" w:cs="方正小标宋简体"/>
                <w:sz w:val="44"/>
                <w:szCs w:val="44"/>
                <w:vertAlign w:val="baseline"/>
              </w:rPr>
              <w:t>金华市金东区“十四五”期间年森林采伐限额汇总表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6" w:type="pct"/>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单位</w:t>
            </w:r>
          </w:p>
        </w:tc>
        <w:tc>
          <w:tcPr>
            <w:tcW w:w="412" w:type="pct"/>
            <w:gridSpan w:val="2"/>
            <w:vMerge w:val="restar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合计</w:t>
            </w:r>
          </w:p>
        </w:tc>
        <w:tc>
          <w:tcPr>
            <w:tcW w:w="2054" w:type="pct"/>
            <w:gridSpan w:val="10"/>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商品林</w:t>
            </w:r>
          </w:p>
        </w:tc>
        <w:tc>
          <w:tcPr>
            <w:tcW w:w="2285" w:type="pct"/>
            <w:gridSpan w:val="10"/>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公益林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46" w:type="pct"/>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rPr>
                <w:rFonts w:hint="eastAsia" w:ascii="宋体"/>
                <w:sz w:val="22"/>
                <w:szCs w:val="22"/>
                <w:vertAlign w:val="baseline"/>
              </w:rPr>
            </w:pPr>
          </w:p>
        </w:tc>
        <w:tc>
          <w:tcPr>
            <w:tcW w:w="412" w:type="pct"/>
            <w:gridSpan w:val="2"/>
            <w:vMerge w:val="continue"/>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rPr>
                <w:rFonts w:hint="eastAsia" w:ascii="宋体"/>
                <w:sz w:val="22"/>
                <w:szCs w:val="22"/>
                <w:vertAlign w:val="baseline"/>
              </w:rPr>
            </w:pPr>
          </w:p>
        </w:tc>
        <w:tc>
          <w:tcPr>
            <w:tcW w:w="396" w:type="pct"/>
            <w:gridSpan w:val="2"/>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小计</w:t>
            </w:r>
          </w:p>
        </w:tc>
        <w:tc>
          <w:tcPr>
            <w:tcW w:w="353" w:type="pct"/>
            <w:gridSpan w:val="2"/>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主伐</w:t>
            </w:r>
          </w:p>
        </w:tc>
        <w:tc>
          <w:tcPr>
            <w:tcW w:w="423"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抚育采伐</w:t>
            </w:r>
          </w:p>
        </w:tc>
        <w:tc>
          <w:tcPr>
            <w:tcW w:w="391"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低产林改造</w:t>
            </w:r>
          </w:p>
        </w:tc>
        <w:tc>
          <w:tcPr>
            <w:tcW w:w="488"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其他采伐</w:t>
            </w:r>
          </w:p>
        </w:tc>
        <w:tc>
          <w:tcPr>
            <w:tcW w:w="455"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小计</w:t>
            </w:r>
          </w:p>
        </w:tc>
        <w:tc>
          <w:tcPr>
            <w:tcW w:w="504"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更新采伐</w:t>
            </w:r>
          </w:p>
        </w:tc>
        <w:tc>
          <w:tcPr>
            <w:tcW w:w="541"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抚育采伐</w:t>
            </w:r>
          </w:p>
        </w:tc>
        <w:tc>
          <w:tcPr>
            <w:tcW w:w="359"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低效林改造</w:t>
            </w:r>
          </w:p>
        </w:tc>
        <w:tc>
          <w:tcPr>
            <w:tcW w:w="425" w:type="pct"/>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其他采伐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46" w:type="pct"/>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rPr>
                <w:rFonts w:hint="eastAsia" w:ascii="宋体"/>
                <w:sz w:val="22"/>
                <w:szCs w:val="22"/>
                <w:vertAlign w:val="baseline"/>
              </w:rPr>
            </w:pP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95"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93"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62"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214"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89"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262"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78"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134"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25"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c>
          <w:tcPr>
            <w:tcW w:w="203"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计</w:t>
            </w:r>
          </w:p>
        </w:tc>
        <w:tc>
          <w:tcPr>
            <w:tcW w:w="221" w:type="pct"/>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其中天然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金东区</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10530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6120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7270</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3760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960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4660</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2700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30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1620</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1040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3260</w:t>
            </w: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2360</w:t>
            </w: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420</w:t>
            </w: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110</w:t>
            </w: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1900</w:t>
            </w: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1500</w:t>
            </w: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0</w:t>
            </w: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0</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940</w:t>
            </w: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1"/>
                <w:szCs w:val="21"/>
                <w:bdr w:val="none" w:color="auto" w:sz="0" w:space="0"/>
                <w:vertAlign w:val="baseline"/>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集体和个人</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10530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6120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7270</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3760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960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4660</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2700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30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1620</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1040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3260</w:t>
            </w: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2360</w:t>
            </w: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420</w:t>
            </w: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110</w:t>
            </w: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1900</w:t>
            </w: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1500</w:t>
            </w: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940</w:t>
            </w: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孝顺</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1518</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1216</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806</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120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994</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577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300</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225</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傅村</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282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321</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200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27</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241</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139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113</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源东</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549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549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382</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200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46</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233</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136</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113</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曹宅</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1222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1222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932</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554</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583</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337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312</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238</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赤松</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1083</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1083</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856</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523</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91</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637</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369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223</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154</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澧浦</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1330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1330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948</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503</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108</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560</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325</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312</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191</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塘雅</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101</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101</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115</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48</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77</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44</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45</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岭下</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419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419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275</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93</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42</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62</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113</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江东</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329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329</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238</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108</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35</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125</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72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57</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37</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鞋塘办事处</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92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92</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105</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48</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77</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44</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32</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246" w:type="pct"/>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Style w:val="5"/>
                <w:rFonts w:hint="default" w:ascii="Times New Roman" w:hAnsi="Times New Roman" w:cs="Times New Roman"/>
                <w:b/>
                <w:bCs/>
                <w:sz w:val="22"/>
                <w:szCs w:val="22"/>
                <w:bdr w:val="none" w:color="auto" w:sz="0" w:space="0"/>
                <w:vertAlign w:val="baseline"/>
              </w:rPr>
              <w:t>东孝、多湖及非林系统</w:t>
            </w:r>
          </w:p>
        </w:tc>
        <w:tc>
          <w:tcPr>
            <w:tcW w:w="21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1915</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1915</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1883</w:t>
            </w: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676</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371</w:t>
            </w:r>
          </w:p>
        </w:tc>
        <w:tc>
          <w:tcPr>
            <w:tcW w:w="176"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1071</w:t>
            </w:r>
          </w:p>
        </w:tc>
        <w:tc>
          <w:tcPr>
            <w:tcW w:w="230"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620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9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textAlignment w:val="baseline"/>
              <w:rPr>
                <w:sz w:val="21"/>
                <w:szCs w:val="21"/>
              </w:rPr>
            </w:pPr>
            <w:r>
              <w:rPr>
                <w:rFonts w:hint="default" w:ascii="Times New Roman" w:hAnsi="Times New Roman" w:cs="Times New Roman"/>
                <w:sz w:val="21"/>
                <w:szCs w:val="21"/>
                <w:bdr w:val="none" w:color="auto" w:sz="0" w:space="0"/>
                <w:vertAlign w:val="baseline"/>
              </w:rPr>
              <w:t>0</w:t>
            </w:r>
          </w:p>
        </w:tc>
        <w:tc>
          <w:tcPr>
            <w:tcW w:w="29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40" w:lineRule="atLeast"/>
              <w:ind w:left="0" w:right="0"/>
              <w:jc w:val="center"/>
              <w:textAlignment w:val="center"/>
              <w:rPr>
                <w:sz w:val="21"/>
                <w:szCs w:val="21"/>
              </w:rPr>
            </w:pPr>
            <w:r>
              <w:rPr>
                <w:rFonts w:hint="default" w:ascii="Times New Roman" w:hAnsi="Times New Roman" w:cs="Times New Roman"/>
                <w:sz w:val="21"/>
                <w:szCs w:val="21"/>
                <w:bdr w:val="none" w:color="auto" w:sz="0" w:space="0"/>
                <w:vertAlign w:val="baseline"/>
              </w:rPr>
              <w:t>0</w:t>
            </w:r>
          </w:p>
        </w:tc>
        <w:tc>
          <w:tcPr>
            <w:tcW w:w="19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1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89"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62"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78"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134"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5"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03"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c>
          <w:tcPr>
            <w:tcW w:w="221" w:type="pct"/>
            <w:tcBorders>
              <w:top w:val="nil"/>
              <w:left w:val="nil"/>
              <w:bottom w:val="single" w:color="000000" w:sz="6" w:space="0"/>
              <w:right w:val="single" w:color="000000" w:sz="6" w:space="0"/>
            </w:tcBorders>
            <w:shd w:val="clear"/>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baseline"/>
              <w:rPr>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textAlignment w:val="baseline"/>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YzNzU5ZTIwODEzNDAyY2M5YTc3ZTU4MDQyYjcifQ=="/>
  </w:docVars>
  <w:rsids>
    <w:rsidRoot w:val="73403400"/>
    <w:rsid w:val="7340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2025-05-23T03:13:00Z</dcterms:created>
  <dc:creator>冯浩洋</dc:creator>
  <cp:lastModifiedBy>冯浩洋</cp:lastModifiedBy>
  <dcterms:modified xsi:type="dcterms:W3CDTF">2025-05-23T03:16:23Z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35F53DA75F2B4E1D9F03D738A9B19035_11</vt:lpwstr>
  </property>
</Properties>
</file>