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桐庐县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推动大规模设备更新和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消费品以旧换新若干举措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32"/>
          <w:szCs w:val="32"/>
          <w:lang w:val="en-US" w:eastAsia="zh-CN" w:bidi="ar-SA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为贯彻落实国务院《推动大规模设备更新和消费品以旧换新行动方案》和《浙江省推动大规模设备更新和消费品以旧换新若干举措》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杭州市推动大规模设备更新和消费品以旧换新若干举措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,围绕实施设备更新、消费品以旧换新、回收循环利用、标准提升四大行动,特制定如下若干举措。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一、实施设备更新行动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到2027年,全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工业、能源、建筑、交通、农业等领域设备投资规模较2023年增长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30%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以上,重点行业主要用能设备能效基本达到先进水平,规模以上工业企业数字化研发设计工具普及率、关键工序数控化率分别超过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93%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(一)完成工业企业数字化改造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智能化改造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以人工智能与制造业深度融合为主线,贯穿产品、生产、服务等制造全生命周期各基本环节,挖掘典型落地场景,形成可复制推广的应用模式。到2025年规上工业企业数字化改造实现全覆盖。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到2027年新增培育省级未来工厂1家、智能工厂（数字化车间）3家。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持续推动制造业企业发展数字化设计、智能化生产、网络化协同、共享化制造、个性化定制等场景应用,开展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AI+未来工厂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创新行动,推进生产要素基于人工智能技术的创新配置,引领智能产品创新、生产技术创新、产业模式创新和制造系统集成创新。到2027年新增培育市级“未来工厂”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应急管理局,列第一位的为牵头单位,下同)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(二)加快重点行业技术改造。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新材料、视觉智能、医疗器械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等重点行业和产业园区,大力推动生产设备、用能设备更新,每年组织实施以设备更新为主的技术改造项目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(三)强化能效标准引领。</w:t>
      </w:r>
      <w:r>
        <w:rPr>
          <w:rFonts w:hint="eastAsia" w:ascii="仿宋_GB2312" w:hAnsi="仿宋_GB2312" w:eastAsia="仿宋_GB2312" w:cs="仿宋_GB2312"/>
          <w:sz w:val="32"/>
          <w:szCs w:val="32"/>
        </w:rPr>
        <w:t>到2027年重点领域生产线(装置)能效水平全部达到基准以上,其中达到标杆水平的产能比例超过50%。(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经信局)严格落实能耗、排放、安全等强制性标准和工艺设备淘汰目录要求,依法依规淘汰不达标工艺设备。(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桐庐分局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(四)推动能源设备更新改造。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到2027年,完成用能设备节能改造升级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台(套),推动老旧低功率充电桩换新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个。推动老旧变电设备和输电线路改造、电网设施数字化智能化更新,每年投资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元以上。(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局、县住建局、县供电公司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(五)加快环保设备更新改造。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重点环境监测实验室、省控以上水质和空气自动站智能化改造提升,老旧实验室大型仪器、水质自动站、空气自动站等设备更新。鼓励重点排污单位对污染源自动监测设备进行更新改造。(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桐庐分局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)推动挥发性有机物低效治理设施淘汰改造。(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桐庐分局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到2027年新增或更新各类环卫作业车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辆(台)、垃圾清运车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辆。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执法局)积极推进叉车等非道路移动机械淘汰，2024年淘汰国二及以下非道路移动机械37台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桐庐分局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县市场监管局、县商务局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)积极推动混凝土搅拌车、渣土运输车新能源替代。(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综合行政执法局)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(六)加快老旧住宅电梯报废更新和改造加装。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定期组织开展住宅电梯摸排,加快报废更新不符合现行产品标准、安全风险高的老旧住宅电梯。推进老旧小区住宅加装电梯,到2027年新增加装电梯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台以上。(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(七)完成老旧小区改造和管网设施设备改造。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加快改造或迁建不符合规范的燃气厂站,2024年完成老旧小区燃气管道更新改造项目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个、到2027年完成老旧燃气厂站改造或迁建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座。到2027年,完成老旧供水管网改造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公里,老旧污水管网有机更新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公里。到2027年,实施老旧小区改造项目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(八)推动市政基础设施更新改造。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加快市政基础设施更新改造,2024年完成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个居民住宅小区二次供水设施改造。到202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完成既有生活垃圾焚烧厂超低排放改造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综合行政执法局、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(九)推进建筑节能改造和建筑施工设备更新。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以建筑设备、外围护结构改造等为重点,推进存量建筑节能改造,到2027 年完成节能改造面积 8万平方米。加强推进各类建筑施工工程机械设备更新改造。(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(十)加快公共交通新能源化更新。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有序推进公交车电动化发展，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到2027年力争全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域公交车电动化比例达到95%,始终保持城区新能源公共汽电车比例100%。到2027年新增和更新新能源出租车(含网约车)比例达90%以上,出租车(含网约车)新能源化率达90%。(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责任单位：县交发集团、县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(十一)推动水路运输领域设备更新。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加快老旧运输船舶淘汰更新或改造,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有序推进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新能源船舶更新,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淘汰老旧运输船舶。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责任单位：县文旅集团、县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(十二)支持道路交通运输设备更新。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加快推动老旧柴油货车淘汰,2024年淘汰国四及以下排放标准柴油货车170辆,到2025年基本淘汰国三及以下老旧营运柴油货车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桐庐分局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县交警大队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)加快农业机械装备和设施更新。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加快淘汰老旧或国二及以下柴油农业机械,到2027年累计淘汰100台(套)以上。加快高效低耗智能农业机械推广应用,到2027年大中型拖拉机、插秧机、联合收割机等主要农业生产作业装备更新率达到60%以上。加快农业设施大棚建设提升,到2027年累计建设提升2500亩以上。加快现代化农事(机)服务中心建设,到2027年新建或改造省级、区域性现代化农事(机)服务中心4个。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供销社)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)提升教育教学设施设备水平。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推动基础教育教学设备提质,按规定配置并及时更新教学仪器设备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2024年更新采购多媒体230套，改造中小学录播教室11间，改造理化生实验室12间。实施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中小学“午休躺睡”工程。(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)提升文旅设施设备水平。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实施旅游景区转型提质行动计划,推动人工智能、增强现实、智能穿戴等技术的应用,构建智慧出游新体验。到2027年完成索道缆车、观光车船、游乐设备、演艺设备等文旅类设备更新总投资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文广旅</w:t>
      </w:r>
      <w:r>
        <w:rPr>
          <w:rFonts w:hint="default" w:ascii="仿宋_GB2312" w:hAnsi="仿宋_GB2312" w:eastAsia="仿宋_GB2312" w:cs="仿宋_GB2312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)开展医疗装备更新。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医疗卫生机构装备和信息化设施迭代升级,到2027年医疗卫生机构装备配置达标率达100%。支持具备条件的医疗机构加快医学影像、放射治疗、远程诊疗、手术机器人等医疗装备更新改造,争取到2027年医疗装备投资规模较2023年增长30%以上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责任单位：县卫健局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)推进医疗卫生基础设施建设。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推动医疗卫生机构消防安防基础设施设备更新改造。实施公立医院病房改造,着力优化病房结构,完善病房设施,到2027年2-3人间病房占比超过80%,适度提高以妇产科、儿科、老年科等为重点的单人间病房比例。(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责任单位：县卫健局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十八</w:t>
      </w:r>
      <w:r>
        <w:rPr>
          <w:rFonts w:hint="eastAsia" w:ascii="楷体_GB2312" w:hAnsi="楷体_GB2312" w:eastAsia="楷体_GB2312" w:cs="楷体_GB2312"/>
          <w:sz w:val="32"/>
          <w:szCs w:val="32"/>
        </w:rPr>
        <w:t>)推动安防设备更新。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开展前端物联感知设备智能化改造,重点加快交通枢纽、交通道路等重点场所视频监控、卡口类配套安防设备更新改造。到2027年实现城市新建或改建的前端设备智能化比例达100%,农村重点部位视频监控无盲区。(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（十九）推动快递设备更新。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和引导经营快递业务的企业采用先进技术，促进自动化分拣设备、机械化装卸设备、智能末端服务设施更新改造。推动寄递企业淘汰更新一批运输和末端配送车辆，鼓励企业开展新能源快递无人车配送等推广应用。（责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邮管局、民营快递发展中心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二、实施消费品以旧换新行动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到2027年,全县汽车以旧换新累计500辆,新能源汽车年销售量2000辆,渗透率50%以上,家电年销售量较2023年增长20%。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二十</w:t>
      </w:r>
      <w:r>
        <w:rPr>
          <w:rFonts w:hint="eastAsia" w:ascii="楷体_GB2312" w:hAnsi="楷体_GB2312" w:eastAsia="楷体_GB2312" w:cs="楷体_GB2312"/>
          <w:sz w:val="32"/>
          <w:szCs w:val="32"/>
        </w:rPr>
        <w:t>)开展汽车以旧换新。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每年组织开展汽车以旧换新促销、巡展活动不少于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场。鼓励汽车企业推出以旧换新、购新能源车赠送充电桩等活动。严格执行机动车强制报废标准规定和车辆安全环保检验标准,依法依规注销符合强制报废标准的老旧汽车。持续优化完善小客车调控政策。(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公安局、市生态环境局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桐庐分局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)推动电动自行车淘汰更新。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电动自行车生产厂家、销售商采取旧车折价回购并出售合规新车的方式,开展电动自行车以旧换新。实施不符合国家标准电动自行车清理整治,严厉打击违法生产、销售、改装等行为,到2027年全面注销非标电动自行车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救援大</w:t>
      </w:r>
      <w:r>
        <w:rPr>
          <w:rFonts w:hint="eastAsia" w:ascii="仿宋_GB2312" w:hAnsi="仿宋_GB2312" w:eastAsia="仿宋_GB2312" w:cs="仿宋_GB2312"/>
          <w:sz w:val="32"/>
          <w:szCs w:val="32"/>
        </w:rPr>
        <w:t>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)鼓励家电产品以旧换新。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线上线下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家电以旧换新,对以旧家电换购节能家电的消费者给予优惠(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经信局)。积极推行消费争议先行赔付,引导商家积极开展无理由退换货服务承诺。(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)推动家装消费品换新。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通过政府支持、企业让利等多种方式,支持居民开展旧房装修,实施“厨卫换新”惠民工程。鼓励家居行业、重点企业开展以旧换新、旧房装修等促销活动。持续推进困难老年人居家适老化改造,实现愿改尽改。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鼓励街道、社区和居民小区设置“家装便民服务点”，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推动家装样板间进商场、进社区、进平台,鼓励企业充分利用虚拟现实技术、直播等方式,开展线上样板间展示、宣传等营销活动。(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三、实施回收循环利用行动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到2027年,全县累计建成再生资源集中分拣处理中心8个、再生资源回收网点200个。二手车交易量增长至2000辆以上，机动车报废回收超200辆。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)建设废旧产品设备回收网络。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回收站点、分拣中心和集散交易市场一体化的废旧物资回收体系。优化报废汽车回收企业布局,鼓励回收企业开展上门取车、网上回收、免费拖车等服务。完善公共机构、国有企业废旧产品、办公设备回收渠道,支持和推动回收企业与公共机构、国有企业等建立稳定合作关系,共同构建废旧物资统一回收平台,推动国有企业、公共单位报废车辆就地回收拆解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供销社)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)加快二手商品流通交易。</w:t>
      </w:r>
      <w:r>
        <w:rPr>
          <w:rFonts w:hint="eastAsia" w:ascii="仿宋_GB2312" w:hAnsi="仿宋_GB2312" w:eastAsia="仿宋_GB2312" w:cs="仿宋_GB2312"/>
          <w:sz w:val="32"/>
          <w:szCs w:val="32"/>
        </w:rPr>
        <w:t>放宽二手车经营主体准入,便利二手车交易登记,完善机动车登记服务站布局。发展二手车出口业务,扩大二手车出口规模。推动二手电子产品交易规范化,防范泄露及恶意恢复用户信息。支持手机、平板电脑、智能手表等电子产品销售企业开展二手产品鉴定、翻新维修和销售业务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发挥互联网平台作用。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电商企业持续开展“送新取旧”、一站式以旧换新活动，提升以旧换新消费体验。优化完善逆向物流系统，促进废旧产品循环利用。推动二手商品进行线上流通交易，鼓励平台企业制定推动跨品类置换设施看，促进闲置物品流通。（责任单位：县商务局、县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)加快再制造产业培育和产品梯次利用。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鼓励对具备条件的汽车零部件、工程机械、机床工具等设备实施再制造。(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)强化退役动力电池在储能等领域梯次利用,探索开展光伏设备残余寿命评估,推进设备及关键部件梯次利用。(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二十八</w:t>
      </w:r>
      <w:r>
        <w:rPr>
          <w:rFonts w:hint="eastAsia" w:ascii="楷体_GB2312" w:hAnsi="楷体_GB2312" w:eastAsia="楷体_GB2312" w:cs="楷体_GB2312"/>
          <w:sz w:val="32"/>
          <w:szCs w:val="32"/>
        </w:rPr>
        <w:t>)推动资源高水平再生利用。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报废汽车、退役光伏组件、废旧家电、废旧电池、废旧轮胎等再生资源分类利用和集中处置。落实推动再生资源加工利用企业聚集化、规模化发展,鼓励由专业化企业开展废旧物资回收业务;积极推动落实分拣中心用地和回收网点用房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循环产业园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运营使用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规划和自然资源局、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综合行政执法局)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二十九</w:t>
      </w:r>
      <w:r>
        <w:rPr>
          <w:rFonts w:hint="eastAsia" w:ascii="楷体_GB2312" w:hAnsi="楷体_GB2312" w:eastAsia="楷体_GB2312" w:cs="楷体_GB2312"/>
          <w:sz w:val="32"/>
          <w:szCs w:val="32"/>
        </w:rPr>
        <w:t>)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提升快递循环复用比例。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鼓励快递企业推广使用可循环快递包装，创新和丰富可循环快递箱（盒）的回收方式，推动快递包装可循环工作。鼓励快递企业规范提升快递包装回收和处置，督促快递企业在快递网点设置可循环快递包装回收设施，鼓励企业通过免费提供复用纸箱、寄递优惠等方式，建立健全包装回收复用机制，不断提高快递包装循环复用比例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邮管局、民营快递发展中心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四、实施标准提升行动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到2027年,累计主导或参与制修订国家标准、行业标准4项以上，发布“浙江制造标准”5项以上,培育双碳认证企业6家以上。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十)参与制（修）订国家、省级地方标准。鼓励企事业单位参与化工、氯气、多晶硅等行业能耗限额国家标准制（修）订工作。协助上级在充电桩、燃气用具等重点用能设备领域推进国家标准升级。积极参与制修订严于国家标准的纺织产品、金属铸件、锅炉、电炉等重点用能产品能效限额地方标准,以及锅炉大气污染物排放、汽车维修行业污染物排放等强制性地方标准,提升准入门槛。(责任单位：县市场监管局、县发改局、市生态环境局桐庐分局、县经信局)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十一)强化产品技术标准提升。推动汽车、家电、家装等大宗消费品质量标准水平，积极参与制定新能源汽车整车安全、电机系统等国家标准、行业标准、团体标准。开展标准创新型企业建设，创建一批标准创新型企业。鼓励企业开展消费品标准“领跑者”活动。助力上级部门建设完善碳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标签、碳标识等标准认证体系。(责任单位：县市场监管局、县经信局、县发改局、市生态环境局桐庐分局)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十二)加强资源循环利用标准供给。鼓励电商平台落实二手货品质鉴定和交易市场管理、电子产品二手交易中信息清除等国家标准，推动家具绿色设计等国家标准升级，积极参与制定循环再利用纤维制品、再生塑料等资源循环利用标准。鼓励开展建筑垃圾资源化利用，鼓励开展蓄电池回收处理循环经济标准化试点示范项目建设。(责任单位：县市场监管局、县经信局、县发改局、县综合行政执法局、县商务局)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十三)强化国内国际标准衔接。鼓励参与制定电子商务交易、绿色直播、文化旅游等领域相关国际标准、国家标准、行业标准。推动我县企事业单位参与制定更多国际标准，在碳达峰碳中和、数字经济等领域提出更多国际标准提案。强化技术性贸易措施应对与服务，加强质量标准、检验检测、认证认可等国内国际衔接。(责任单位：县市场监管局、县商务局、县文广旅体局)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)加大设备更新政策支持力度。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积极争取中央预算内投资、超长期特别国债等资金支持符合条件的设备更新、循环利用、标准提升项目。积极争取中央设备更新和技术改造贷款贴息政策。(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财政局)持续实施生产制造方式转型样板项目计划,引导制造业加快高端化、智能化、绿色化技术改造。(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经信局)统筹上级工信补助资金和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级工信专项资金,落实制造业技术改造政策,支持制造业重点行业设备更新改造,支持智能工厂、数字化车间建设。统筹上级交通补助专项资金、新能源汽车推广应用奖补资金和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级生态环保专项资金,支持老旧营运柴油货车淘汰、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老旧叉车电动化绿色化更新、</w:t>
      </w:r>
      <w:r>
        <w:rPr>
          <w:rFonts w:hint="eastAsia" w:ascii="仿宋_GB2312" w:hAnsi="仿宋_GB2312" w:eastAsia="仿宋_GB2312" w:cs="仿宋_GB2312"/>
          <w:sz w:val="32"/>
          <w:szCs w:val="32"/>
        </w:rPr>
        <w:t>老旧运输船舶更新改造、加快新能源公交车更新等。统筹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级城市建设专项资金、信息化专项资金支持城市基础设施智能化改造。统筹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上级和县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级建筑业碳达峰碳中和奖补资金,支持建筑节能改造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住房改善专项资金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老旧小区综合改造,推进老旧小区住宅加装电梯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和既有电梯更新改造、二次供水设施改造、燃气老旧管网改造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按规定用好上级农机购置与应用补贴、农机报废更新补贴(偿)等政策,支持老旧农业机械更新。统筹各类教育补助经费,支持提升教育设施设备水平。统筹各类文化旅游和医疗机构补助经费,推进文旅设施设备和医疗装备更新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桐庐分局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文广旅</w:t>
      </w:r>
      <w:r>
        <w:rPr>
          <w:rFonts w:hint="default" w:ascii="仿宋_GB2312" w:hAnsi="仿宋_GB2312" w:eastAsia="仿宋_GB2312" w:cs="仿宋_GB2312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县卫健局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)加大以旧换新政策支持力度。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贯彻落实省市县三级联动支持消费品以旧换新,按规定使用上级节能减排补助资金和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级商务发展专项资金支持符合条件的汽车以旧换新。统筹使用上级现代商贸流通体系资金、商贸和开放发展财政专项资金和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级商务发展专项资金,支持家电等领域耐用消费品以旧换新。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统筹上级和县级标准化管理经费，推进重点行业标准提升。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落实政府绿色采购政策,实施节能产品和环境标志产品优先采购和强制采购,持续推动政府采购支持绿色建材促进建筑品质提升试点工作。(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县住建局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)优化金融支持。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银行机构加强对绿色智能家电生产、服务和消费的金融支持。鼓励金融机构在依法合规、风险可控前提下,适当降低乘用车贷款首付比例,合理确定汽车贷款期限和信贷额度。推动融资租赁公司发挥“融资+融物”的经营优势,强化国有融资租赁企业带头作用,为需求主体提供设备直接租赁、售后回租等金融服务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委金融办、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桐庐监管支局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)加强要素保障。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用地保障力度,支持通过低效用地再开发、推进“工业上楼”等形式促进集约高效用地,保障企业技术改造项目用地需求。生活垃圾分类收集、中转贮存及再生资源回收设施建设纳入公共基础设施用地范围,优先确保用地需求,符合划拨条件的采用划拨形式供地,需有偿使用的应低于同类地段同类性质的供地价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规划和自然资源局)加强企业技术改造项目用能要素保障,开辟节能审查“绿色通道”,实施即报即受理,加快审查审批,确保项目用能需求,通过节能技术改造产生的节能量,可用于平衡新上项目用能需求。(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责任单位：县发改局</w:t>
      </w:r>
      <w:r>
        <w:rPr>
          <w:rFonts w:hint="eastAsia" w:ascii="仿宋_GB2312" w:hAnsi="仿宋_GB2312" w:eastAsia="仿宋_GB2312" w:cs="仿宋_GB2312"/>
          <w:sz w:val="32"/>
          <w:szCs w:val="32"/>
        </w:rPr>
        <w:t>)完善征管措施,提升服务质效,落实落细各项税收支持政策。(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(三十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)强化创新支撑。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聚焦各领域重大技术装备研发和生产的关键共性技术及科学问题,通过“揭榜挂帅”“赛马”等机制开展重大项目攻关,积极争取国家和省重大科技项目支持。深入实施制造业首台(套)提升工程,每年评定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省级以上首台(套)产品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项以上、市级首台(套)产品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,通过保险补偿、应用奖励等政策加大首台(套)产品的推广应用。(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三十九</w:t>
      </w:r>
      <w:r>
        <w:rPr>
          <w:rFonts w:hint="eastAsia" w:ascii="楷体_GB2312" w:hAnsi="楷体_GB2312" w:eastAsia="楷体_GB2312" w:cs="楷体_GB2312"/>
          <w:sz w:val="32"/>
          <w:szCs w:val="32"/>
        </w:rPr>
        <w:t>)加大宣传推广。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鼓励高端装备生产企业开展与应用领域供需对接、产品推广系列活动,促进制造企业、用户单位精准匹配。聚焦汽车、家装、家电、消费电子产品等消费品领域,鼓励企业加大宣传推广力度。(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TdlMGVjOTczNWM5Y2NmZmU3ZTc5ZGQ4MWVmNzEifQ=="/>
  </w:docVars>
  <w:rsids>
    <w:rsidRoot w:val="51EF2A66"/>
    <w:rsid w:val="01D52AC3"/>
    <w:rsid w:val="01EF3980"/>
    <w:rsid w:val="05D62E8D"/>
    <w:rsid w:val="099E0166"/>
    <w:rsid w:val="09F75C16"/>
    <w:rsid w:val="0B3C7C36"/>
    <w:rsid w:val="0BEB76A1"/>
    <w:rsid w:val="0CEC568C"/>
    <w:rsid w:val="0F176E65"/>
    <w:rsid w:val="12E732E6"/>
    <w:rsid w:val="1417538B"/>
    <w:rsid w:val="15E40FC2"/>
    <w:rsid w:val="168626AD"/>
    <w:rsid w:val="16B07FD4"/>
    <w:rsid w:val="17E50E47"/>
    <w:rsid w:val="18371EB1"/>
    <w:rsid w:val="1AB64BE3"/>
    <w:rsid w:val="1BEA1A18"/>
    <w:rsid w:val="1C9553F8"/>
    <w:rsid w:val="21AE1AA3"/>
    <w:rsid w:val="26EB6CF0"/>
    <w:rsid w:val="2C7F58E7"/>
    <w:rsid w:val="30817D16"/>
    <w:rsid w:val="310F3573"/>
    <w:rsid w:val="33552D94"/>
    <w:rsid w:val="34191CF1"/>
    <w:rsid w:val="35B75F88"/>
    <w:rsid w:val="35CE6E2D"/>
    <w:rsid w:val="389D1465"/>
    <w:rsid w:val="3A3556CD"/>
    <w:rsid w:val="3B5D4EDB"/>
    <w:rsid w:val="3C9657B9"/>
    <w:rsid w:val="3EB94F4F"/>
    <w:rsid w:val="40624D42"/>
    <w:rsid w:val="40826D65"/>
    <w:rsid w:val="41466412"/>
    <w:rsid w:val="414F2E44"/>
    <w:rsid w:val="4543393B"/>
    <w:rsid w:val="463F7FFF"/>
    <w:rsid w:val="4BCB5E91"/>
    <w:rsid w:val="500B2D00"/>
    <w:rsid w:val="51060A1D"/>
    <w:rsid w:val="51EF2A66"/>
    <w:rsid w:val="53322C56"/>
    <w:rsid w:val="53B84F4D"/>
    <w:rsid w:val="54330B09"/>
    <w:rsid w:val="561B7A15"/>
    <w:rsid w:val="57947A7F"/>
    <w:rsid w:val="5827444F"/>
    <w:rsid w:val="63911317"/>
    <w:rsid w:val="644C3BBB"/>
    <w:rsid w:val="654A5C21"/>
    <w:rsid w:val="65BC55FF"/>
    <w:rsid w:val="664B7EA3"/>
    <w:rsid w:val="673B1CC5"/>
    <w:rsid w:val="6B122D3D"/>
    <w:rsid w:val="6B6C4B43"/>
    <w:rsid w:val="6E0252EB"/>
    <w:rsid w:val="6F8D6E36"/>
    <w:rsid w:val="70C76378"/>
    <w:rsid w:val="71A60683"/>
    <w:rsid w:val="71F118FE"/>
    <w:rsid w:val="728F1117"/>
    <w:rsid w:val="74F5221E"/>
    <w:rsid w:val="77FD50AD"/>
    <w:rsid w:val="78AD6B7E"/>
    <w:rsid w:val="7A0643B5"/>
    <w:rsid w:val="7CB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/>
      <w:autoSpaceDN/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7119</Words>
  <Characters>7312</Characters>
  <Lines>0</Lines>
  <Paragraphs>0</Paragraphs>
  <TotalTime>11</TotalTime>
  <ScaleCrop>false</ScaleCrop>
  <LinksUpToDate>false</LinksUpToDate>
  <CharactersWithSpaces>7314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2024-05-22T02:29:00Z</dcterms:created>
  <dc:creator>YYH</dc:creator>
  <cp:lastModifiedBy>YYH</cp:lastModifiedBy>
  <dcterms:modified xsi:type="dcterms:W3CDTF">2024-05-28T06:44:29Z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7A921DD537DF41F0971DD85DDFE4F6E0_11</vt:lpwstr>
  </property>
</Properties>
</file>