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560" w:lineRule="exact"/>
        <w:ind w:right="794"/>
        <w:jc w:val="left"/>
        <w:rPr>
          <w:rFonts w:ascii="黑体" w:eastAsia="黑体" w:cs="微软雅黑"/>
          <w:spacing w:val="9"/>
          <w:sz w:val="32"/>
          <w:szCs w:val="32"/>
        </w:rPr>
      </w:pPr>
      <w:r>
        <w:rPr>
          <w:rFonts w:hint="eastAsia" w:ascii="黑体" w:eastAsia="黑体" w:cs="微软雅黑"/>
          <w:spacing w:val="9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center"/>
        <w:textAlignment w:val="auto"/>
        <w:rPr>
          <w:rFonts w:hint="eastAsia" w:ascii="方正小标宋简体" w:eastAsia="方正小标宋简体" w:cs="方正小标宋简体"/>
          <w:color w:val="auto"/>
          <w:spacing w:val="-6"/>
          <w:w w:val="95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pacing w:val="-6"/>
          <w:w w:val="95"/>
          <w:kern w:val="2"/>
          <w:sz w:val="44"/>
          <w:szCs w:val="44"/>
          <w:lang w:val="en-US" w:eastAsia="zh-CN" w:bidi="ar-SA"/>
        </w:rPr>
        <w:t>兰溪市乡村振兴支持政策二十条</w:t>
      </w:r>
    </w:p>
    <w:p>
      <w:pPr>
        <w:pStyle w:val="5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center"/>
        <w:textAlignment w:val="auto"/>
        <w:rPr>
          <w:rFonts w:asci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ascii="楷体_GB2312" w:eastAsia="楷体_GB2312" w:cs="楷体_GB2312"/>
          <w:b w:val="0"/>
          <w:bCs w:val="0"/>
          <w:sz w:val="32"/>
          <w:szCs w:val="32"/>
          <w:lang w:eastAsia="zh-CN"/>
        </w:rPr>
        <w:t>征求意见稿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bidi w:val="0"/>
        <w:spacing w:line="560" w:lineRule="exact"/>
        <w:rPr>
          <w:rFonts w:hint="eastAsia"/>
        </w:rPr>
      </w:pPr>
    </w:p>
    <w:p>
      <w:pPr>
        <w:widowControl w:val="0"/>
        <w:suppressAutoHyphens/>
        <w:spacing w:line="560" w:lineRule="exact"/>
        <w:ind w:left="0"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一、守住粮食安全底线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（一）加大高标准农田建设投入。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新建和改造提升高标准农田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1.4363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万亩，对高标准农田建设示范项目实行补助，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市财政累计亩均补助投入逐步达到3000元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2023年通过“千亩方、万亩方”增加高标准农田0.5万亩。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加快永久基本农田集中连片整治，实现土地综合整治项目区内永久基本农田基本建成高标准农田。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（责任单位: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发改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市资规局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。列第一位的为牵头单位，下同)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（二）健全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种粮农民收益保障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机制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粮油种植大户直接补贴，省财政对全年稻麦油复种、一季旱粮种植和“三园”地间作套种同一旱粮作物（不含大小麦）种植50亩以上的规模化主体（含制繁种），按实际种植面积给予每亩120元的直接补贴。市财政对规模化主体水稻、小麦每亩补贴230元，旱粮每亩补贴5元。实施规模种粮动态补贴政策，达到省级规模种粮动态补贴政策触发条件的，在落实省政策基础上，市财政按水稻亩均化肥、农药成本上涨额的20%（向上取整）给予配套补贴。严格执行省定小麦、稻谷最低收购价政策。对按订单向国有粮食收储企业交售稻谷的种粮主体给予奖励。早稻实行订单全覆盖，做到应订尽订，早稻订单每百斤奖励30元；晚稻订单每百斤奖励15元，每亩不超过135元（有新标准出台，按新标准执行）。继续实施订单良种奖励政策，与种子企业签订订单合同并按订单交售水稻、小麦良种的种子生产者，省财政按实际交售种子数量给予奖励，每百斤常规水稻种子奖励30元；每百斤杂交水稻种子奖励100元，每亩最高不超过300元；每百斤小麦种子奖励30元，每亩最高不超过150元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（责任单位：市农业农村局、市商务局、市财政局）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（三）提高菜篮子保供能力。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“菜篮子”市长负责制考核，提高肉蛋奶蔬供给能力，加快构建粮经饲统筹、农林牧渔结合、植物动物微生物并举的大食物供给体系。大力发展林下种养和林下产品采集初加工，新增（改造）油茶面积0.15万亩以上，发展“千村万元”林下经济0.09万亩，推动林下道地中药材种植发展。实施畜牧业高质量发展行动，能繁母猪存栏稳定在1.9万头以上，支持家禽、湖羊等产业发展。加快保障性蔬菜基地建设，蔬菜播种面积稳定在10.66万亩以上，产量保持在21万吨左右。启动投资1000万元的水产健康养殖和生态养殖示范区创建。做优做强茶叶、水果、食用菌等特色产业。健全“菜篮子”主要产品价格监测预警机制，全力做好保供稳价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发改局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、市资规局、市商务局）</w:t>
      </w:r>
    </w:p>
    <w:p>
      <w:pPr>
        <w:widowControl w:val="0"/>
        <w:suppressAutoHyphens/>
        <w:spacing w:line="560" w:lineRule="exact"/>
        <w:ind w:left="0"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二、深入推进科技强农机械强农行动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（四）支持现代种业振兴发展。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大力实施现代种业提升工程,深入推进花猪、番鸭、杨梅、枇杷等地方遗传资源保护和开发利用,指导良种繁育基地项目创建,积极培育兰溪地方特色品种繁育推广一体化种业企业。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发改局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科技局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（五）推进农业关键核心技术攻关。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加强农业领域核心技术攻关，持续做好杨梅农业科技园区建设，加强与科研院所合作，实施一批科技成果转化项目。围绕农业双强技术推广、兰溪地理标志性农产品品牌打造、粮食安全技术应用等，推动科技特派员制度全域拓展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实施科技特派员项目20个以上。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新增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农业国家高新技术企业1家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科技局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（六）推进丘陵山区农机示范基地建设。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山地杨梅全产业链智能农机装备研发与应用，省农业“双强”突破性项目，重点支持丘陵山区小型智能拖拉机等产品研发制造、推广应用。积极创建丘陵山区宜机化改造和农艺农机融合示范基地建设，单个项目最高补助200万元。按要求落实农机购置补贴资金，对农业生产主体购置先进适用农机装备给予补贴。按要求落实插秧机、烘干机等粮食生产重点机具购置补贴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科技局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（七）加快农业绿色发展。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深化“肥药两制”改革，扎实推进农业投入品废弃物回收处置、无害化处理工作以及实施畜禽粪污资源化利用整县推进项目，利用中央财政资金，有利推动我市畜禽粪污资源化利用工作。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推进“配方肥替代平衡肥”行动，强化测土配方施肥技术应用，完善商品有机肥、主要农作物主推配方肥应用政策补助。开展全国第三次土壤普查，全面摸清我市土壤质量家底。加强耕地质量保护与提升，开展土壤健康基地创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加强耕地质量保护与提升，开展土壤健康行动。加强农作物病虫害智能监测预警网格体系建设。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资规局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科技局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（八）推动农村一二三产业融合发展。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加快打造省级农业全产业链，培育甘蔗、枇杷、杨梅、小萝卜等农业全产业链。筹划举办农民艺术节，支持休闲农业、乡村旅游、文化体验等新产业新业态。鼓励培育、推广和保护农产品区域公用品牌。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建成农创客创新创业孵化园1个，培育农创客280名以上。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资规局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商务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局、市文旅局）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（九）完善新型农业经营组织体系。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创建示范家庭农场10家以上，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建设省级五星级产业农合联1家。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组织开展实用人才和高素质农民培训，培训农民500人次以上。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供销社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widowControl w:val="0"/>
        <w:suppressAutoHyphens/>
        <w:spacing w:line="560" w:lineRule="exact"/>
        <w:ind w:left="0"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三、全面深化“千村示范、万村整治”工程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（十）推进乡村风貌提升。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村内道路平整美化，建设“畅、洁、美、安”的乡村道路。持续巩固农村生活垃圾、污水、厕所“三大革命”成果，建设改造农村生活污水处理设施132个。持续推进传统村落风貌保护提升，新启动创建3个以上省级美丽宜居示范村。挖掘乡村文化资源，启动2个历史文化（传统）村落保护利用项目建设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责任单位：市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建设局、市交通运输局、市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卫健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局）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（十一）加快建设和美乡村。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加快建设和美乡村。适度超前建设农村电网，投资1.107亿元建成新时代乡村电气化村11个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实施水库山塘等稳定水源建设，解决农村供水薄弱环节2处，综合整治病险山塘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座。深化未来乡村建设，到202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年计划建设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水务局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供电公司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（十二）深化强村富民乡村集成改革。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集体经济快增工程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”为着力点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，实施发展新型农村经济三年行动计划，对纳入扶持范围的村给予补助。实施点亮乡村行动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，推进试点镇级乡村运营模式，推动乡村运营中心建设。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推进强村公司、飞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地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抱团、片区组团扩面提质。盘活闲置农房800宗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（责任单位：市农业农村局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、</w:t>
      </w:r>
      <w:r>
        <w:rPr>
          <w:rFonts w:ascii="Times New Roman" w:hAnsi="Times New Roman" w:eastAsia="楷体_GB2312" w:cs="Times New Roman"/>
          <w:sz w:val="32"/>
          <w:szCs w:val="32"/>
        </w:rPr>
        <w:t>市委组织部、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市财政局、市资规局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widowControl w:val="0"/>
        <w:suppressAutoHyphens/>
        <w:spacing w:line="560" w:lineRule="exact"/>
        <w:ind w:left="0" w:firstLine="640" w:firstLineChars="200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四、加快推动农业农村基础设施现代化先行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（十三）实施农业高质量发展“百千”工程。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推进粮食生产功能区、现代农业园区、现代化农事服务中心、智慧农业、农产品冷链物流、农产品加工等“百千”工程建设，实现现代农业基础设施补短提能。按时间节点完成新一轮粮食生产功能区划定任务。推动北部振兴，争创省级现代农业园区1个。加快农事服务体系建设，培育壮大农业社会化服务组织，提高农业生产经营组织化、集约化、专业化、社会化程度，建设联丰、思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兰、慧丰3个综合农事服务中心。以精深加工为重点建设农产品加工园区，引导农产品加工企业向园区集中。实体化运营农业发展公司，设想规划农创客空间和水亭、黄店、梅江、马涧等4个农产品加工园区，推进马涧农产品加工园一期项目建设。支持分级分类建设产地冷链集配中心，加快粮食烘干、农产品产地冷藏、冷链物流设施建设，建设省级放心农贸市场2家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（责任单位：市农业农村局、市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发改局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市财政局、市资规局、市商务局、市供销社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（十四）实施水利建设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工程。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大兴农村水利基础设施建设，实施灌区现代化改造6.25万亩，更新改造灌溉设施27座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，除险加固水库10座，完成“三江”防洪安全综合提升工程（兰江至女埠段）建设。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水务局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（十五）实施土地综合整治工程。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高质量完成“万亩新增耕地”任务。2023年，全力争取申报跨乡镇全域土地综合整治试点项目1个，扎实推进“百千万”永久基本农田集中连片整治工作，实施垦造耕地1120亩。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（责任单位：市资规局）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（十六）实施“四好农村路”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2.0工程。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打造“四好农村路”2.0版，推进乡镇（街道）通三级公路和建制村通双车道公路，完成新改建农村公路7.5公里、养护工程83公里，实现农村公路优良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中等路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比例85%以上。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（责任单位：市交通运输局）</w:t>
      </w:r>
    </w:p>
    <w:p>
      <w:pPr>
        <w:widowControl w:val="0"/>
        <w:suppressAutoHyphens/>
        <w:spacing w:line="560" w:lineRule="exact"/>
        <w:ind w:left="0" w:firstLine="640" w:firstLineChars="200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五、切实加强组织保障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（十七）推进涉农资金统筹整合改革。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目标、资金、绩效一体化机制，推进资金管理使用模块化。争取省级“千项万亿”农业农村优先领域投资资金。梳理农业农村重大项目，争取列入省农业重大项目6个以上，向上争取省级激励资金。出台农业招商投资政策，定期开展招商推介活动。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（责任单位：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市财政局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市农业农村局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（十八）完善农民持续增收机制。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拓宽“绿水青山”向“金山银山”转换通道，实施农村零就业家庭清零行动，加快农民农村“扩中提低”。持续推进美食富民行动，创建美食示范店30家，培育限上美食店3家，培训美食技能1500人次，打造“江南美食策源地”。深化千万农民素质提升工程、乡村工匠培育计划，开展订单式、紧缺型职业工种农民工培训。实施万户农家旅游致富计划，提升建设一批3A级景区村庄。巩固脱贫攻坚成果，实施好菜单式帮扶，开发乡村公益性岗位240个，促进农民就地就近就业。发展庭院经济，实施乡村振兴巾帼人才培育工程，持续打造“妈妈的味道”“美丽庭院”等品牌，推动农民增收。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（责任单位：市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农业农村局、市人力社保局、市总工会</w:t>
      </w:r>
      <w:r>
        <w:rPr>
          <w:rFonts w:ascii="Times New Roman" w:hAnsi="Times New Roman" w:eastAsia="楷体_GB2312" w:cs="Times New Roman"/>
          <w:color w:val="auto"/>
          <w:sz w:val="32"/>
          <w:szCs w:val="32"/>
          <w:lang w:eastAsia="zh-CN"/>
        </w:rPr>
        <w:t>、市美食发展中心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（十九）优化农业用地保障机制。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落实国土空间规划应安排不少于10%的建设用地指标重点保障乡村产业发展用地、省级制定土地利用年度计划时应安排至少5%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增建设用地指标保障乡村重点产业和项目用地的政策。合理确定农业生产、农村居民点、乡村公共设施、基础设施、农村一二三产业融合发展等用地布局，城乡增减挂钩指标优先用于农村建设需要。落实农业重大产业项目用地保障机制，实行单列跑道、单设标准。建立乡村重点产业和项目用地保障督查审计机制。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（责任单位：市资规局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、市发改局、市农业农村局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（二十）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加大金融支持力度。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省担保集团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对接合作，2023年，力争全市政府性支农支小融资担保余额达到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政府性融资担保机构在保持平均担保费率不高于1%的基础上，对小微、“三农”市场主体给予优惠倾斜。出台《财金协同支持兰溪市杨梅等“一县一业”特色优势产业发展实施方案》。深化政策性农业保险提标、扩面、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品，农业保险深度达到1%，密度争取达到每人500元。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（责任单位：市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农业农村局、市发改局、市财政局、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市金融办）</w:t>
      </w:r>
    </w:p>
    <w:p>
      <w:pPr>
        <w:tabs>
          <w:tab w:val="left" w:pos="0"/>
        </w:tabs>
        <w:spacing w:line="560" w:lineRule="exact"/>
        <w:ind w:left="0"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本文件明确的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政策措施有效期从发文之日起至2023年12月31日。具体政策措施已明确执行期限的，从其规定；国家、省级有其他相关支持政策措施的，遵照执行。</w:t>
      </w:r>
    </w:p>
    <w:p>
      <w:pPr>
        <w:widowControl w:val="0"/>
        <w:tabs>
          <w:tab w:val="left" w:pos="0"/>
        </w:tabs>
        <w:suppressAutoHyphens/>
        <w:spacing w:line="560" w:lineRule="exact"/>
        <w:ind w:left="0"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hint="eastAsia"/>
          <w:color w:val="auto"/>
          <w:lang w:eastAsia="zh-CN"/>
        </w:rPr>
      </w:pPr>
    </w:p>
    <w:p>
      <w:pPr>
        <w:spacing w:line="560" w:lineRule="exact"/>
        <w:rPr>
          <w:rFonts w:hint="eastAsia" w:eastAsia="宋体"/>
          <w:color w:val="auto"/>
          <w:lang w:eastAsia="zh-CN"/>
        </w:rPr>
      </w:pPr>
    </w:p>
    <w:p>
      <w:pPr>
        <w:spacing w:line="560" w:lineRule="exact"/>
      </w:pPr>
    </w:p>
    <w:p>
      <w:pPr>
        <w:spacing w:line="560" w:lineRule="exact"/>
        <w:ind w:firstLine="640" w:firstLineChars="200"/>
        <w:jc w:val="left"/>
        <w:rPr>
          <w:rFonts w:ascii="仿宋" w:eastAsia="仿宋" w:cs="方正小标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7ED8841"/>
    <w:rsid w:val="6DBD71FE"/>
    <w:rsid w:val="71FF341D"/>
    <w:rsid w:val="7D9FF3CE"/>
    <w:rsid w:val="DFDFB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color w:val="000000"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next w:val="6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6">
    <w:name w:val="Hyperlink"/>
    <w:basedOn w:val="7"/>
    <w:qFormat/>
    <w:uiPriority w:val="0"/>
    <w:rPr>
      <w:color w:val="0563C1"/>
      <w:u w:val="single"/>
    </w:rPr>
  </w:style>
  <w:style w:type="character" w:customStyle="1" w:styleId="9">
    <w:name w:val="Unresolved Mention"/>
    <w:basedOn w:val="7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4497</Words>
  <Characters>4652</Characters>
  <Lines>203</Lines>
  <Paragraphs>35</Paragraphs>
  <TotalTime>41</TotalTime>
  <ScaleCrop>false</ScaleCrop>
  <LinksUpToDate>false</LinksUpToDate>
  <CharactersWithSpaces>4673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2023-07-22T09:11:00Z</dcterms:created>
  <dc:creator>15974</dc:creator>
  <cp:lastModifiedBy>uos</cp:lastModifiedBy>
  <cp:lastPrinted>2023-07-22T09:27:00Z</cp:lastPrinted>
  <dcterms:modified xsi:type="dcterms:W3CDTF">2023-08-30T11:31:26Z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