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right="0" w:rightChars="0" w:firstLine="0" w:firstLineChars="0"/>
        <w:jc w:val="center"/>
        <w:textAlignment w:val="auto"/>
        <w:outlineLvl w:val="9"/>
        <w:rPr>
          <w:rFonts w:hint="eastAsia" w:ascii="方正小标宋简体" w:eastAsia="方正小标宋简体" w:cs="方正小标宋简体"/>
          <w:color w:val="auto"/>
          <w:sz w:val="44"/>
          <w:szCs w:val="44"/>
          <w:highlight w:val="none"/>
          <w:lang w:eastAsia="zh-CN"/>
        </w:rPr>
      </w:pPr>
      <w:r>
        <w:rPr>
          <w:rFonts w:hint="eastAsia" w:ascii="方正小标宋简体" w:eastAsia="方正小标宋简体" w:cs="方正小标宋简体"/>
          <w:color w:val="auto"/>
          <w:sz w:val="44"/>
          <w:szCs w:val="44"/>
          <w:highlight w:val="none"/>
          <w:lang w:eastAsia="zh-CN"/>
        </w:rPr>
        <w:t>《</w:t>
      </w:r>
      <w:r>
        <w:rPr>
          <w:rFonts w:hint="eastAsia" w:ascii="方正小标宋简体" w:eastAsia="方正小标宋简体" w:cs="方正小标宋简体"/>
          <w:color w:val="auto"/>
          <w:sz w:val="44"/>
          <w:szCs w:val="44"/>
          <w:highlight w:val="none"/>
        </w:rPr>
        <w:t>杭州市综合行政执法行政处罚裁量基准（第二批）</w:t>
      </w:r>
      <w:r>
        <w:rPr>
          <w:rFonts w:hint="eastAsia" w:ascii="方正小标宋简体" w:eastAsia="方正小标宋简体" w:cs="方正小标宋简体"/>
          <w:color w:val="auto"/>
          <w:sz w:val="44"/>
          <w:szCs w:val="44"/>
          <w:highlight w:val="none"/>
          <w:lang w:eastAsia="zh-CN"/>
        </w:rPr>
        <w:t>》起草说明</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right="0" w:rightChars="0" w:firstLine="0" w:firstLineChars="0"/>
        <w:jc w:val="center"/>
        <w:textAlignment w:val="auto"/>
        <w:outlineLvl w:val="9"/>
        <w:rPr>
          <w:rFonts w:hint="eastAsia" w:ascii="方正小标宋简体" w:eastAsia="方正小标宋简体" w:cs="方正小标宋简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line="560" w:lineRule="exact"/>
        <w:ind w:left="0" w:leftChars="0" w:right="0" w:rightChars="0" w:firstLine="640"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制定</w:t>
      </w:r>
      <w:r>
        <w:rPr>
          <w:rFonts w:hint="eastAsia" w:ascii="仿宋_GB2312" w:hAnsi="仿宋_GB2312" w:cs="仿宋_GB2312"/>
          <w:color w:val="auto"/>
          <w:sz w:val="32"/>
          <w:szCs w:val="32"/>
          <w:highlight w:val="none"/>
          <w:lang w:eastAsia="zh-CN"/>
        </w:rPr>
        <w:t>行政处罚裁量基准</w:t>
      </w:r>
      <w:r>
        <w:rPr>
          <w:rFonts w:hint="eastAsia" w:ascii="仿宋_GB2312" w:hAnsi="仿宋_GB2312" w:eastAsia="仿宋_GB2312" w:cs="仿宋_GB2312"/>
          <w:color w:val="auto"/>
          <w:sz w:val="32"/>
          <w:szCs w:val="32"/>
          <w:highlight w:val="none"/>
        </w:rPr>
        <w:t>是</w:t>
      </w:r>
      <w:r>
        <w:rPr>
          <w:rFonts w:hint="eastAsia" w:ascii="仿宋_GB2312" w:hAnsi="仿宋_GB2312" w:cs="仿宋_GB2312"/>
          <w:color w:val="auto"/>
          <w:sz w:val="32"/>
          <w:szCs w:val="32"/>
          <w:highlight w:val="none"/>
          <w:lang w:eastAsia="zh-CN"/>
        </w:rPr>
        <w:t>全面推进严格规范公正文明执法的基础性工作。</w:t>
      </w:r>
      <w:r>
        <w:rPr>
          <w:rFonts w:hint="eastAsia" w:ascii="仿宋_GB2312" w:hAnsi="仿宋_GB2312" w:eastAsia="仿宋_GB2312" w:cs="仿宋_GB2312"/>
          <w:color w:val="auto"/>
          <w:sz w:val="32"/>
          <w:szCs w:val="32"/>
          <w:highlight w:val="none"/>
          <w:lang w:val="en-US" w:eastAsia="zh-CN"/>
        </w:rPr>
        <w:t>现将《杭州市综合行政执法行政处罚裁量基准（第二批）》（以下简称《裁量基准（第二批）》）起草情况说明如下：</w:t>
      </w:r>
    </w:p>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line="560" w:lineRule="exact"/>
        <w:ind w:left="0" w:leftChars="0" w:right="0" w:rightChars="0" w:firstLine="640" w:firstLineChars="200"/>
        <w:textAlignment w:val="auto"/>
        <w:outlineLvl w:val="9"/>
        <w:rPr>
          <w:rFonts w:hint="eastAsia" w:ascii="黑体" w:hAnsi="黑体" w:eastAsia="黑体" w:cs="仿宋_GB2312"/>
          <w:color w:val="auto"/>
          <w:sz w:val="32"/>
          <w:szCs w:val="32"/>
          <w:highlight w:val="none"/>
          <w:lang w:val="en-US" w:eastAsia="zh-CN"/>
        </w:rPr>
      </w:pPr>
      <w:r>
        <w:rPr>
          <w:rFonts w:hint="eastAsia" w:ascii="黑体" w:hAnsi="黑体" w:eastAsia="黑体" w:cs="仿宋_GB2312"/>
          <w:color w:val="auto"/>
          <w:sz w:val="32"/>
          <w:szCs w:val="32"/>
          <w:highlight w:val="none"/>
          <w:lang w:val="en-US" w:eastAsia="zh-CN"/>
        </w:rPr>
        <w:t>起草背景</w:t>
      </w:r>
    </w:p>
    <w:p>
      <w:pPr>
        <w:keepNext w:val="0"/>
        <w:keepLines w:val="0"/>
        <w:pageBreakBefore w:val="0"/>
        <w:widowControl w:val="0"/>
        <w:kinsoku/>
        <w:wordWrap/>
        <w:overflowPunct/>
        <w:topLinePunct w:val="0"/>
        <w:autoSpaceDE/>
        <w:autoSpaceDN/>
        <w:bidi w:val="0"/>
        <w:adjustRightInd/>
        <w:snapToGrid w:val="0"/>
        <w:spacing w:beforeAutospacing="0" w:line="560" w:lineRule="exact"/>
        <w:ind w:left="0" w:leftChars="0" w:right="0" w:rightChars="0" w:firstLine="640" w:firstLineChars="200"/>
        <w:textAlignment w:val="auto"/>
        <w:outlineLvl w:val="9"/>
        <w:rPr>
          <w:rFonts w:hint="eastAsia" w:ascii="仿宋_GB2312" w:hAnsi="仿宋_GB2312" w:cs="仿宋_GB2312"/>
          <w:strike/>
          <w:dstrike w:val="0"/>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根据《中华人民共和国行政处罚法》《国务院办公厅关于进一步规范行政裁量权基准制定和管理工作的意见》的规定，行政执法机关应制定行政处罚裁量基准，确保行政机关在具体行政执法过程中有细化量化的执法尺度。2023年，我局印发了《杭州市综合行政执法行政处罚裁量权实施规定》（以下简称《实施规定》）《杭州市综合行政执法行政处罚裁量基准》（以下简称《裁量基准》），对410项高频多发行政处罚事项制定了裁量基准。在此基础上，为进一步规范裁量基准，规范行政处罚行为，对省级、市级部门未制定裁量基准的行政处罚事项进行完善，编制</w:t>
      </w:r>
      <w:r>
        <w:rPr>
          <w:rFonts w:hint="eastAsia" w:ascii="仿宋_GB2312" w:hAnsi="仿宋_GB2312" w:eastAsia="仿宋_GB2312" w:cs="仿宋_GB2312"/>
          <w:strike w:val="0"/>
          <w:dstrike w:val="0"/>
          <w:color w:val="auto"/>
          <w:sz w:val="32"/>
          <w:szCs w:val="32"/>
          <w:highlight w:val="none"/>
          <w:lang w:val="en-US" w:eastAsia="zh-CN"/>
        </w:rPr>
        <w:t>《裁量基准（第二批）》</w:t>
      </w:r>
      <w:r>
        <w:rPr>
          <w:rFonts w:hint="eastAsia" w:ascii="仿宋_GB2312" w:hAnsi="仿宋_GB2312" w:cs="仿宋_GB2312"/>
          <w:strike w:val="0"/>
          <w:dstrike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60" w:lineRule="exact"/>
        <w:ind w:leftChars="200" w:right="0" w:rightChars="0"/>
        <w:textAlignment w:val="auto"/>
        <w:outlineLvl w:val="9"/>
        <w:rPr>
          <w:sz w:val="32"/>
          <w:szCs w:val="32"/>
        </w:rPr>
      </w:pPr>
      <w:r>
        <w:rPr>
          <w:rFonts w:hint="eastAsia" w:ascii="黑体" w:hAnsi="黑体" w:eastAsia="黑体" w:cs="黑体"/>
          <w:color w:val="auto"/>
          <w:sz w:val="32"/>
          <w:szCs w:val="32"/>
          <w:highlight w:val="none"/>
          <w:shd w:val="clear" w:color="auto" w:fill="FFFFFF"/>
          <w:lang w:val="en-US" w:eastAsia="zh-CN"/>
        </w:rPr>
        <w:t>二、起草过程</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60" w:lineRule="exact"/>
        <w:ind w:right="0" w:rightChars="0" w:firstLine="640" w:firstLineChars="200"/>
        <w:textAlignment w:val="auto"/>
        <w:outlineLvl w:val="9"/>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2023年10月，启动了起草工作，第一轮编制了杭州市地方性法规、杭州市政府规章设定行政处罚事项的裁量基准，并于2023年10月30日通过杭州市综合行政执法局门户网站面向社会公开征求意见。2024年1月启动第二轮编制，又补充了省、市行业主管部门未编制事项的裁量基准，于2024年2月9日再次通过杭州市综合行政执法局门户网站面向社会公开征求意见。2024年3月向市司法局等13家市级部门、市局内部各业务处室、各区、县（市）综合行政执法机关书面征求意见。两次征求意见共收到7家单位书面反馈27条修改意见，采纳16条、不采纳11条。对不予采纳的，均予以反馈并说明理由。</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60" w:lineRule="exact"/>
        <w:ind w:right="0" w:rightChars="0" w:firstLine="640" w:firstLineChars="200"/>
        <w:textAlignment w:val="auto"/>
        <w:outlineLvl w:val="9"/>
        <w:rPr>
          <w:sz w:val="32"/>
          <w:szCs w:val="32"/>
        </w:rPr>
      </w:pPr>
      <w:r>
        <w:rPr>
          <w:rFonts w:hint="eastAsia" w:ascii="仿宋_GB2312" w:hAnsi="仿宋_GB2312" w:cs="仿宋_GB2312"/>
          <w:color w:val="auto"/>
          <w:sz w:val="32"/>
          <w:szCs w:val="32"/>
          <w:highlight w:val="none"/>
          <w:lang w:val="en-US" w:eastAsia="zh-CN"/>
        </w:rPr>
        <w:t>综合相关意见建议，完善和修改征求意见稿后，形成了草案，并依据职责进行了合法性审核。经审核，草案符合我局的法定权限；符合法定程序制定；符合法律、法规、规章的规定。</w:t>
      </w: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left="0" w:leftChars="0" w:right="0" w:righ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三、有关情况说明</w:t>
      </w: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left="0" w:leftChars="0" w:right="0" w:righ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（一）行政处罚事项裁量基准编制情况</w:t>
      </w: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right="0" w:rightChars="0" w:firstLine="640" w:firstLineChars="200"/>
        <w:textAlignment w:val="auto"/>
        <w:rPr>
          <w:rFonts w:hint="default" w:ascii="仿宋_GB2312"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《裁量基准（第二批）》</w:t>
      </w:r>
      <w:r>
        <w:rPr>
          <w:rFonts w:hint="eastAsia" w:ascii="仿宋_GB2312" w:hAnsi="仿宋_GB2312" w:cs="仿宋_GB2312"/>
          <w:color w:val="auto"/>
          <w:sz w:val="32"/>
          <w:szCs w:val="32"/>
          <w:highlight w:val="none"/>
          <w:lang w:val="en-US" w:eastAsia="zh-CN"/>
        </w:rPr>
        <w:t>编制行政处罚裁量基准事项共涉及10个领域（详见附件）。其中，法律、行政法规、规章设定事项117项，涉及建设、水利、事业单位登记等9个领域；浙江省地方性法规、省政府规章设定事项38项，涉及建设、林业、人力社保等5个领域；杭州市地方性法规、规章设定事项96项，涉及建设、民政2个领域。</w:t>
      </w:r>
      <w:r>
        <w:rPr>
          <w:rFonts w:hint="eastAsia" w:ascii="仿宋_GB2312" w:hAnsi="仿宋_GB2312" w:eastAsia="仿宋_GB2312" w:cs="仿宋_GB2312"/>
          <w:color w:val="auto"/>
          <w:sz w:val="32"/>
          <w:szCs w:val="32"/>
          <w:highlight w:val="none"/>
          <w:lang w:val="en-US" w:eastAsia="zh-CN"/>
        </w:rPr>
        <w:t>《裁量基准（第二批）》</w:t>
      </w:r>
      <w:r>
        <w:rPr>
          <w:rFonts w:hint="eastAsia" w:ascii="仿宋_GB2312" w:hAnsi="仿宋_GB2312" w:cs="仿宋_GB2312"/>
          <w:color w:val="auto"/>
          <w:sz w:val="32"/>
          <w:szCs w:val="32"/>
          <w:highlight w:val="none"/>
          <w:lang w:val="en-US" w:eastAsia="zh-CN"/>
        </w:rPr>
        <w:t>对19个事项的轻微违法行为设定了不予行政处罚的情形。</w:t>
      </w: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right="0" w:rightChars="0" w:firstLine="640" w:firstLineChars="200"/>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违法情形和裁量基准的设定按照轻微免罚、重违严惩、过罚相当的原则，从日常执法实际处罚，充分考虑同类型处罚事项，借鉴省外行政处罚裁量基准，与杭州市经济社会发展水平相适应。</w:t>
      </w: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right="0" w:rightChars="0" w:firstLine="640" w:firstLineChars="200"/>
        <w:textAlignment w:val="auto"/>
        <w:rPr>
          <w:rFonts w:hint="eastAsia" w:ascii="仿宋_GB2312" w:hAnsi="仿宋_GB2312" w:cs="仿宋_GB2312"/>
          <w:b w:val="0"/>
          <w:bCs w:val="0"/>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（二）关于行政规范性文件制定程序履行情况。</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cs="仿宋_GB2312"/>
          <w:b w:val="0"/>
          <w:bCs w:val="0"/>
          <w:color w:val="auto"/>
          <w:sz w:val="32"/>
          <w:szCs w:val="32"/>
          <w:highlight w:val="none"/>
          <w:lang w:val="en-US" w:eastAsia="zh-CN"/>
        </w:rPr>
        <w:t>浙江省行政规范性文件管理办法》，第一轮形成《《杭州市综合行政执法新增行政处罚裁量基准》征求意见稿后，2023年10月30日，在局门户网站向社会公开征求意见。第二轮补充完善形成《裁量基准（第二批）》征求意见稿后，2024年2月9日，在局门户网站向社会公开征求意见。3月，书面征求有关市级部门和</w:t>
      </w:r>
      <w:r>
        <w:rPr>
          <w:rFonts w:hint="eastAsia" w:ascii="仿宋_GB2312" w:hAnsi="仿宋_GB2312" w:cs="仿宋_GB2312"/>
          <w:color w:val="auto"/>
          <w:sz w:val="32"/>
          <w:szCs w:val="32"/>
          <w:highlight w:val="none"/>
          <w:lang w:val="en-US" w:eastAsia="zh-CN"/>
        </w:rPr>
        <w:t>区、县（市）综合行政执法机关</w:t>
      </w:r>
      <w:r>
        <w:rPr>
          <w:rFonts w:hint="eastAsia" w:ascii="仿宋_GB2312" w:hAnsi="仿宋_GB2312" w:cs="仿宋_GB2312"/>
          <w:b w:val="0"/>
          <w:bCs w:val="0"/>
          <w:color w:val="auto"/>
          <w:sz w:val="32"/>
          <w:szCs w:val="32"/>
          <w:highlight w:val="none"/>
          <w:lang w:val="en-US" w:eastAsia="zh-CN"/>
        </w:rPr>
        <w:t>意见；</w:t>
      </w:r>
      <w:r>
        <w:rPr>
          <w:rFonts w:hint="eastAsia" w:ascii="仿宋_GB2312" w:hAnsi="仿宋_GB2312" w:cs="仿宋_GB2312"/>
          <w:b w:val="0"/>
          <w:bCs w:val="0"/>
          <w:strike w:val="0"/>
          <w:dstrike w:val="0"/>
          <w:color w:val="auto"/>
          <w:sz w:val="32"/>
          <w:szCs w:val="32"/>
          <w:highlight w:val="none"/>
          <w:lang w:val="en-US" w:eastAsia="zh-CN"/>
        </w:rPr>
        <w:t>4月17日</w:t>
      </w:r>
      <w:r>
        <w:rPr>
          <w:rFonts w:hint="eastAsia" w:ascii="仿宋_GB2312" w:hAnsi="仿宋_GB2312" w:cs="仿宋_GB2312"/>
          <w:b w:val="0"/>
          <w:bCs w:val="0"/>
          <w:color w:val="auto"/>
          <w:sz w:val="32"/>
          <w:szCs w:val="32"/>
          <w:highlight w:val="none"/>
          <w:lang w:val="en-US" w:eastAsia="zh-CN"/>
        </w:rPr>
        <w:t>，完成合法性审查；4月28日，提交局长办公会议集体讨论后，完成行政规范性文件制定程序。</w:t>
      </w:r>
    </w:p>
    <w:p>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left="0" w:leftChars="0" w:right="0" w:rightChars="0" w:firstLine="640" w:firstLineChars="200"/>
        <w:textAlignment w:val="auto"/>
        <w:rPr>
          <w:rFonts w:hint="eastAsia" w:ascii="仿宋_GB2312" w:hAnsi="仿宋_GB2312" w:cs="仿宋_GB2312"/>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textAlignment w:val="auto"/>
        <w:rPr>
          <w:rFonts w:hint="eastAsia"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附件：《杭州市综合行政执法行政处罚裁量基准</w:t>
      </w:r>
    </w:p>
    <w:p>
      <w:pPr>
        <w:pStyle w:val="2"/>
        <w:keepNext w:val="0"/>
        <w:keepLines w:val="0"/>
        <w:pageBreakBefore w:val="0"/>
        <w:widowControl w:val="0"/>
        <w:kinsoku/>
        <w:wordWrap/>
        <w:overflowPunct/>
        <w:topLinePunct w:val="0"/>
        <w:autoSpaceDE/>
        <w:autoSpaceDN/>
        <w:bidi w:val="0"/>
        <w:adjustRightInd/>
        <w:snapToGrid/>
        <w:spacing w:before="0" w:beforeAutospacing="0"/>
        <w:ind w:firstLine="1600" w:firstLineChars="500"/>
        <w:textAlignment w:val="auto"/>
        <w:rPr>
          <w:rFonts w:hint="eastAsia" w:ascii="仿宋_GB2312" w:cs="仿宋_GB2312"/>
          <w:sz w:val="32"/>
          <w:szCs w:val="32"/>
          <w:lang w:val="en-US" w:eastAsia="zh-CN"/>
        </w:rPr>
      </w:pPr>
      <w:r>
        <w:rPr>
          <w:rFonts w:hint="eastAsia" w:ascii="仿宋_GB2312" w:hAnsi="仿宋_GB2312" w:cs="仿宋_GB2312"/>
          <w:b w:val="0"/>
          <w:bCs w:val="0"/>
          <w:color w:val="auto"/>
          <w:sz w:val="32"/>
          <w:szCs w:val="32"/>
          <w:highlight w:val="none"/>
          <w:lang w:val="en-US" w:eastAsia="zh-CN"/>
        </w:rPr>
        <w:t>（第二批）》事项统计表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textAlignment w:val="auto"/>
        <w:rPr>
          <w:rFonts w:hint="eastAsia" w:ascii="仿宋_GB2312" w:cs="仿宋_GB2312"/>
          <w:sz w:val="32"/>
          <w:szCs w:val="32"/>
          <w:lang w:val="en-US" w:eastAsia="zh-CN"/>
        </w:rPr>
      </w:pPr>
    </w:p>
    <w:p>
      <w:pPr>
        <w:pStyle w:val="2"/>
        <w:rPr>
          <w:rFonts w:hint="eastAsia" w:ascii="仿宋_GB2312" w:cs="仿宋_GB2312"/>
          <w:sz w:val="32"/>
          <w:szCs w:val="32"/>
          <w:lang w:val="en-US" w:eastAsia="zh-CN"/>
        </w:rPr>
      </w:pPr>
    </w:p>
    <w:p>
      <w:pPr>
        <w:pStyle w:val="2"/>
        <w:rPr>
          <w:rFonts w:hint="eastAsia" w:ascii="仿宋_GB2312" w:cs="仿宋_GB2312"/>
          <w:sz w:val="32"/>
          <w:szCs w:val="32"/>
          <w:lang w:val="en-US" w:eastAsia="zh-CN"/>
        </w:rPr>
      </w:pPr>
    </w:p>
    <w:p>
      <w:pPr>
        <w:rPr>
          <w:rFonts w:hint="eastAsia" w:ascii="黑体" w:hAnsi="黑体" w:eastAsia="黑体" w:cs="黑体"/>
          <w:color w:val="auto"/>
          <w:spacing w:val="-11"/>
          <w:sz w:val="32"/>
          <w:szCs w:val="32"/>
          <w:highlight w:val="none"/>
          <w:lang w:val="en-US" w:eastAsia="zh-CN"/>
        </w:rPr>
      </w:pPr>
      <w:r>
        <w:rPr>
          <w:rFonts w:hint="eastAsia" w:ascii="黑体" w:hAnsi="黑体" w:eastAsia="黑体" w:cs="黑体"/>
          <w:color w:val="auto"/>
          <w:spacing w:val="-11"/>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黑体" w:hAnsi="黑体" w:eastAsia="黑体" w:cs="黑体"/>
          <w:color w:val="auto"/>
          <w:spacing w:val="-11"/>
          <w:sz w:val="32"/>
          <w:szCs w:val="32"/>
          <w:highlight w:val="none"/>
          <w:lang w:val="en-US" w:eastAsia="zh-CN"/>
        </w:rPr>
      </w:pPr>
      <w:r>
        <w:rPr>
          <w:rFonts w:hint="eastAsia" w:ascii="黑体" w:hAnsi="黑体" w:eastAsia="黑体" w:cs="黑体"/>
          <w:color w:val="auto"/>
          <w:spacing w:val="-11"/>
          <w:sz w:val="32"/>
          <w:szCs w:val="32"/>
          <w:highlight w:val="none"/>
          <w:lang w:val="en-US" w:eastAsia="zh-CN"/>
        </w:rPr>
        <w:t>附件：</w:t>
      </w: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《杭州市综合行政执法行政处罚裁量基准（第二批）》事项</w:t>
      </w:r>
      <w:r>
        <w:rPr>
          <w:rFonts w:hint="eastAsia" w:ascii="方正小标宋简体" w:hAnsi="方正小标宋简体" w:eastAsia="方正小标宋简体" w:cs="方正小标宋简体"/>
          <w:sz w:val="44"/>
          <w:szCs w:val="44"/>
        </w:rPr>
        <w:t>统计表</w:t>
      </w:r>
    </w:p>
    <w:tbl>
      <w:tblPr>
        <w:tblStyle w:val="6"/>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14"/>
        <w:gridCol w:w="1578"/>
        <w:gridCol w:w="1473"/>
        <w:gridCol w:w="1473"/>
        <w:gridCol w:w="1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color="000000"/>
                <w:lang w:val="en-US" w:eastAsia="zh-CN" w:bidi="ar"/>
              </w:rPr>
              <w:t>领域</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iCs w:val="0"/>
                <w:color w:val="000000"/>
                <w:sz w:val="24"/>
                <w:szCs w:val="24"/>
                <w:u w:val="none"/>
                <w:lang w:val="en-US" w:eastAsia="zh-CN"/>
              </w:rPr>
            </w:pPr>
            <w:r>
              <w:rPr>
                <w:rFonts w:hint="eastAsia" w:ascii="黑体" w:hAnsi="黑体" w:eastAsia="黑体" w:cs="黑体"/>
                <w:i w:val="0"/>
                <w:iCs w:val="0"/>
                <w:color w:val="000000"/>
                <w:kern w:val="0"/>
                <w:sz w:val="24"/>
                <w:szCs w:val="24"/>
                <w:u w:val="none" w:color="000000"/>
                <w:lang w:val="en-US" w:eastAsia="zh-CN" w:bidi="ar"/>
              </w:rPr>
              <w:t>法律、行政法规、规章</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iCs w:val="0"/>
                <w:color w:val="000000"/>
                <w:kern w:val="0"/>
                <w:sz w:val="24"/>
                <w:szCs w:val="24"/>
                <w:u w:val="none" w:color="000000"/>
                <w:lang w:val="en-US" w:eastAsia="zh-CN" w:bidi="ar"/>
              </w:rPr>
            </w:pPr>
            <w:r>
              <w:rPr>
                <w:rFonts w:hint="eastAsia" w:ascii="黑体" w:hAnsi="黑体" w:eastAsia="黑体" w:cs="黑体"/>
                <w:i w:val="0"/>
                <w:iCs w:val="0"/>
                <w:color w:val="000000"/>
                <w:kern w:val="0"/>
                <w:sz w:val="24"/>
                <w:szCs w:val="24"/>
                <w:u w:val="none" w:color="000000"/>
                <w:lang w:val="en-US" w:eastAsia="zh-CN" w:bidi="ar"/>
              </w:rPr>
              <w:t>浙江省</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color="000000"/>
                <w:lang w:val="en-US" w:eastAsia="zh-CN" w:bidi="ar"/>
              </w:rPr>
              <w:t>地方性法规、规章</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iCs w:val="0"/>
                <w:color w:val="000000"/>
                <w:kern w:val="0"/>
                <w:sz w:val="24"/>
                <w:szCs w:val="24"/>
                <w:u w:val="none" w:color="000000"/>
                <w:lang w:val="en-US" w:eastAsia="zh-CN" w:bidi="ar"/>
              </w:rPr>
            </w:pPr>
            <w:r>
              <w:rPr>
                <w:rFonts w:hint="eastAsia" w:ascii="黑体" w:hAnsi="黑体" w:eastAsia="黑体" w:cs="黑体"/>
                <w:i w:val="0"/>
                <w:iCs w:val="0"/>
                <w:color w:val="000000"/>
                <w:kern w:val="0"/>
                <w:sz w:val="24"/>
                <w:szCs w:val="24"/>
                <w:u w:val="none" w:color="000000"/>
                <w:lang w:val="en-US" w:eastAsia="zh-CN" w:bidi="ar"/>
              </w:rPr>
              <w:t>杭州市</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color="000000"/>
                <w:lang w:val="en-US" w:eastAsia="zh-CN" w:bidi="ar"/>
              </w:rPr>
              <w:t>地方性法规、规章</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黑体" w:hAnsi="黑体" w:eastAsia="黑体" w:cs="黑体"/>
                <w:i w:val="0"/>
                <w:iCs w:val="0"/>
                <w:color w:val="000000"/>
                <w:kern w:val="0"/>
                <w:sz w:val="24"/>
                <w:szCs w:val="24"/>
                <w:u w:val="none" w:color="000000"/>
                <w:lang w:val="en-US" w:eastAsia="zh-CN" w:bidi="ar"/>
              </w:rPr>
            </w:pPr>
            <w:r>
              <w:rPr>
                <w:rFonts w:hint="eastAsia" w:ascii="黑体" w:hAnsi="黑体" w:eastAsia="黑体" w:cs="黑体"/>
                <w:i w:val="0"/>
                <w:iCs w:val="0"/>
                <w:color w:val="000000"/>
                <w:kern w:val="0"/>
                <w:sz w:val="24"/>
                <w:szCs w:val="24"/>
                <w:u w:val="none" w:color="000000"/>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公安</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color="000000"/>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民政</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color="000000"/>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color="000000"/>
                <w:lang w:val="en-US" w:eastAsia="zh-CN" w:bidi="ar"/>
              </w:rPr>
            </w:pPr>
            <w:r>
              <w:rPr>
                <w:rFonts w:hint="eastAsia" w:ascii="宋体" w:hAnsi="宋体" w:eastAsia="宋体" w:cs="宋体"/>
                <w:i w:val="0"/>
                <w:iCs w:val="0"/>
                <w:color w:val="000000"/>
                <w:kern w:val="0"/>
                <w:sz w:val="28"/>
                <w:szCs w:val="28"/>
                <w:u w:val="none" w:color="00000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财政</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color="000000"/>
                <w:lang w:val="en-US" w:eastAsia="zh-CN" w:bidi="ar"/>
              </w:rPr>
              <w:t>6</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人力社保</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color="000000"/>
                <w:lang w:val="en-US" w:eastAsia="zh-CN" w:bidi="ar"/>
              </w:rPr>
              <w:t>10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color="000000"/>
                <w:lang w:val="en-US" w:eastAsia="zh-CN" w:bidi="ar"/>
              </w:rPr>
              <w:t>6</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生态环境</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color="000000"/>
                <w:lang w:val="en-US" w:eastAsia="zh-CN" w:bidi="ar"/>
              </w:rPr>
              <w:t>7</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color="000000"/>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建设</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color="000000"/>
                <w:lang w:val="en-US" w:eastAsia="zh-CN" w:bidi="ar"/>
              </w:rPr>
              <w:t>48</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36"/>
                <w:szCs w:val="36"/>
                <w:u w:val="none"/>
                <w:lang w:val="en-US"/>
              </w:rPr>
            </w:pPr>
            <w:r>
              <w:rPr>
                <w:rFonts w:hint="eastAsia" w:ascii="宋体" w:hAnsi="宋体" w:eastAsia="宋体" w:cs="宋体"/>
                <w:i w:val="0"/>
                <w:iCs w:val="0"/>
                <w:color w:val="000000"/>
                <w:kern w:val="0"/>
                <w:sz w:val="28"/>
                <w:szCs w:val="28"/>
                <w:u w:val="none" w:color="000000"/>
                <w:lang w:val="en-US" w:eastAsia="zh-CN" w:bidi="ar"/>
              </w:rPr>
              <w:t>15</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color="000000"/>
                <w:lang w:val="en-US" w:eastAsia="zh-CN" w:bidi="ar"/>
              </w:rPr>
              <w:t>95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color="000000"/>
                <w:lang w:val="en-US" w:eastAsia="zh-CN" w:bidi="ar"/>
              </w:rPr>
            </w:pPr>
            <w:r>
              <w:rPr>
                <w:rFonts w:hint="eastAsia" w:ascii="宋体" w:hAnsi="宋体" w:eastAsia="宋体" w:cs="宋体"/>
                <w:i w:val="0"/>
                <w:iCs w:val="0"/>
                <w:color w:val="000000"/>
                <w:kern w:val="0"/>
                <w:sz w:val="28"/>
                <w:szCs w:val="28"/>
                <w:u w:val="none" w:color="000000"/>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水利</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color="000000"/>
                <w:lang w:val="en-US" w:eastAsia="zh-CN" w:bidi="ar"/>
              </w:rPr>
              <w:t>30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color="000000"/>
                <w:lang w:val="en-US" w:eastAsia="zh-CN" w:bidi="ar"/>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气象</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color="000000"/>
                <w:lang w:val="en-US" w:eastAsia="zh-CN" w:bidi="ar"/>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林业</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color="000000"/>
                <w:lang w:val="en-US" w:eastAsia="zh-CN" w:bidi="ar"/>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color="000000"/>
                <w:lang w:val="en-US" w:eastAsia="zh-CN" w:bidi="ar"/>
              </w:rPr>
              <w:t>12</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color="000000"/>
                <w:lang w:val="en-US" w:eastAsia="zh-CN" w:bidi="ar"/>
              </w:rPr>
              <w:t>事业单位登记管理</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color="000000"/>
                <w:lang w:val="en-US" w:eastAsia="zh-CN" w:bidi="ar"/>
              </w:rPr>
              <w:t>7</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kern w:val="0"/>
                <w:sz w:val="28"/>
                <w:szCs w:val="28"/>
                <w:u w:val="none" w:color="000000"/>
                <w:lang w:val="en-US" w:eastAsia="zh-CN" w:bidi="ar"/>
              </w:rPr>
              <w:t>7</w:t>
            </w:r>
          </w:p>
        </w:tc>
      </w:tr>
    </w:tbl>
    <w:p>
      <w:pPr>
        <w:pStyle w:val="2"/>
        <w:ind w:left="0" w:leftChars="0" w:firstLine="0" w:firstLineChars="0"/>
        <w:rPr>
          <w:rFonts w:hint="default" w:ascii="仿宋_GB2312" w:cs="仿宋_GB2312"/>
          <w:sz w:val="32"/>
          <w:szCs w:val="32"/>
          <w:lang w:val="en-US" w:eastAsia="zh-CN"/>
        </w:rPr>
      </w:pPr>
      <w:bookmarkStart w:id="0" w:name="_GoBack"/>
      <w:bookmarkEnd w:id="0"/>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1BAFE"/>
    <w:multiLevelType w:val="singleLevel"/>
    <w:tmpl w:val="0B31BA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ZjgzNjA2NDhjYWY4ZTBiY2M1OTBhMDhlODE2NDgifQ=="/>
  </w:docVars>
  <w:rsids>
    <w:rsidRoot w:val="70C62C65"/>
    <w:rsid w:val="00003D44"/>
    <w:rsid w:val="03D6538F"/>
    <w:rsid w:val="040F0CD2"/>
    <w:rsid w:val="047123B3"/>
    <w:rsid w:val="04865AED"/>
    <w:rsid w:val="064F189D"/>
    <w:rsid w:val="06F208D5"/>
    <w:rsid w:val="07B138B7"/>
    <w:rsid w:val="08AB3BA3"/>
    <w:rsid w:val="0A34113D"/>
    <w:rsid w:val="0B485434"/>
    <w:rsid w:val="0C62586D"/>
    <w:rsid w:val="107069A6"/>
    <w:rsid w:val="11FC3C7B"/>
    <w:rsid w:val="13DE3762"/>
    <w:rsid w:val="16757D9B"/>
    <w:rsid w:val="173C0A4A"/>
    <w:rsid w:val="17AE1A73"/>
    <w:rsid w:val="18143E12"/>
    <w:rsid w:val="1C7A6810"/>
    <w:rsid w:val="1F5E4382"/>
    <w:rsid w:val="1FC411CB"/>
    <w:rsid w:val="20EC1D75"/>
    <w:rsid w:val="21993E8C"/>
    <w:rsid w:val="232A419D"/>
    <w:rsid w:val="244A2B88"/>
    <w:rsid w:val="25435F9A"/>
    <w:rsid w:val="261639A4"/>
    <w:rsid w:val="262C4813"/>
    <w:rsid w:val="272D0F38"/>
    <w:rsid w:val="277754F0"/>
    <w:rsid w:val="28601D52"/>
    <w:rsid w:val="28DF53BE"/>
    <w:rsid w:val="29D00996"/>
    <w:rsid w:val="2D2B0C53"/>
    <w:rsid w:val="2D3F3458"/>
    <w:rsid w:val="2DA41B84"/>
    <w:rsid w:val="2E487FB3"/>
    <w:rsid w:val="2FF55A20"/>
    <w:rsid w:val="3337153B"/>
    <w:rsid w:val="36F22E65"/>
    <w:rsid w:val="37D12A37"/>
    <w:rsid w:val="38C42369"/>
    <w:rsid w:val="39181C5D"/>
    <w:rsid w:val="3A977E93"/>
    <w:rsid w:val="3AFF52F2"/>
    <w:rsid w:val="3B3167B3"/>
    <w:rsid w:val="3E857D7D"/>
    <w:rsid w:val="3F3101B5"/>
    <w:rsid w:val="3F6A3E34"/>
    <w:rsid w:val="3F7A6532"/>
    <w:rsid w:val="41E55A8E"/>
    <w:rsid w:val="46BD7AC3"/>
    <w:rsid w:val="488502F7"/>
    <w:rsid w:val="48C71A3D"/>
    <w:rsid w:val="4AD80F1C"/>
    <w:rsid w:val="4BB959AE"/>
    <w:rsid w:val="4C3954F1"/>
    <w:rsid w:val="4F0D341C"/>
    <w:rsid w:val="51B32158"/>
    <w:rsid w:val="52ED0DE3"/>
    <w:rsid w:val="537049D0"/>
    <w:rsid w:val="5571150B"/>
    <w:rsid w:val="584C41EB"/>
    <w:rsid w:val="59441E73"/>
    <w:rsid w:val="594F0767"/>
    <w:rsid w:val="598A0DCD"/>
    <w:rsid w:val="5B510F3D"/>
    <w:rsid w:val="5B866118"/>
    <w:rsid w:val="5C750A06"/>
    <w:rsid w:val="5DCD2549"/>
    <w:rsid w:val="5DD71AC2"/>
    <w:rsid w:val="5E850375"/>
    <w:rsid w:val="6255256A"/>
    <w:rsid w:val="62B60F50"/>
    <w:rsid w:val="62D14B9E"/>
    <w:rsid w:val="65412582"/>
    <w:rsid w:val="657044E0"/>
    <w:rsid w:val="697F956E"/>
    <w:rsid w:val="6A137F51"/>
    <w:rsid w:val="6AB022EB"/>
    <w:rsid w:val="6AF1728B"/>
    <w:rsid w:val="6D9B2A1A"/>
    <w:rsid w:val="6EFD70F6"/>
    <w:rsid w:val="70855147"/>
    <w:rsid w:val="70C62C65"/>
    <w:rsid w:val="73542F60"/>
    <w:rsid w:val="75583A65"/>
    <w:rsid w:val="75F17191"/>
    <w:rsid w:val="76C80A42"/>
    <w:rsid w:val="78342545"/>
    <w:rsid w:val="7B1F5EDD"/>
    <w:rsid w:val="7B955032"/>
    <w:rsid w:val="7E3F2DA6"/>
    <w:rsid w:val="7E5356EF"/>
    <w:rsid w:val="7F2E124A"/>
    <w:rsid w:val="7F9E2955"/>
    <w:rsid w:val="7FF958F1"/>
    <w:rsid w:val="F4BF0C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38" w:lineRule="atLeast"/>
      <w:jc w:val="both"/>
      <w:textAlignment w:val="baseline"/>
    </w:pPr>
    <w:rPr>
      <w:rFonts w:ascii="Times New Roman" w:hAnsi="Times New Roman" w:eastAsia="仿宋_GB2312" w:cs="Times New Roman"/>
      <w:color w:val="000000"/>
      <w:sz w:val="31"/>
      <w:u w:val="none" w:color="000000"/>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line="580" w:lineRule="exact"/>
      <w:ind w:left="0" w:leftChars="0" w:firstLine="420" w:firstLineChars="200"/>
    </w:pPr>
    <w:rPr>
      <w:rFonts w:ascii="仿宋_GB2312" w:hAnsi="Calibri" w:eastAsia="仿宋_GB2312"/>
      <w:sz w:val="31"/>
      <w:szCs w:val="31"/>
    </w:rPr>
  </w:style>
  <w:style w:type="paragraph" w:styleId="3">
    <w:name w:val="Body Text Indent"/>
    <w:basedOn w:val="1"/>
    <w:qFormat/>
    <w:uiPriority w:val="0"/>
    <w:pPr>
      <w:widowControl w:val="0"/>
      <w:spacing w:after="120" w:line="240" w:lineRule="auto"/>
      <w:ind w:left="420" w:leftChars="200"/>
      <w:textAlignment w:val="auto"/>
    </w:pPr>
    <w:rPr>
      <w:rFonts w:ascii="Times New Roman" w:hAnsi="Times New Roman" w:eastAsia="宋体" w:cs="Times New Roman"/>
      <w:kern w:val="2"/>
      <w:sz w:val="21"/>
      <w:szCs w:val="24"/>
      <w:u w:val="none"/>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333333"/>
      <w:sz w:val="18"/>
      <w:szCs w:val="18"/>
      <w:u w:val="none"/>
    </w:rPr>
  </w:style>
  <w:style w:type="character" w:styleId="10">
    <w:name w:val="Hyperlink"/>
    <w:basedOn w:val="8"/>
    <w:qFormat/>
    <w:uiPriority w:val="0"/>
    <w:rPr>
      <w:color w:val="333333"/>
      <w:sz w:val="18"/>
      <w:szCs w:val="18"/>
      <w:u w:val="none"/>
    </w:rPr>
  </w:style>
  <w:style w:type="character" w:customStyle="1" w:styleId="11">
    <w:name w:val="font21"/>
    <w:basedOn w:val="8"/>
    <w:qFormat/>
    <w:uiPriority w:val="0"/>
    <w:rPr>
      <w:rFonts w:ascii="Arial" w:hAnsi="Arial" w:eastAsia="宋体" w:cs="Arial"/>
      <w:color w:val="000000"/>
      <w:sz w:val="21"/>
      <w:szCs w:val="21"/>
      <w:u w:val="none"/>
    </w:rPr>
  </w:style>
  <w:style w:type="character" w:customStyle="1" w:styleId="12">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2341</Words>
  <Characters>2590</Characters>
  <Lines>0</Lines>
  <Paragraphs>0</Paragraphs>
  <TotalTime>0</TotalTime>
  <ScaleCrop>false</ScaleCrop>
  <LinksUpToDate>false</LinksUpToDate>
  <CharactersWithSpaces>2590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2022-06-17T01:21:00Z</dcterms:created>
  <dc:creator>缘圆元</dc:creator>
  <cp:lastModifiedBy>user</cp:lastModifiedBy>
  <cp:lastPrinted>2022-06-23T08:29:00Z</cp:lastPrinted>
  <dcterms:modified xsi:type="dcterms:W3CDTF">2024-07-01T16:58:05Z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D55D1D56D7A14BB78C364B6A89DBEA9F</vt:lpwstr>
  </property>
</Properties>
</file>