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关于调整耕地开垦费等有关政策的通知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（征求公众意见稿）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各乡镇人民政府、街道办事处</w:t>
      </w:r>
      <w:r>
        <w:rPr>
          <w:rFonts w:ascii="仿宋_GB2312" w:hAnsi="宋体" w:eastAsia="仿宋_GB2312"/>
          <w:sz w:val="32"/>
          <w:szCs w:val="32"/>
        </w:rPr>
        <w:t>，</w:t>
      </w:r>
      <w:r>
        <w:rPr>
          <w:rFonts w:hint="eastAsia" w:ascii="仿宋_GB2312" w:hAnsi="宋体" w:eastAsia="仿宋_GB2312"/>
          <w:sz w:val="32"/>
          <w:szCs w:val="32"/>
          <w:lang w:eastAsia="zh-CN"/>
        </w:rPr>
        <w:t>市</w:t>
      </w:r>
      <w:r>
        <w:rPr>
          <w:rFonts w:ascii="仿宋_GB2312" w:hAnsi="宋体" w:eastAsia="仿宋_GB2312"/>
          <w:sz w:val="32"/>
          <w:szCs w:val="32"/>
        </w:rPr>
        <w:t>有关部门和单位：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为严格落实耕地占补平衡制度，切实加强耕地开垦费使用管理，做好耕地保护工作，根据《中华人民共和国土地管理法》《浙江省土地管理条例》《浙江省人民政府办公厅关于调整耕地开垦费等有关政策的通知》（浙政办函[2025]2号）等规定，现我市调整耕地开垦费等有关政策事项通知如下：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征收范围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非农业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产生的相关费用（以下简称补充耕地资金），委托市政府组织开垦相应的耕地。耕地开垦费和补充耕地资金作为建设成本，列入建设项目总投资或者生产成本。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根据建设项目占用耕地质量等别，划分为4档，分别征收耕地开垦费：一类2-4等为72元/平方米，二类5-7等为64元/平方米，三类8-10等为56 元/平方米，四类11-13等为40元/平方米。经依法批准占用永久基本农田的，按照上述标准的２倍收缴。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补充耕地资金收取标准：按照375元/平方米收取。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对于使用已购入的国家统筹、省统筹和跨市调剂指标的项目，补充耕地资金按原调剂补充耕地指标价格执行。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收缴办法和流程</w:t>
      </w:r>
    </w:p>
    <w:p>
      <w:pPr>
        <w:keepNext w:val="0"/>
        <w:keepLines w:val="0"/>
        <w:pageBreakBefore w:val="0"/>
        <w:widowControl w:val="0"/>
        <w:kinsoku/>
        <w:wordWrap/>
        <w:overflowPunct/>
        <w:topLinePunct w:val="0"/>
        <w:autoSpaceDE/>
        <w:autoSpaceDN/>
        <w:bidi w:val="0"/>
        <w:adjustRightInd/>
        <w:snapToGrid/>
        <w:spacing w:line="560" w:lineRule="exact"/>
        <w:ind w:left="0" w:firstLine="633"/>
        <w:textAlignment w:val="auto"/>
        <w:rPr>
          <w:rFonts w:hint="eastAsia" w:ascii="Times New Roman" w:hAnsi="Times New Roman" w:eastAsia="仿宋_GB2312" w:cs="仿宋_GB2312"/>
          <w:sz w:val="32"/>
          <w:szCs w:val="32"/>
          <w:highlight w:val="yellow"/>
          <w:lang w:eastAsia="zh-CN"/>
        </w:rPr>
      </w:pPr>
      <w:r>
        <w:rPr>
          <w:rFonts w:hint="eastAsia" w:ascii="仿宋_GB2312" w:hAnsi="宋体" w:eastAsia="仿宋_GB2312"/>
          <w:sz w:val="32"/>
          <w:szCs w:val="32"/>
          <w:lang w:val="en-US" w:eastAsia="zh-CN"/>
        </w:rPr>
        <w:t>用地主体在申请办理农用地转用审批时，按照规定标准足额</w:t>
      </w:r>
      <w:r>
        <w:rPr>
          <w:rFonts w:hint="eastAsia" w:ascii="仿宋_GB2312" w:hAnsi="宋体" w:eastAsia="仿宋_GB2312" w:cs="Times New Roman"/>
          <w:sz w:val="32"/>
          <w:szCs w:val="32"/>
          <w:lang w:val="en-US" w:eastAsia="zh-CN"/>
        </w:rPr>
        <w:t>缴纳耕地开垦费和补充耕地资金。其中，涉及划拨类项目的，由用地申请主体缴纳；涉及土地“招拍挂”出让的，暨阳街道、浣东街道、暨南街道、牌头镇、安华镇、同山镇、璜山镇、浬浦镇、陈宅镇、岭北镇由建设集团作为用地主体缴纳。枫桥镇、山下湖镇、次坞镇、赵家镇、东白湖镇、五泄镇、马剑镇、东和乡由文旅集团作为用地主体缴纳。陶朱街道、大唐街道、店口镇、姚江镇、应店街镇由高新产业投资集团作为用地主体缴纳。</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耕地开垦费和补充耕地资金纳入一般公共预算管理，实行收支两条线管理，耕地开垦费收入要及时全额收缴入库。耕地开垦费和补充耕地资金统筹用于耕地保护与质量建设。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市级相关部门要加强耕地开垦费和补充耕地资金的收缴和管理，定期对耕地开垦费和补充耕地资金的收缴、使用和管理情况进行监督检查，如有违纪违法行为的，依据有关法律、法规和规定</w:t>
      </w:r>
      <w:r>
        <w:rPr>
          <w:rFonts w:hint="eastAsia" w:ascii="仿宋_GB2312" w:hAnsi="宋体" w:eastAsia="仿宋_GB2312" w:cs="Times New Roman"/>
          <w:sz w:val="32"/>
          <w:szCs w:val="32"/>
          <w:lang w:val="en-US" w:eastAsia="zh-CN"/>
        </w:rPr>
        <w:t>进行</w:t>
      </w:r>
      <w:r>
        <w:rPr>
          <w:rFonts w:hint="eastAsia" w:ascii="仿宋_GB2312" w:hAnsi="宋体" w:eastAsia="仿宋_GB2312"/>
          <w:sz w:val="32"/>
          <w:szCs w:val="32"/>
          <w:lang w:val="en-US" w:eastAsia="zh-CN"/>
        </w:rPr>
        <w:t xml:space="preserve">严肃处理。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凡依法利用农村集体所有土地或国有土地（含依法征收为国有土地）用于农民建房或农民住房安置的新建、翻建自用住房，不缴纳耕地开垦费，</w:t>
      </w:r>
      <w:r>
        <w:rPr>
          <w:rFonts w:hint="default" w:ascii="仿宋_GB2312" w:hAnsi="宋体" w:eastAsia="仿宋_GB2312"/>
          <w:sz w:val="32"/>
          <w:szCs w:val="32"/>
          <w:lang w:eastAsia="zh-CN"/>
        </w:rPr>
        <w:t>市</w:t>
      </w:r>
      <w:r>
        <w:rPr>
          <w:rFonts w:hint="eastAsia" w:ascii="仿宋_GB2312" w:hAnsi="宋体" w:eastAsia="仿宋_GB2312"/>
          <w:sz w:val="32"/>
          <w:szCs w:val="32"/>
          <w:lang w:val="en-US" w:eastAsia="zh-CN"/>
        </w:rPr>
        <w:t>政府统筹落实补充耕地任务。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城乡建设用地增减挂钩项目区内新建农村居民安置住房和农村公共服务、基础设施用地，未超过项目增减挂钩建设用地复耕总面积的，不缴纳耕地开垦费。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非农业建设经批准占用园地的，不缴纳耕地开垦费。其他耕地开垦费减免政策按国家有关规定执行。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宋体" w:eastAsia="仿宋_GB2312"/>
          <w:sz w:val="32"/>
          <w:szCs w:val="32"/>
          <w:highlight w:val="yellow"/>
        </w:rPr>
      </w:pPr>
      <w:r>
        <w:rPr>
          <w:rFonts w:hint="default"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思源黑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思源黑体">
    <w:panose1 w:val="020B0500000000000000"/>
    <w:charset w:val="86"/>
    <w:family w:val="auto"/>
    <w:pitch w:val="default"/>
    <w:sig w:usb0="3000008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
    <w:altName w:val="思源黑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6443"/>
    <w:rsid w:val="2FFDBBF7"/>
    <w:rsid w:val="3FFD6443"/>
    <w:rsid w:val="4F2E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2025-05-27T15:16:00Z</dcterms:created>
  <dc:creator>user</dc:creator>
  <cp:lastModifiedBy>Yq</cp:lastModifiedBy>
  <dcterms:modified xsi:type="dcterms:W3CDTF">2025-05-28T15:38:42Z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D1286A36A98A452497E759A625404889</vt:lpwstr>
  </property>
</Properties>
</file>