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eastAsia="方正小标宋简体" w:cs="Times New Roman" w:hAnsi="Times New Roman"/>
          <w:color w:val="auto"/>
          <w:sz w:val="44"/>
          <w:szCs w:val="44"/>
          <w:lang w:eastAsia="zh-CN" w:bidi="ar-SA"/>
        </w:rPr>
      </w:pPr>
      <w:r>
        <w:rPr>
          <w:rFonts w:ascii="Times New Roman" w:eastAsia="方正小标宋简体" w:cs="Times New Roman" w:hAnsi="Times New Roman"/>
          <w:sz w:val="44"/>
          <w:szCs w:val="44"/>
          <w:lang w:eastAsia="zh-CN" w:bidi="ar-SA"/>
        </w:rPr>
        <w:t>嘉兴市畜牧业高质量发展实施意见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eastAsia="楷体_GB2312" w:cs="Times New Roman" w:hAnsi="Times New Roman"/>
          <w:color w:val="auto"/>
          <w:sz w:val="32"/>
          <w:szCs w:val="32"/>
          <w:lang w:eastAsia="zh-CN" w:bidi="ar-SA"/>
        </w:rPr>
      </w:pPr>
      <w:r>
        <w:rPr>
          <w:rFonts w:ascii="Times New Roman" w:eastAsia="楷体_GB2312" w:cs="Times New Roman" w:hAnsi="Times New Roman"/>
          <w:color w:val="auto"/>
          <w:kern w:val="2"/>
          <w:sz w:val="32"/>
          <w:szCs w:val="32"/>
          <w:u w:val="none"/>
          <w:lang w:val="en-US" w:eastAsia="zh-CN" w:bidi="ar-SA"/>
        </w:rPr>
        <w:t>（</w:t>
      </w:r>
      <w:r>
        <w:rPr>
          <w:rFonts w:ascii="Times New Roman" w:eastAsia="楷体_GB2312" w:cs="Times New Roman" w:hAnsi="Times New Roman" w:hint="eastAsia"/>
          <w:color w:val="auto"/>
          <w:kern w:val="2"/>
          <w:sz w:val="32"/>
          <w:szCs w:val="32"/>
          <w:u w:val="none"/>
          <w:lang w:val="en-US" w:eastAsia="zh-CN" w:bidi="ar-SA"/>
        </w:rPr>
        <w:t>征求意见</w:t>
      </w:r>
      <w:r>
        <w:rPr>
          <w:rFonts w:ascii="Times New Roman" w:eastAsia="楷体_GB2312" w:cs="Times New Roman" w:hAnsi="Times New Roman"/>
          <w:color w:val="auto"/>
          <w:kern w:val="2"/>
          <w:sz w:val="32"/>
          <w:szCs w:val="32"/>
          <w:u w:val="none"/>
          <w:lang w:val="en-US" w:eastAsia="zh-CN" w:bidi="ar-SA"/>
        </w:rPr>
        <w:t>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Times New Roman" w:eastAsia="仿宋_GB2312" w:cs="Times New Roman" w:hAnsi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</w:rPr>
        <w:t>为加快推进我市畜牧业高质量发展，根据《浙江省人民政府办公厅关于加快畜牧业高质量发展的意见》（浙政办发〔2021〕61号）精神，结合我市实际，制定本实施意见。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left="0" w:firstLineChars="200" w:firstLine="640"/>
        <w:jc w:val="both"/>
        <w:textAlignment w:val="auto"/>
        <w:rPr>
          <w:rFonts w:ascii="Times New Roman" w:eastAsia="黑体" w:cs="Times New Roman" w:hAnsi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黑体" w:cs="Times New Roman" w:hAnsi="Times New Roman"/>
          <w:color w:val="000000"/>
          <w:kern w:val="2"/>
          <w:sz w:val="32"/>
          <w:szCs w:val="32"/>
          <w:lang w:eastAsia="zh-CN" w:bidi="ar-SA"/>
        </w:rPr>
        <w:t>一、</w:t>
      </w:r>
      <w:r>
        <w:rPr>
          <w:rFonts w:ascii="Times New Roman" w:eastAsia="黑体" w:cs="Times New Roman" w:hAnsi="Times New Roman"/>
          <w:color w:val="000000"/>
          <w:kern w:val="2"/>
          <w:sz w:val="32"/>
          <w:szCs w:val="32"/>
          <w:lang w:val="en-US" w:eastAsia="zh-CN" w:bidi="ar-SA"/>
        </w:rPr>
        <w:t>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楷体_GB2312" w:cs="Times New Roman" w:hAnsi="Times New Roman"/>
          <w:color w:val="000000"/>
          <w:kern w:val="2"/>
          <w:sz w:val="32"/>
          <w:szCs w:val="32"/>
          <w:lang w:val="en-US" w:eastAsia="zh-CN" w:bidi="ar-SA"/>
        </w:rPr>
        <w:t>（一）指导思想。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</w:rPr>
        <w:t>以习近平新时代中国特色社会主义思想为指导，</w:t>
      </w:r>
      <w:bookmarkStart w:id="0" w:name="_GoBack"/>
      <w:bookmarkEnd w:id="0"/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  <w:highlight w:val="auto"/>
        </w:rPr>
        <w:t>全面贯彻落实党的二十届三中全会精神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ascii="仿宋_GB2312" w:eastAsia="仿宋_GB2312" w:cs="仿宋_GB2312" w:hint="eastAsia"/>
          <w:color w:val="000000"/>
          <w:sz w:val="32"/>
          <w:szCs w:val="32"/>
          <w:lang w:bidi="ar-SA"/>
        </w:rPr>
        <w:t>坚持把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 w:bidi="ar-SA"/>
          <w:highlight w:val="auto"/>
        </w:rPr>
        <w:t>畜牧业高质量发展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 w:bidi="ar-SA"/>
        </w:rPr>
        <w:t>作为目标定位、把</w:t>
      </w:r>
      <w:r>
        <w:rPr>
          <w:rFonts w:ascii="仿宋_GB2312" w:eastAsia="仿宋_GB2312" w:cs="仿宋_GB2312" w:hint="eastAsia"/>
          <w:color w:val="000000"/>
          <w:sz w:val="32"/>
          <w:szCs w:val="32"/>
          <w:lang w:bidi="ar-SA"/>
        </w:rPr>
        <w:t>稳产保供作为战略要求、把守牢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 w:bidi="ar-SA"/>
        </w:rPr>
        <w:t>防疫和畜产品</w:t>
      </w:r>
      <w:r>
        <w:rPr>
          <w:rFonts w:ascii="仿宋_GB2312" w:eastAsia="仿宋_GB2312" w:cs="仿宋_GB2312" w:hint="eastAsia"/>
          <w:color w:val="000000"/>
          <w:sz w:val="32"/>
          <w:szCs w:val="32"/>
          <w:lang w:bidi="ar-SA"/>
        </w:rPr>
        <w:t>安全作为基本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 w:bidi="ar-SA"/>
        </w:rPr>
        <w:t>底线</w:t>
      </w:r>
      <w:r>
        <w:rPr>
          <w:rFonts w:ascii="仿宋_GB2312" w:eastAsia="仿宋_GB2312" w:cs="仿宋_GB2312" w:hint="eastAsia"/>
          <w:color w:val="000000"/>
          <w:sz w:val="32"/>
          <w:szCs w:val="32"/>
          <w:lang w:eastAsia="zh-CN" w:bidi="ar-SA"/>
        </w:rPr>
        <w:t>，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 w:bidi="ar-SA"/>
        </w:rPr>
        <w:t>以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</w:rPr>
        <w:t>“六化”（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 w:bidi="ar-SA"/>
        </w:rPr>
        <w:t>标准化、绿色化、规模化、循环化、数字化、基地化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</w:rPr>
        <w:t>）发展为引领、</w:t>
      </w:r>
      <w:r>
        <w:rPr>
          <w:rFonts w:ascii="仿宋_GB2312" w:eastAsia="仿宋_GB2312" w:cs="仿宋_GB2312" w:hint="eastAsia"/>
          <w:color w:val="000000"/>
          <w:sz w:val="32"/>
          <w:szCs w:val="32"/>
          <w:lang w:bidi="ar-SA"/>
        </w:rPr>
        <w:t>项目建设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 w:bidi="ar-SA"/>
        </w:rPr>
        <w:t>为抓手、数字赋能为动力，</w:t>
      </w:r>
      <w:r>
        <w:rPr>
          <w:rFonts w:ascii="仿宋_GB2312" w:eastAsia="仿宋_GB2312" w:cs="仿宋_GB2312" w:hint="eastAsia"/>
          <w:color w:val="000000"/>
          <w:sz w:val="32"/>
          <w:szCs w:val="32"/>
          <w:lang w:eastAsia="zh-CN" w:bidi="ar-SA"/>
        </w:rPr>
        <w:t>统筹高质量发展与高水平安全，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</w:rPr>
        <w:t>构建产出高效、产品安全、发展绿色、调控有效的发展新格局，更好满足人民群众多元化的畜禽产品消费需求。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  <w:highlight w:val="auto"/>
        </w:rPr>
      </w:pPr>
      <w:r>
        <w:rPr>
          <w:rFonts w:ascii="Times New Roman" w:eastAsia="楷体_GB2312" w:cs="Times New Roman" w:hAnsi="Times New Roman"/>
          <w:color w:val="000000"/>
          <w:kern w:val="2"/>
          <w:sz w:val="32"/>
          <w:szCs w:val="32"/>
          <w:lang w:val="en-US" w:eastAsia="zh-CN" w:bidi="ar-SA"/>
        </w:rPr>
        <w:t>（二）主要目标。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</w:rPr>
        <w:t>到2025年，全市能繁母猪存栏稳定在3万头左右（其中纯种嘉兴黑猪能繁母猪1500头），生猪年出栏40万头以上（其中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</w:rPr>
        <w:t>含嘉兴黑猪血统优质生猪年出栏15万头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</w:rPr>
        <w:t>），家禽年出栏3500万羽以上，湖羊年出栏35万只。打造浙系畜禽产业集聚区3个，建成畜牧业高质量发展先行县2个。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</w:rPr>
        <w:t>建成省级以上生猪屠宰标准化企业4家。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</w:rPr>
        <w:t>养殖规模化率达到90%以上，机械化率达到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  <w:highlight w:val="auto"/>
        </w:rPr>
        <w:t>80%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</w:rPr>
        <w:t>以上，畜禽粪污资源化利用和无害化处理率保持在95%以上，饲料中豆粕用量占比降至13%以下，养殖环节病死生猪集中无害化处理率达到100%。着力打造</w:t>
      </w:r>
      <w:r>
        <w:rPr>
          <w:rFonts w:ascii="仿宋_GB2312" w:eastAsia="仿宋_GB2312" w:cs="仿宋_GB2312" w:hint="eastAsia"/>
          <w:color w:val="auto"/>
          <w:kern w:val="2"/>
          <w:sz w:val="32"/>
          <w:szCs w:val="32"/>
          <w:lang w:val="en-US" w:eastAsia="zh-CN" w:bidi="ar-SA"/>
        </w:rPr>
        <w:t>年产值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</w:rPr>
        <w:t>100亿元生猪全产业链1条（其中嘉兴黑猪全产业链年产值20亿元）、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  <w:highlight w:val="auto"/>
        </w:rPr>
        <w:t>20亿元家禽全产业链1条、10亿元湖羊全产业链1条。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</w:rPr>
        <w:t>到2027年，全市畜牧业质量效益和竞争力稳步提升，以嘉兴黑猪为代表的种业保护开发取得突破性进展，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  <w:highlight w:val="auto"/>
        </w:rPr>
        <w:t>畜禽养殖模式更加生态，动物防疫网络更加严密，加工流通体系更加健全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  <w:highlight w:val="auto"/>
        </w:rPr>
        <w:t>，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</w:rPr>
        <w:t>建立起品种良种化、养殖绿色化、设施自动化、管理智能化、营销品牌化的现代畜牧产业体系，畜牧业高质量发展的标志性成果更加鲜明。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jc w:val="both"/>
        <w:textAlignment w:val="auto"/>
        <w:rPr>
          <w:rFonts w:ascii="Times New Roman" w:eastAsia="黑体" w:cs="Times New Roman" w:hAnsi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黑体" w:cs="Times New Roman" w:hAnsi="Times New Roman"/>
          <w:color w:val="000000"/>
          <w:kern w:val="2"/>
          <w:sz w:val="32"/>
          <w:szCs w:val="32"/>
          <w:lang w:val="en-US" w:eastAsia="zh-CN" w:bidi="ar-SA"/>
        </w:rPr>
        <w:t>二、重点任务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jc w:val="both"/>
        <w:textAlignment w:val="auto"/>
        <w:rPr>
          <w:rFonts w:ascii="Times New Roman" w:eastAsia="楷体_GB2312" w:cs="Times New Roman" w:hAnsi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楷体_GB2312" w:cs="Times New Roman" w:hAnsi="Times New Roman"/>
          <w:color w:val="000000"/>
          <w:kern w:val="2"/>
          <w:sz w:val="32"/>
          <w:szCs w:val="32"/>
          <w:lang w:val="en-US" w:eastAsia="zh-CN" w:bidi="ar-SA"/>
        </w:rPr>
        <w:t>（一）</w:t>
      </w:r>
      <w:r>
        <w:rPr>
          <w:rFonts w:ascii="Times New Roman" w:eastAsia="楷体_GB2312" w:cs="Times New Roman" w:hAnsi="Times New Roman" w:hint="eastAsia"/>
          <w:color w:val="000000"/>
          <w:kern w:val="2"/>
          <w:sz w:val="32"/>
          <w:szCs w:val="32"/>
          <w:lang w:val="en-US" w:eastAsia="zh-CN" w:bidi="ar-SA"/>
        </w:rPr>
        <w:t>强化</w:t>
      </w:r>
      <w:r>
        <w:rPr>
          <w:rFonts w:ascii="Times New Roman" w:eastAsia="楷体_GB2312" w:cs="Times New Roman" w:hAnsi="Times New Roman"/>
          <w:color w:val="000000"/>
          <w:kern w:val="2"/>
          <w:sz w:val="32"/>
          <w:szCs w:val="32"/>
          <w:lang w:val="en-US" w:eastAsia="zh-CN" w:bidi="ar-SA"/>
        </w:rPr>
        <w:t>畜禽稳产保供。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  <w:highlight w:val="auto"/>
        </w:rPr>
        <w:t>实施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  <w:highlight w:val="auto"/>
        </w:rPr>
        <w:t>生猪提能行动，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  <w:highlight w:val="auto"/>
        </w:rPr>
        <w:t>开展产能调控，实现调控基地产能占总产能80%以上；保持规模猪场数量在33家以上，完成改造提升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  <w:highlight w:val="auto"/>
        </w:rPr>
        <w:t>10家，引导释放优势产能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  <w:highlight w:val="auto"/>
        </w:rPr>
        <w:t>。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  <w:highlight w:val="auto"/>
        </w:rPr>
        <w:t>实施家禽提质行动，推进“肉鸡养殖进园区”，发展壮大家禽龙头企业，新（改）建规模禽场9家，新增产能300万羽。实施湖羊提档行动，持续推进</w:t>
      </w:r>
      <w:r>
        <w:rPr>
          <w:rFonts w:ascii="仿宋_GB2312" w:eastAsia="仿宋_GB2312" w:cs="仿宋_GB2312" w:hint="eastAsia"/>
          <w:color w:val="000000"/>
          <w:sz w:val="32"/>
          <w:szCs w:val="32"/>
          <w:lang w:bidi="ar-SA"/>
          <w:highlight w:val="auto"/>
        </w:rPr>
        <w:t>国家级湖羊优势特色产业集群项目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  <w:highlight w:val="auto"/>
        </w:rPr>
        <w:t>，新（改）建规模羊场10家，提升规模化、设施化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eastAsia="zh-CN" w:bidi="ar-SA"/>
          <w:highlight w:val="auto"/>
        </w:rPr>
        <w:t>、机械化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  <w:highlight w:val="auto"/>
        </w:rPr>
        <w:t>水平。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  <w:highlight w:val="auto"/>
        </w:rPr>
        <w:t>立足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  <w:highlight w:val="auto"/>
        </w:rPr>
        <w:t>优质畜产品自给，科学谋划产业发展，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  <w:highlight w:val="auto"/>
        </w:rPr>
        <w:t>鼓励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</w:rPr>
        <w:t>本土企业开展国际国内合作，加强产销对接，稳定市场供应。</w:t>
      </w:r>
      <w:r>
        <w:rPr>
          <w:rFonts w:ascii="Times New Roman" w:eastAsia="楷体_GB2312" w:cs="Times New Roman" w:hAnsi="Times New Roman"/>
          <w:color w:val="000000"/>
          <w:kern w:val="2"/>
          <w:sz w:val="32"/>
          <w:szCs w:val="32"/>
          <w:lang w:val="en-US" w:eastAsia="zh-CN" w:bidi="ar-SA"/>
        </w:rPr>
        <w:t>（责任单位：市农业农村局、市发展改革委、市生态环境局、市自然资源和规划局、市商务局，</w:t>
      </w:r>
      <w:r>
        <w:rPr>
          <w:rFonts w:ascii="Times New Roman" w:eastAsia="楷体_GB2312" w:cs="Times New Roman" w:hAnsi="Times New Roman"/>
          <w:color w:val="000000"/>
          <w:kern w:val="2"/>
          <w:sz w:val="32"/>
          <w:szCs w:val="32"/>
          <w:lang w:val="en-US" w:eastAsia="zh-CN" w:bidi="ar-SA"/>
          <w:highlight w:val="auto"/>
        </w:rPr>
        <w:t>排在第一位的为牵头单位，下同</w:t>
      </w:r>
      <w:r>
        <w:rPr>
          <w:rFonts w:ascii="Times New Roman" w:eastAsia="楷体_GB2312" w:cs="Times New Roman" w:hAnsi="Times New Roman"/>
          <w:color w:val="000000"/>
          <w:kern w:val="2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jc w:val="both"/>
        <w:textAlignment w:val="auto"/>
        <w:rPr>
          <w:rFonts w:ascii="Times New Roman" w:eastAsia="楷体_GB2312" w:cs="Times New Roman" w:hAnsi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楷体_GB2312" w:cs="Times New Roman" w:hAnsi="Times New Roman" w:hint="eastAsia"/>
          <w:color w:val="000000"/>
          <w:kern w:val="2"/>
          <w:sz w:val="32"/>
          <w:szCs w:val="32"/>
          <w:lang w:val="en-US" w:eastAsia="zh-CN" w:bidi="ar-SA"/>
        </w:rPr>
        <w:t>（二）加强畜禽种业保护开发。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</w:rPr>
        <w:t>以龙头企业为主平台，加强嘉兴黑猪等国家级畜禽遗传资源的保护和开发利用，鼓励与科研院所合作开展新</w:t>
      </w:r>
      <w:r>
        <w:rPr>
          <w:rFonts w:ascii="仿宋_GB2312" w:eastAsia="仿宋_GB2312" w:cs="仿宋_GB2312" w:hint="eastAsia"/>
          <w:color w:val="000000"/>
          <w:spacing w:val="0"/>
          <w:sz w:val="32"/>
          <w:szCs w:val="32"/>
          <w:shd w:val="clear" w:color="auto" w:fill="auto"/>
          <w:lang w:eastAsia="zh-CN" w:bidi="ar-SA"/>
        </w:rPr>
        <w:t>品种培育和育种</w:t>
      </w:r>
      <w:r>
        <w:rPr>
          <w:rFonts w:ascii="仿宋_GB2312" w:eastAsia="仿宋_GB2312" w:cs="仿宋_GB2312" w:hint="eastAsia"/>
          <w:color w:val="000000"/>
          <w:spacing w:val="0"/>
          <w:sz w:val="32"/>
          <w:szCs w:val="32"/>
          <w:shd w:val="clear" w:color="auto" w:fill="auto"/>
          <w:lang w:bidi="ar-SA"/>
        </w:rPr>
        <w:t>关键技术攻关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</w:rPr>
        <w:t>，构建“1+4+N”（1家核心保种场+4家活体备份场+N份遗传物质）保种体系，提升遗传资源保护安全性。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</w:rPr>
        <w:t>优化良种扩繁场布局，支持核心种业企业培育，推行以企业为主体、市场化为导向，产学研结合的商业化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  <w:highlight w:val="auto"/>
        </w:rPr>
        <w:t>育种模式，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</w:rPr>
        <w:t>健全完善湖羊、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  <w:highlight w:val="auto"/>
        </w:rPr>
        <w:t>奶牛、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</w:rPr>
        <w:t>白鹅、蜜蜂等品种育繁推一体化体系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</w:rPr>
        <w:t>。到2025年，全市种畜（禽）场达13家，年提供优质种猪1万头、优质苗禽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  <w:highlight w:val="auto"/>
        </w:rPr>
        <w:t>3000万羽，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</w:rPr>
        <w:t>嘉兴黑猪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  <w:highlight w:val="auto"/>
        </w:rPr>
        <w:t>新品种力争通过国家鉴（审）定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</w:rPr>
        <w:t>。</w:t>
      </w:r>
      <w:r>
        <w:rPr>
          <w:rFonts w:ascii="Times New Roman" w:eastAsia="楷体_GB2312" w:cs="Times New Roman" w:hAnsi="Times New Roman"/>
          <w:color w:val="000000"/>
          <w:kern w:val="2"/>
          <w:sz w:val="32"/>
          <w:szCs w:val="32"/>
          <w:lang w:val="en-US" w:eastAsia="zh-CN" w:bidi="ar-SA"/>
        </w:rPr>
        <w:t>（责任单位：市农业农村局、市财政局、市科技局）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jc w:val="both"/>
        <w:textAlignment w:val="auto"/>
        <w:rPr>
          <w:rFonts w:ascii="Times New Roman" w:eastAsia="楷体_GB2312" w:cs="Times New Roman" w:hAnsi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楷体_GB2312" w:cs="Times New Roman" w:hAnsi="Times New Roman"/>
          <w:color w:val="000000"/>
          <w:kern w:val="2"/>
          <w:sz w:val="32"/>
          <w:szCs w:val="32"/>
          <w:lang w:val="en-US" w:eastAsia="zh-CN" w:bidi="ar-SA"/>
        </w:rPr>
        <w:t>（三）</w:t>
      </w:r>
      <w:r>
        <w:rPr>
          <w:rFonts w:ascii="Times New Roman" w:eastAsia="楷体_GB2312" w:cs="Times New Roman" w:hAnsi="Times New Roman" w:hint="eastAsia"/>
          <w:color w:val="000000"/>
          <w:kern w:val="2"/>
          <w:sz w:val="32"/>
          <w:szCs w:val="32"/>
          <w:lang w:val="en-US" w:eastAsia="zh-CN" w:bidi="ar-SA"/>
        </w:rPr>
        <w:t>推动</w:t>
      </w:r>
      <w:r>
        <w:rPr>
          <w:rFonts w:ascii="Times New Roman" w:eastAsia="楷体_GB2312" w:cs="Times New Roman" w:hAnsi="Times New Roman"/>
          <w:color w:val="000000"/>
          <w:kern w:val="2"/>
          <w:sz w:val="32"/>
          <w:szCs w:val="32"/>
          <w:lang w:val="en-US" w:eastAsia="zh-CN" w:bidi="ar-SA"/>
        </w:rPr>
        <w:t>特色畜禽发展。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</w:rPr>
        <w:t>围绕“六畜兴旺”，加快畜牧“土特产”发展。以嘉兴黑猪为重点，推进“白改黑”，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  <w:highlight w:val="auto"/>
        </w:rPr>
        <w:t>实现含嘉兴黑猪血统优质生猪年出栏量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  <w:highlight w:val="auto"/>
        </w:rPr>
        <w:t>达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  <w:highlight w:val="auto"/>
        </w:rPr>
        <w:t>15万头。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</w:rPr>
        <w:t>提升湖羊产业层次，推广立体养殖模式和自动化养殖设备，年出栏500只以上规模化比例达50%。创新家禽养殖“公司+村集体+农户”合作共富模式，建立联农带农机制，拓宽共富渠道。做精做优蜜蜂产业，打造以平湖为中心的长三角蜜蜂授粉技术示范区。依托嘉善、平湖、桐乡等地，做大做强实验兔、实验鼠等产业，打造全国实验动物重要供应基地。鼓励有条件的区域适度发展奶牛、兔、梅花鹿、鹌鹑等特色产业。</w:t>
      </w:r>
      <w:r>
        <w:rPr>
          <w:rFonts w:ascii="Times New Roman" w:eastAsia="楷体_GB2312" w:cs="Times New Roman" w:hAnsi="Times New Roman"/>
          <w:color w:val="000000"/>
          <w:kern w:val="2"/>
          <w:sz w:val="32"/>
          <w:szCs w:val="32"/>
          <w:lang w:val="en-US" w:eastAsia="zh-CN" w:bidi="ar-SA"/>
        </w:rPr>
        <w:t>（责任单位：市农业农村局、市科技局）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jc w:val="both"/>
        <w:textAlignment w:val="auto"/>
        <w:rPr>
          <w:rFonts w:ascii="Times New Roman" w:eastAsia="楷体_GB2312" w:cs="Times New Roman" w:hAnsi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楷体_GB2312" w:cs="Times New Roman" w:hAnsi="Times New Roman"/>
          <w:color w:val="000000"/>
          <w:kern w:val="2"/>
          <w:sz w:val="32"/>
          <w:szCs w:val="32"/>
          <w:lang w:val="en-US" w:eastAsia="zh-CN" w:bidi="ar-SA"/>
        </w:rPr>
        <w:t>（四）推</w:t>
      </w:r>
      <w:r>
        <w:rPr>
          <w:rFonts w:ascii="Times New Roman" w:eastAsia="楷体_GB2312" w:cs="Times New Roman" w:hAnsi="Times New Roman" w:hint="eastAsia"/>
          <w:color w:val="000000"/>
          <w:kern w:val="2"/>
          <w:sz w:val="32"/>
          <w:szCs w:val="32"/>
          <w:lang w:val="en-US" w:eastAsia="zh-CN" w:bidi="ar-SA"/>
        </w:rPr>
        <w:t>进</w:t>
      </w:r>
      <w:r>
        <w:rPr>
          <w:rFonts w:ascii="Times New Roman" w:eastAsia="楷体_GB2312" w:cs="Times New Roman" w:hAnsi="Times New Roman"/>
          <w:color w:val="000000"/>
          <w:kern w:val="2"/>
          <w:sz w:val="32"/>
          <w:szCs w:val="32"/>
          <w:lang w:val="en-US" w:eastAsia="zh-CN" w:bidi="ar-SA"/>
        </w:rPr>
        <w:t>畜牧业绿色生产。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</w:rPr>
        <w:t>落实养殖主体责任，推动种养结合、节水节料、节能减碳、秸秆饲料化等技术集成应用和设施设备改造。强化臭气治理过程监管，推动建设治污设施在线监控或视频监控，解决养殖异味、粪污资源化利用等问题，探索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</w:rPr>
        <w:t>研发国内首条生猪全产业链生态养殖系统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</w:rPr>
        <w:t>。健全动物医疗废物收运处置体系，逐步实现全过程闭环管理。到2025年，建成全省唯一的全国畜牧业绿色低碳专家服务流动工作站，动物诊疗机构、兽医实验室及动物饲养场等产生单位动物医疗废物无害化处置率达100%。</w:t>
      </w:r>
      <w:r>
        <w:rPr>
          <w:rFonts w:ascii="Times New Roman" w:eastAsia="楷体_GB2312" w:cs="Times New Roman" w:hAnsi="Times New Roman"/>
          <w:color w:val="000000"/>
          <w:kern w:val="2"/>
          <w:sz w:val="32"/>
          <w:szCs w:val="32"/>
          <w:lang w:val="en-US" w:eastAsia="zh-CN" w:bidi="ar-SA"/>
        </w:rPr>
        <w:t>（责任单位：市农业农村局、市生态环境局、市财政局、市自然资源和规划局、市综合执法局、市卫生健康委）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jc w:val="both"/>
        <w:textAlignment w:val="auto"/>
        <w:rPr>
          <w:rFonts w:ascii="Times New Roman" w:eastAsia="楷体_GB2312" w:cs="Times New Roman" w:hAnsi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楷体_GB2312" w:cs="Times New Roman" w:hAnsi="Times New Roman"/>
          <w:color w:val="000000"/>
          <w:kern w:val="2"/>
          <w:sz w:val="32"/>
          <w:szCs w:val="32"/>
          <w:lang w:val="en-US" w:eastAsia="zh-CN" w:bidi="ar-SA"/>
        </w:rPr>
        <w:t>（五）加强畜禽屠宰行业管理。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</w:rPr>
        <w:t>全面实施生猪屠宰质量管理规范，加快小型屠宰场点关停并转，积极开展生猪屠宰标准化示范创建，加快推进牛羊定点屠宰，深化家禽集中屠宰杀白上市工作。推进屠宰生产线智能化改造，支持屠宰企业、物流配送企业完善低温分割车间、冷库、冷藏运输车等冷链设施建设。到2025年，全市生猪定点屠宰企业压减到10家以内，建成省级以上生猪屠宰标准化企业4家、牛羊定点屠宰厂4家、家禽屠宰企业3家。</w:t>
      </w:r>
      <w:r>
        <w:rPr>
          <w:rFonts w:ascii="Times New Roman" w:eastAsia="楷体_GB2312" w:cs="Times New Roman" w:hAnsi="Times New Roman"/>
          <w:color w:val="000000"/>
          <w:kern w:val="2"/>
          <w:sz w:val="32"/>
          <w:szCs w:val="32"/>
          <w:lang w:val="en-US" w:eastAsia="zh-CN" w:bidi="ar-SA"/>
        </w:rPr>
        <w:t>（责任单位：市农业农村局、市发展改革委、市自然资源和规划局、市生态环境局、</w:t>
      </w:r>
      <w:r>
        <w:rPr>
          <w:rFonts w:ascii="Times New Roman" w:eastAsia="楷体_GB2312" w:cs="Times New Roman" w:hAnsi="Times New Roman"/>
          <w:color w:val="000000"/>
          <w:kern w:val="2"/>
          <w:sz w:val="32"/>
          <w:szCs w:val="32"/>
          <w:lang w:val="en-US" w:eastAsia="zh-CN" w:bidi="ar-SA"/>
          <w:highlight w:val="auto"/>
        </w:rPr>
        <w:t>市市场监管局</w:t>
      </w:r>
      <w:r>
        <w:rPr>
          <w:rFonts w:ascii="Times New Roman" w:eastAsia="楷体_GB2312" w:cs="Times New Roman" w:hAnsi="Times New Roman"/>
          <w:color w:val="000000"/>
          <w:kern w:val="2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jc w:val="both"/>
        <w:textAlignment w:val="auto"/>
        <w:rPr>
          <w:rFonts w:ascii="Times New Roman" w:eastAsia="楷体_GB2312" w:cs="Times New Roman" w:hAnsi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楷体_GB2312" w:cs="Times New Roman" w:hAnsi="Times New Roman"/>
          <w:color w:val="000000"/>
          <w:kern w:val="2"/>
          <w:sz w:val="32"/>
          <w:szCs w:val="32"/>
          <w:lang w:val="en-US" w:eastAsia="zh-CN" w:bidi="ar-SA"/>
        </w:rPr>
        <w:t>（六）</w:t>
      </w:r>
      <w:r>
        <w:rPr>
          <w:rFonts w:ascii="Times New Roman" w:eastAsia="楷体_GB2312" w:cs="Times New Roman" w:hAnsi="Times New Roman" w:hint="eastAsia"/>
          <w:color w:val="000000"/>
          <w:kern w:val="2"/>
          <w:sz w:val="32"/>
          <w:szCs w:val="32"/>
          <w:lang w:val="en-US" w:eastAsia="zh-CN" w:bidi="ar-SA"/>
        </w:rPr>
        <w:t>提升动物疫病防控能力</w:t>
      </w:r>
      <w:r>
        <w:rPr>
          <w:rFonts w:ascii="Times New Roman" w:eastAsia="楷体_GB2312" w:cs="Times New Roman" w:hAnsi="Times New Roman"/>
          <w:color w:val="000000"/>
          <w:kern w:val="2"/>
          <w:sz w:val="32"/>
          <w:szCs w:val="32"/>
          <w:lang w:val="en-US" w:eastAsia="zh-CN" w:bidi="ar-SA"/>
        </w:rPr>
        <w:t>。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</w:rPr>
        <w:t>压实属地、部门、主体三方责任，强化监测预警，统筹做好畜禽（犬、猫）重大动物疫病和人兽共患病防控工作。加强基层动物疫病防控体系建设，全面落实重大动物疫病强制免疫“先打后补”，积极培育动物防疫社会化服务组织。推动省际检查站、动物卫生监督所、兽医实验室、病死动物无害化处理中心等基础设施改造提升，开展养殖场无疫小区和动物疫病净化示范场创建。强化区域联防联控，发挥辖区内3个省际检查站防疫屏障作用，严防外疫传入，守牢浙江“北大门”。到2025年，建成省级非洲猪瘟、布病无疫小区4家，动物疫病净化示范场1家，二级生物安全兽医实验室12家；新建无害化处理中心1家，病死畜禽无害化处理率达到100% 。</w:t>
      </w:r>
      <w:r>
        <w:rPr>
          <w:rFonts w:ascii="Times New Roman" w:eastAsia="楷体_GB2312" w:cs="Times New Roman" w:hAnsi="Times New Roman"/>
          <w:color w:val="000000"/>
          <w:kern w:val="2"/>
          <w:sz w:val="32"/>
          <w:szCs w:val="32"/>
          <w:lang w:val="en-US" w:eastAsia="zh-CN" w:bidi="ar-SA"/>
        </w:rPr>
        <w:t>（责任单位：市农业农村局、市综合执法局、市自然资源和规划局、市财政局、市生态环境局、市交通运输局、市卫生健康委、</w:t>
      </w:r>
      <w:r>
        <w:rPr>
          <w:rFonts w:ascii="Times New Roman" w:eastAsia="楷体_GB2312" w:cs="Times New Roman" w:hAnsi="Times New Roman"/>
          <w:color w:val="000000"/>
          <w:kern w:val="2"/>
          <w:sz w:val="32"/>
          <w:szCs w:val="32"/>
          <w:lang w:val="en-US" w:eastAsia="zh-CN" w:bidi="ar-SA"/>
          <w:highlight w:val="auto"/>
        </w:rPr>
        <w:t>市市场监管局</w:t>
      </w:r>
      <w:r>
        <w:rPr>
          <w:rFonts w:ascii="Times New Roman" w:eastAsia="楷体_GB2312" w:cs="Times New Roman" w:hAnsi="Times New Roman"/>
          <w:color w:val="000000"/>
          <w:kern w:val="2"/>
          <w:sz w:val="32"/>
          <w:szCs w:val="32"/>
          <w:lang w:val="en-US" w:eastAsia="zh-CN" w:bidi="ar-SA"/>
        </w:rPr>
        <w:t>、市委编办）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jc w:val="both"/>
        <w:textAlignment w:val="auto"/>
        <w:rPr>
          <w:rFonts w:ascii="Times New Roman" w:eastAsia="楷体_GB2312" w:cs="Times New Roman" w:hAnsi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楷体_GB2312" w:cs="Times New Roman" w:hAnsi="Times New Roman"/>
          <w:color w:val="000000"/>
          <w:kern w:val="2"/>
          <w:sz w:val="32"/>
          <w:szCs w:val="32"/>
          <w:lang w:val="en-US" w:eastAsia="zh-CN" w:bidi="ar-SA"/>
        </w:rPr>
        <w:t>（七）做优做强饲料产业。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</w:rPr>
        <w:t>巩固宠物饲料产业优势，发挥正大、嘉吉等知名企业带动作用，打造全国宠物饲料产业示范区。加快绿色环保饲料、新型安全高效饲料添加剂的研发生产和推广应用，开展豆粕减量替代和低蛋白日粮配方试点行动，推广减量替代标准和技术路径，促进饲料粮节约降耗。深化兽用抗菌药减量化与饲料环保化（以下简称“两化”）行动，实现规模养殖场“两化”技术应用全覆盖，严厉打击饲料兽药违法违规行为，不断提升畜产品品质。到2025年，力争饲料产量达到160万吨，产值突破80亿元；培育知名宠物饲料品牌5个；开展“两化”行动单位240家以上，兽用抗菌药使用量综合减少10%。</w:t>
      </w:r>
      <w:r>
        <w:rPr>
          <w:rFonts w:ascii="Times New Roman" w:eastAsia="楷体_GB2312" w:cs="Times New Roman" w:hAnsi="Times New Roman"/>
          <w:color w:val="000000"/>
          <w:kern w:val="2"/>
          <w:sz w:val="32"/>
          <w:szCs w:val="32"/>
          <w:lang w:val="en-US" w:eastAsia="zh-CN" w:bidi="ar-SA"/>
        </w:rPr>
        <w:t>（责任单位：市农业农村局、</w:t>
      </w:r>
      <w:r>
        <w:rPr>
          <w:rFonts w:ascii="Times New Roman" w:eastAsia="楷体_GB2312" w:cs="Times New Roman" w:hAnsi="Times New Roman"/>
          <w:color w:val="000000"/>
          <w:kern w:val="2"/>
          <w:sz w:val="32"/>
          <w:szCs w:val="32"/>
          <w:lang w:val="en-US" w:eastAsia="zh-CN" w:bidi="ar-SA"/>
          <w:highlight w:val="auto"/>
        </w:rPr>
        <w:t>市市场监管局、</w:t>
      </w:r>
      <w:r>
        <w:rPr>
          <w:rFonts w:ascii="Times New Roman" w:eastAsia="楷体_GB2312" w:cs="Times New Roman" w:hAnsi="Times New Roman"/>
          <w:color w:val="000000"/>
          <w:kern w:val="2"/>
          <w:sz w:val="32"/>
          <w:szCs w:val="32"/>
          <w:lang w:val="en-US" w:eastAsia="zh-CN" w:bidi="ar-SA"/>
        </w:rPr>
        <w:t>市公安局）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jc w:val="both"/>
        <w:textAlignment w:val="auto"/>
        <w:rPr>
          <w:rFonts w:ascii="Times New Roman" w:eastAsia="楷体_GB2312" w:cs="Times New Roman" w:hAnsi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楷体_GB2312" w:cs="Times New Roman" w:hAnsi="Times New Roman"/>
          <w:color w:val="000000"/>
          <w:kern w:val="2"/>
          <w:sz w:val="32"/>
          <w:szCs w:val="32"/>
          <w:lang w:val="en-US" w:eastAsia="zh-CN" w:bidi="ar-SA"/>
        </w:rPr>
        <w:t>（八）持续深化产业融合。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</w:rPr>
        <w:t>鼓励骨干龙头企业延伸产业链条，提升精深加工水平，做强黑猪肉粽、嘉兴酱鸭等特色系列美食。建立覆盖线上线下的销售网络，全域流量营销，提升“膳博士”“大不同”等品牌影响力，扩大“味德丰”“宏达烧鸡”等品牌知名度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  <w:highlight w:val="auto"/>
        </w:rPr>
        <w:t>引导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  <w:highlight w:val="auto"/>
        </w:rPr>
        <w:t>骨干龙头企业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  <w:highlight w:val="auto"/>
        </w:rPr>
        <w:t>积极争创“浙江农产”品牌。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</w:rPr>
        <w:t>创新经营模式，重点建设“牛花花小镇”“猪猪星球”等一批特色鲜明的科普教育、文化体验、美食展销基地，推动产业与休闲观光、研学教育、餐饮康养等深度融合。挖掘畜牧文化资源，推动嘉兴黑猪、湖羊等特色文创产业发展，激发畜牧业发展新活力。到2025年，创建数字牧场、未来牧场15家以上，建立牧旅融合基地10个以上。</w:t>
      </w:r>
      <w:r>
        <w:rPr>
          <w:rFonts w:ascii="Times New Roman" w:eastAsia="楷体_GB2312" w:cs="Times New Roman" w:hAnsi="Times New Roman"/>
          <w:color w:val="000000"/>
          <w:kern w:val="2"/>
          <w:sz w:val="32"/>
          <w:szCs w:val="32"/>
          <w:lang w:val="en-US" w:eastAsia="zh-CN" w:bidi="ar-SA"/>
        </w:rPr>
        <w:t>（责任单位：市农业农村局、市发展改革委、市委宣传部、市财政局、</w:t>
      </w:r>
      <w:r>
        <w:rPr>
          <w:rFonts w:ascii="Times New Roman" w:eastAsia="楷体_GB2312" w:cs="Times New Roman" w:hAnsi="Times New Roman"/>
          <w:color w:val="000000"/>
          <w:kern w:val="2"/>
          <w:sz w:val="32"/>
          <w:szCs w:val="32"/>
          <w:lang w:val="en-US" w:eastAsia="zh-CN" w:bidi="ar-SA"/>
          <w:highlight w:val="auto"/>
        </w:rPr>
        <w:t>市市场监管局、市文化广电旅游局</w:t>
      </w:r>
      <w:r>
        <w:rPr>
          <w:rFonts w:ascii="Times New Roman" w:eastAsia="楷体_GB2312" w:cs="Times New Roman" w:hAnsi="Times New Roman"/>
          <w:color w:val="000000"/>
          <w:kern w:val="2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Times New Roman" w:eastAsia="黑体" w:cs="Times New Roman" w:hAnsi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黑体" w:cs="Times New Roman" w:hAnsi="Times New Roman"/>
          <w:color w:val="000000"/>
          <w:kern w:val="2"/>
          <w:sz w:val="32"/>
          <w:szCs w:val="32"/>
          <w:lang w:val="en-US" w:eastAsia="zh-CN" w:bidi="ar-SA"/>
        </w:rPr>
        <w:t>三、保障措施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jc w:val="both"/>
        <w:textAlignment w:val="auto"/>
        <w:rPr>
          <w:rFonts w:ascii="Times New Roman" w:eastAsia="楷体_GB2312" w:cs="Times New Roman" w:hAnsi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楷体_GB2312" w:cs="Times New Roman" w:hAnsi="Times New Roman"/>
          <w:color w:val="000000"/>
          <w:kern w:val="2"/>
          <w:sz w:val="32"/>
          <w:szCs w:val="32"/>
          <w:lang w:val="en-US" w:eastAsia="zh-CN" w:bidi="ar-SA"/>
        </w:rPr>
        <w:t>（一）加强组织领导。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</w:rPr>
        <w:t>严格落实“菜篮子”市长负责制，压实主要畜禽产品稳产保供属地责任和部门责任。结合当地经济社会发展和畜牧业生产实际，明确本地区畜牧业发展目标、任务清单，稳定长效支持政策，推进畜牧业高质量发展。</w:t>
      </w:r>
      <w:r>
        <w:rPr>
          <w:rFonts w:ascii="Times New Roman" w:eastAsia="楷体_GB2312" w:cs="Times New Roman" w:hAnsi="Times New Roman"/>
          <w:color w:val="000000"/>
          <w:kern w:val="2"/>
          <w:sz w:val="32"/>
          <w:szCs w:val="32"/>
          <w:lang w:val="en-US" w:eastAsia="zh-CN" w:bidi="ar-SA"/>
        </w:rPr>
        <w:t>（责任单位：市农业农村局、市发展改革委、市商务局、市财政局、市自然资源和规划局、市生态环境局）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jc w:val="both"/>
        <w:textAlignment w:val="auto"/>
        <w:rPr>
          <w:rFonts w:ascii="Times New Roman" w:eastAsia="楷体_GB2312" w:cs="Times New Roman" w:hAnsi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楷体_GB2312" w:cs="Times New Roman" w:hAnsi="Times New Roman"/>
          <w:color w:val="000000"/>
          <w:kern w:val="2"/>
          <w:sz w:val="32"/>
          <w:szCs w:val="32"/>
          <w:lang w:val="en-US" w:eastAsia="zh-CN" w:bidi="ar-SA"/>
        </w:rPr>
        <w:t>（二）加大政策扶持。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</w:rPr>
        <w:t>研究制定嘉兴黑猪产业发展政策措施。强化用地保障，依法依规实施环评审批和备案，落实好畜禽养殖、产品初加工等环节用水用电及税费优惠措施。统筹相关政策资金，加大对畜牧产业发展、粪污（臭气）综合治理、动物防疫等项目的财政支持力度。强化金融支持，综合运用政策性保险、贷款贴息等手段，提高主体抗风险能力。</w:t>
      </w:r>
      <w:r>
        <w:rPr>
          <w:rFonts w:ascii="Times New Roman" w:eastAsia="楷体_GB2312" w:cs="Times New Roman" w:hAnsi="Times New Roman"/>
          <w:color w:val="000000"/>
          <w:kern w:val="2"/>
          <w:sz w:val="32"/>
          <w:szCs w:val="32"/>
          <w:lang w:val="en-US" w:eastAsia="zh-CN" w:bidi="ar-SA"/>
        </w:rPr>
        <w:t>（责任单位：市财政局、</w:t>
      </w:r>
      <w:r>
        <w:rPr>
          <w:rFonts w:ascii="Times New Roman" w:eastAsia="楷体_GB2312" w:cs="Times New Roman" w:hAnsi="Times New Roman"/>
          <w:color w:val="000000"/>
          <w:kern w:val="2"/>
          <w:sz w:val="32"/>
          <w:szCs w:val="32"/>
          <w:lang w:val="en-US" w:eastAsia="zh-CN" w:bidi="ar-SA"/>
        </w:rPr>
        <w:t>市自然资源和规划局</w:t>
      </w:r>
      <w:r>
        <w:rPr>
          <w:rFonts w:ascii="Times New Roman" w:eastAsia="楷体_GB2312" w:cs="Times New Roman" w:hAnsi="Times New Roman"/>
          <w:color w:val="000000"/>
          <w:kern w:val="2"/>
          <w:sz w:val="32"/>
          <w:szCs w:val="32"/>
          <w:lang w:val="en-US" w:eastAsia="zh-CN" w:bidi="ar-SA"/>
        </w:rPr>
        <w:t>、市生态环境局、市农业农村局、市发展改革委、国家金融监督管理总局嘉兴监管分局）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jc w:val="both"/>
        <w:textAlignment w:val="auto"/>
        <w:rPr>
          <w:rFonts w:ascii="Times New Roman" w:eastAsia="楷体_GB2312" w:cs="Times New Roman" w:hAnsi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楷体_GB2312" w:cs="Times New Roman" w:hAnsi="Times New Roman"/>
          <w:color w:val="000000"/>
          <w:kern w:val="2"/>
          <w:sz w:val="32"/>
          <w:szCs w:val="32"/>
          <w:lang w:val="en-US" w:eastAsia="zh-CN" w:bidi="ar-SA"/>
        </w:rPr>
        <w:t>（三）强化队伍建设。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</w:rPr>
        <w:t>进一步健全基层动物防疫检疫体系，充实官方兽医队伍。引进畜牧兽医领域专业紧缺型人才，组织开展业务培训、职业技能竞赛，培养一支高素质、职业化的专业人才队伍，为产业发展提供人才支撑。</w:t>
      </w:r>
      <w:r>
        <w:rPr>
          <w:rFonts w:ascii="Times New Roman" w:eastAsia="楷体_GB2312" w:cs="Times New Roman" w:hAnsi="Times New Roman"/>
          <w:color w:val="000000"/>
          <w:kern w:val="2"/>
          <w:sz w:val="32"/>
          <w:szCs w:val="32"/>
          <w:lang w:val="en-US" w:eastAsia="zh-CN" w:bidi="ar-SA"/>
        </w:rPr>
        <w:t>（责任单位：市农业农村局、市人力社保局、市总工会、市委编办）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jc w:val="both"/>
        <w:textAlignment w:val="auto"/>
        <w:rPr>
          <w:rFonts w:ascii="Times New Roman" w:eastAsia="楷体_GB2312" w:cs="Times New Roman" w:hAnsi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楷体_GB2312" w:cs="Times New Roman" w:hAnsi="Times New Roman"/>
          <w:color w:val="000000"/>
          <w:kern w:val="2"/>
          <w:sz w:val="32"/>
          <w:szCs w:val="32"/>
          <w:lang w:val="en-US" w:eastAsia="zh-CN" w:bidi="ar-SA"/>
        </w:rPr>
        <w:t>（四）强化督导服务。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</w:rPr>
        <w:t>健全考核机制，将生猪稳产保供、重大动物疫病防控等纳入乡村振兴战略实绩考核范畴，形成工作闭环，确保各方责任落实到位、各项政策落实到位、各个目标落实到位。</w:t>
      </w:r>
      <w:r>
        <w:rPr>
          <w:rFonts w:ascii="Times New Roman" w:eastAsia="楷体_GB2312" w:cs="Times New Roman" w:hAnsi="Times New Roman"/>
          <w:color w:val="000000"/>
          <w:kern w:val="2"/>
          <w:sz w:val="32"/>
          <w:szCs w:val="32"/>
          <w:lang w:val="en-US" w:eastAsia="zh-CN" w:bidi="ar-SA"/>
        </w:rPr>
        <w:t>（责任单位：市农业农村局）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cs="Times New Roman" w:hAnsi="Times New Roman"/>
          <w:lang w:val="en-US" w:eastAsia="zh-CN" w:bidi="ar-SA"/>
        </w:rPr>
      </w:pP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</w:rPr>
        <w:sectPr>
          <w:pgSz w:w="11906" w:h="16838"/>
          <w:pgMar w:top="2098" w:right="1531" w:bottom="2098" w:left="1531" w:header="851" w:footer="992" w:gutter="0"/>
          <w:pgNumType/>
          <w:docGrid w:type="lines" w:linePitch="312" w:charSpace="0"/>
        </w:sectPr>
      </w:pP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</w:rPr>
        <w:t>附件：嘉兴市畜牧业高质量发展任务指标表（2025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</w:rPr>
        <w:t>-2027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val="en-US" w:eastAsia="zh-CN" w:bidi="ar-SA"/>
        </w:rPr>
        <w:t>年）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 w:left="0"/>
        <w:jc w:val="both"/>
        <w:textAlignment w:val="auto"/>
        <w:rPr>
          <w:rFonts w:ascii="Times New Roman" w:eastAsia="黑体" w:cs="Times New Roman" w:hAnsi="Times New Roman"/>
          <w:color w:val="000000"/>
          <w:sz w:val="32"/>
          <w:szCs w:val="32"/>
          <w:lang w:val="en-US" w:eastAsia="zh-CN" w:bidi="ar-SA"/>
        </w:rPr>
      </w:pPr>
      <w:r>
        <w:rPr>
          <w:rFonts w:ascii="Times New Roman" w:eastAsia="黑体" w:cs="Times New Roman" w:hAnsi="Times New Roman"/>
          <w:color w:val="000000"/>
          <w:sz w:val="32"/>
          <w:szCs w:val="32"/>
          <w:lang w:val="en-US" w:eastAsia="zh-CN" w:bidi="ar-SA"/>
        </w:rPr>
        <w:t>附件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/>
        <w:jc w:val="center"/>
        <w:textAlignment w:val="auto"/>
        <w:rPr>
          <w:rFonts w:ascii="方正小标宋简体" w:eastAsia="方正小标宋简体" w:cs="方正小标宋简体" w:hint="eastAsia"/>
          <w:kern w:val="2"/>
          <w:sz w:val="44"/>
          <w:szCs w:val="44"/>
          <w:lang w:val="en-US" w:eastAsia="zh-CN" w:bidi="ar-SA"/>
        </w:rPr>
      </w:pPr>
      <w:r>
        <w:rPr>
          <w:rFonts w:ascii="方正小标宋简体" w:eastAsia="方正小标宋简体" w:cs="方正小标宋简体" w:hint="eastAsia"/>
          <w:kern w:val="2"/>
          <w:sz w:val="44"/>
          <w:szCs w:val="44"/>
          <w:lang w:val="en-US" w:eastAsia="zh-CN" w:bidi="ar-SA"/>
        </w:rPr>
        <w:t>嘉兴市畜牧业高质量发展任务指标表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/>
        <w:jc w:val="center"/>
        <w:textAlignment w:val="auto"/>
        <w:rPr>
          <w:rFonts w:ascii="Times New Roman" w:eastAsia="黑体" w:cs="Times New Roman" w:hAnsi="Times New Roman"/>
          <w:color w:val="000000"/>
          <w:sz w:val="32"/>
          <w:szCs w:val="32"/>
          <w:lang w:val="en-US" w:eastAsia="zh-CN" w:bidi="ar-SA"/>
        </w:rPr>
      </w:pPr>
      <w:r>
        <w:rPr>
          <w:rFonts w:ascii="方正小标宋简体" w:eastAsia="方正小标宋简体" w:cs="方正小标宋简体" w:hint="eastAsia"/>
          <w:kern w:val="2"/>
          <w:sz w:val="44"/>
          <w:szCs w:val="44"/>
          <w:lang w:val="en-US" w:eastAsia="zh-CN" w:bidi="ar-SA"/>
        </w:rPr>
        <w:t>（2025-2027年）</w:t>
      </w:r>
    </w:p>
    <w:tbl>
      <w:tblPr>
        <w:tblpPr w:leftFromText="180" w:rightFromText="180" w:vertAnchor="text" w:horzAnchor="page" w:tblpX="1725" w:tblpY="927"/>
        <w:tblOverlap w:val="never"/>
        <w:tblW w:w="13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2"/>
        <w:gridCol w:w="941"/>
        <w:gridCol w:w="855"/>
        <w:gridCol w:w="855"/>
        <w:gridCol w:w="825"/>
        <w:gridCol w:w="855"/>
        <w:gridCol w:w="915"/>
        <w:gridCol w:w="780"/>
        <w:gridCol w:w="930"/>
        <w:gridCol w:w="1495"/>
      </w:tblGrid>
      <w:tr>
        <w:trPr>
          <w:trHeight w:val="1134"/>
        </w:trPr>
        <w:tc>
          <w:tcPr>
            <w:tcW w:w="4902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0"/>
              <w:jc w:val="both"/>
              <w:textAlignment w:val="auto"/>
              <w:rPr>
                <w:rFonts w:ascii="Times New Roman" w:eastAsia="黑体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0"/>
              <w:jc w:val="both"/>
              <w:textAlignment w:val="auto"/>
              <w:rPr>
                <w:rFonts w:ascii="Times New Roman" w:eastAsia="黑体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黑体" w:cs="Times New Roman" w:hAnsi="Times New Roman" w:hint="eastAsia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任务指标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Chars="100" w:firstLine="280"/>
              <w:jc w:val="both"/>
              <w:textAlignment w:val="auto"/>
              <w:rPr>
                <w:rFonts w:ascii="Times New Roman" w:eastAsia="黑体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黑体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县</w:t>
            </w:r>
            <w:r>
              <w:rPr>
                <w:rFonts w:ascii="Times New Roman" w:eastAsia="黑体" w:cs="Times New Roman" w:hAnsi="Times New Roman" w:hint="eastAsia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（市、区）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ascii="Times New Roman" w:eastAsia="黑体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黑体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（市、区）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 w:left="0" w:firstLine="0"/>
              <w:jc w:val="center"/>
              <w:textAlignment w:val="auto"/>
              <w:rPr>
                <w:rFonts w:ascii="Times New Roman" w:eastAsia="黑体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黑体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嘉兴市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Times New Roman" w:eastAsia="黑体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黑体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南湖区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Times New Roman" w:eastAsia="黑体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黑体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秀洲区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Times New Roman" w:eastAsia="黑体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黑体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嘉善县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Times New Roman" w:eastAsia="黑体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黑体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平湖市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Times New Roman" w:eastAsia="黑体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黑体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海盐县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Times New Roman" w:eastAsia="黑体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黑体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海宁市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Times New Roman" w:eastAsia="黑体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黑体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桐乡市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Times New Roman" w:eastAsia="黑体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黑体" w:cs="Times New Roman" w:hAnsi="Times New Roman" w:hint="eastAsia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实施期限</w:t>
            </w:r>
          </w:p>
        </w:tc>
      </w:tr>
      <w:tr>
        <w:trPr>
          <w:trHeight w:val="480"/>
        </w:trPr>
        <w:tc>
          <w:tcPr>
            <w:tcW w:w="4902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能繁母猪存栏量（万头）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0.52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0.32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0.23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0.23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0.65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0.45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0.6</w:t>
            </w:r>
          </w:p>
        </w:tc>
        <w:tc>
          <w:tcPr>
            <w:tcW w:w="14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cs="Times New Roman" w:hAnsi="Times New Roman" w:hint="eastAsia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2025年</w:t>
            </w:r>
          </w:p>
        </w:tc>
      </w:tr>
      <w:tr>
        <w:trPr>
          <w:trHeight w:val="465"/>
        </w:trPr>
        <w:tc>
          <w:tcPr>
            <w:tcW w:w="4902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生猪年出栏量（万头）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40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4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4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7.5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7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7.5</w:t>
            </w:r>
          </w:p>
        </w:tc>
        <w:tc>
          <w:tcPr>
            <w:tcW w:w="1495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435"/>
        </w:trPr>
        <w:tc>
          <w:tcPr>
            <w:tcW w:w="4902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家禽年出栏量（万羽）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3500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220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150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55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125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1700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960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290</w:t>
            </w:r>
          </w:p>
        </w:tc>
        <w:tc>
          <w:tcPr>
            <w:tcW w:w="1495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499"/>
        </w:trPr>
        <w:tc>
          <w:tcPr>
            <w:tcW w:w="4902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both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  <w:highlight w:val="auto"/>
              </w:rPr>
              <w:t>畜牧业高质量发展先行县（个）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/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/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/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/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1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/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1</w:t>
            </w:r>
          </w:p>
        </w:tc>
        <w:tc>
          <w:tcPr>
            <w:tcW w:w="1495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394"/>
        </w:trPr>
        <w:tc>
          <w:tcPr>
            <w:tcW w:w="4902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both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  <w:highlight w:val="auto"/>
              </w:rPr>
              <w:t>“浙系畜禽”产业集聚区（个）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/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/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/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/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1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1</w:t>
            </w:r>
          </w:p>
        </w:tc>
        <w:tc>
          <w:tcPr>
            <w:tcW w:w="1495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394"/>
        </w:trPr>
        <w:tc>
          <w:tcPr>
            <w:tcW w:w="4902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both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  <w:highlight w:val="auto"/>
              </w:rPr>
              <w:t>省级以上非洲猪瘟、布病无疫小区</w:t>
            </w: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（家）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/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/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/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/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2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1</w:t>
            </w:r>
          </w:p>
        </w:tc>
        <w:tc>
          <w:tcPr>
            <w:tcW w:w="1495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474"/>
        </w:trPr>
        <w:tc>
          <w:tcPr>
            <w:tcW w:w="4902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both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猪场提能项目（个）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10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1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/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/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1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2</w:t>
            </w:r>
          </w:p>
        </w:tc>
        <w:tc>
          <w:tcPr>
            <w:tcW w:w="14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cs="Times New Roman" w:hAnsi="Times New Roman" w:hint="eastAsia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2027年</w:t>
            </w:r>
          </w:p>
        </w:tc>
      </w:tr>
      <w:tr>
        <w:trPr>
          <w:trHeight w:val="564"/>
        </w:trPr>
        <w:tc>
          <w:tcPr>
            <w:tcW w:w="4902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both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家禽提质项目（个）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1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1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2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2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1</w:t>
            </w:r>
          </w:p>
        </w:tc>
        <w:tc>
          <w:tcPr>
            <w:tcW w:w="1495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459"/>
        </w:trPr>
        <w:tc>
          <w:tcPr>
            <w:tcW w:w="4902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both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湖羊提档项目（个）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10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1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1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1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  <w:highlight w:val="auto"/>
              </w:rPr>
              <w:t>4</w:t>
            </w:r>
          </w:p>
        </w:tc>
        <w:tc>
          <w:tcPr>
            <w:tcW w:w="1495" w:type="dxa"/>
            <w:vMerge/>
            <w:tcBorders>
              <w:tl2br w:val="nil"/>
              <w:tr2bl w:val="nil"/>
            </w:tcBorders>
            <w:vAlign w:val="center"/>
          </w:tcPr>
          <w:p/>
        </w:tc>
      </w:tr>
    </w:tbl>
    <w:p>
      <w:pPr>
        <w:pStyle w:val="1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ascii="Times New Roman" w:eastAsia="仿宋_GB2312" w:cs="Times New Roman" w:hAnsi="Times New Roman"/>
          <w:sz w:val="32"/>
          <w:szCs w:val="32"/>
          <w:lang w:bidi="ar-SA"/>
        </w:rPr>
        <w:sectPr>
          <w:footerReference w:type="default" r:id="rId2"/>
          <w:pgSz w:w="16838" w:h="11906" w:orient="landscape"/>
          <w:pgMar w:top="1576" w:right="2007" w:bottom="1519" w:left="1837" w:header="851" w:footer="992" w:gutter="0"/>
          <w:pgNumType/>
          <w:docGrid w:type="lines" w:linePitch="312" w:charSpace="0"/>
        </w:sectPr>
      </w:pPr>
    </w:p>
    <w:p>
      <w:pPr>
        <w:pStyle w:val="17"/>
      </w:pPr>
    </w:p>
    <w:p/>
    <w:sectPr>
      <w:pgSz w:w="11906" w:h="16838"/>
      <w:pgMar w:top="2098" w:right="1531" w:bottom="2098" w:left="1531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E0002AFF" w:usb1="C0007841" w:usb2="00000009" w:usb3="00000000" w:csb0="400001FF" w:csb1="FFFF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永中黑体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variable"/>
    <w:sig w:usb0="E0002AFF" w:usb1="C0007843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1"/>
      <w:tabs>
        <w:tab w:val="clear" w:pos="4153"/>
        <w:tab w:val="clear" w:pos="8306"/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10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7380" cy="355600"/>
              <wp:effectExtent l="0" t="0" r="0" b="0"/>
              <wp:wrapNone/>
              <wp:docPr id="1" name="文本框 1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7380" cy="355600"/>
                      </a:xfrm>
                      <a:prstGeom prst="rect"/>
                      <a:noFill/>
                      <a:ln w="12700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21"/>
                            <w:tabs>
                              <w:tab w:val="clear" w:pos="4153"/>
                              <w:tab w:val="clear" w:pos="8306"/>
                              <w:tab w:val="center" w:pos="4153"/>
                              <w:tab w:val="right" w:pos="8306"/>
                            </w:tabs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bidi="ar-SA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bidi="ar-SA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bidi="ar-SA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bidi="ar-SA"/>
                            </w:rPr>
                            <w:t>2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bidi="ar-SA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1.0pt" style="position:absolute;&#10;margin-left:0.0pt;&#10;margin-top:0.0pt;&#10;width:49.399998pt;&#10;height:28.000002pt;&#10;z-index:10;&#10;mso-position-horizontal:outside;&#10;mso-position-horizontal-relative:margin;&#10;mso-position-vertical:absolute;&#10;mso-wrap-style:none;">
              <v:stroke color="#000000"/>
              <v:textbox id="848" inset="0mm,0mm,0mm,0mm" o:insetmode="custom" style="layout-flow:horizontal;&#10;v-text-anchor:top;&#10;mso-fit-shape-to-text:t;">
                <w:txbxContent>
                  <w:p>
                    <w:pPr>
                      <w:pStyle w:val="21"/>
                      <w:tabs>
                        <w:tab w:val="clear" w:pos="4153"/>
                        <w:tab w:val="clear" w:pos="8306"/>
                        <w:tab w:val="center" w:pos="4153"/>
                        <w:tab w:val="right" w:pos="8306"/>
                      </w:tabs>
                      <w:rPr>
                        <w:rFonts w:ascii="宋体" w:eastAsia="宋体" w:cs="宋体" w:hint="eastAsia"/>
                        <w:sz w:val="28"/>
                        <w:szCs w:val="28"/>
                        <w:lang w:bidi="ar-SA"/>
                      </w:rPr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bidi="ar-SA"/>
                      </w:rPr>
                      <w:t xml:space="preserve">— 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bidi="ar-SA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bidi="ar-SA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bidi="ar-SA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bidi="ar-SA"/>
                      </w:rPr>
                      <w:t>2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bidi="ar-SA"/>
                      </w:rPr>
                      <w:fldChar w:fldCharType="end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332"/>
  <w:bordersDoNotSurroundHeader w:val="0"/>
  <w:bordersDoNotSurroundFooter w:val="0"/>
  <w:defaultTabStop w:val="420"/>
  <w:drawingGridHorizontalSpacing w:val="18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ODI2ZGIzMzQ2ZTFlZjNkOGVmZGQ1MGY0NjYxYzkyMm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spacing w:line="560" w:lineRule="exact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Default"/>
    <w:pPr>
      <w:widowControl w:val="0"/>
      <w:autoSpaceDE w:val="0"/>
      <w:autoSpaceDN w:val="0"/>
      <w:adjustRightInd w:val="0"/>
    </w:pPr>
    <w:rPr>
      <w:rFonts w:ascii="仿宋" w:eastAsia="仿宋" w:cs="Times New Roman"/>
      <w:color w:val="000000"/>
      <w:sz w:val="24"/>
      <w:lang w:val="en-US" w:eastAsia="zh-CN" w:bidi="ar-SA"/>
    </w:rPr>
  </w:style>
  <w:style w:type="paragraph" w:styleId="16">
    <w:name w:val="Normal Indent"/>
    <w:basedOn w:val="0"/>
    <w:next w:val="17"/>
    <w:pPr>
      <w:ind w:firstLineChars="200" w:firstLine="200"/>
    </w:pPr>
  </w:style>
  <w:style w:type="paragraph" w:styleId="17">
    <w:name w:val="Body Text Indent"/>
    <w:basedOn w:val="0"/>
    <w:pPr>
      <w:widowControl/>
      <w:spacing w:after="120"/>
      <w:ind w:leftChars="200" w:left="200"/>
      <w:jc w:val="left"/>
    </w:pPr>
    <w:rPr>
      <w:rFonts w:eastAsia="宋体"/>
      <w:kern w:val="0"/>
      <w:sz w:val="24"/>
      <w:szCs w:val="28"/>
      <w:lang w:eastAsia="en-US"/>
    </w:rPr>
  </w:style>
  <w:style w:type="paragraph" w:styleId="18">
    <w:name w:val="Body Text"/>
    <w:basedOn w:val="0"/>
    <w:next w:val="19"/>
    <w:pPr>
      <w:widowControl w:val="0"/>
      <w:tabs>
        <w:tab w:val="left" w:pos="2250"/>
      </w:tabs>
      <w:jc w:val="center"/>
    </w:pPr>
    <w:rPr>
      <w:rFonts w:ascii="仿宋_GB2312" w:eastAsia="仿宋_GB2312" w:cs="Times New Roman"/>
      <w:snapToGrid w:val="0"/>
      <w:color w:val="FF0000"/>
      <w:sz w:val="144"/>
      <w:szCs w:val="32"/>
      <w:lang w:val="en-US" w:eastAsia="zh-CN" w:bidi="ar-SA"/>
    </w:rPr>
  </w:style>
  <w:style w:type="paragraph" w:styleId="19">
    <w:name w:val="Body Text First Indent"/>
    <w:basedOn w:val="18"/>
    <w:next w:val="18"/>
    <w:pPr>
      <w:widowControl w:val="0"/>
      <w:tabs>
        <w:tab w:val="left" w:pos="2250"/>
      </w:tabs>
      <w:spacing w:after="120" w:line="600" w:lineRule="exact"/>
      <w:ind w:firstLineChars="100" w:firstLine="100"/>
      <w:jc w:val="both"/>
    </w:pPr>
    <w:rPr>
      <w:rFonts w:ascii="仿宋_GB2312" w:eastAsia="仿宋_GB2312" w:cs="Times New Roman"/>
      <w:snapToGrid w:val="0"/>
      <w:sz w:val="21"/>
      <w:szCs w:val="32"/>
      <w:lang w:val="en-US" w:eastAsia="zh-CN" w:bidi="ar-SA"/>
    </w:rPr>
  </w:style>
  <w:style w:type="paragraph" w:styleId="20">
    <w:name w:val="Plain Text"/>
    <w:basedOn w:val="0"/>
    <w:rPr>
      <w:rFonts w:ascii="宋体" w:cs="Courier New"/>
      <w:szCs w:val="21"/>
      <w:lang w:bidi="ar-SA"/>
    </w:rPr>
  </w:style>
  <w:style w:type="paragraph" w:styleId="21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2">
    <w:name w:val="footnote text"/>
    <w:basedOn w:val="0"/>
    <w:next w:val="23"/>
    <w:pPr>
      <w:snapToGrid w:val="0"/>
      <w:jc w:val="left"/>
    </w:pPr>
    <w:rPr>
      <w:sz w:val="18"/>
      <w:szCs w:val="18"/>
    </w:rPr>
  </w:style>
  <w:style w:type="paragraph" w:styleId="23">
    <w:name w:val="Body Text First Indent 2"/>
    <w:basedOn w:val="17"/>
    <w:next w:val="0"/>
    <w:pPr>
      <w:spacing w:after="120"/>
      <w:ind w:leftChars="200" w:left="200" w:firstLineChars="200" w:firstLine="200"/>
    </w:pPr>
    <w:rPr>
      <w:sz w:val="21"/>
    </w:rPr>
  </w:style>
  <w:style w:type="paragraph" w:customStyle="1" w:styleId="24">
    <w:name w:val="Char"/>
    <w:basedOn w:val="0"/>
    <w:pPr>
      <w:widowControl w:val="0"/>
      <w:spacing w:line="240" w:lineRule="auto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14099225</TotalTime>
  <Application>Yozo_Office</Application>
  <Pages>10</Pages>
  <Words>3947</Words>
  <Characters>4105</Characters>
  <Lines>264</Lines>
  <Paragraphs>120</Paragraphs>
  <CharactersWithSpaces>4104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root</cp:lastModifiedBy>
  <cp:revision>1</cp:revision>
  <dcterms:created xsi:type="dcterms:W3CDTF">2024-08-01T03:05:00Z</dcterms:created>
  <dcterms:modified xsi:type="dcterms:W3CDTF">2024-08-07T07:36:22Z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2052-12.1.0.17147</vt:lpwstr>
  </property>
</Properties>
</file>