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</w:t>
      </w: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  <w:t>市</w:t>
      </w:r>
    </w:p>
    <w:p>
      <w:pPr>
        <w:widowControl/>
        <w:spacing w:line="360" w:lineRule="auto"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金属桶、罐产品质量监督抽查实施细则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bookmarkStart w:id="0" w:name="_Hlk95300558"/>
      <w:r>
        <w:rPr>
          <w:rFonts w:hint="eastAsia" w:ascii="仿宋" w:hAnsi="仿宋" w:eastAsia="仿宋"/>
          <w:b/>
          <w:bCs/>
          <w:color w:val="000000"/>
          <w:sz w:val="24"/>
        </w:rPr>
        <w:t>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本实施细则适用于在台州地区内金属桶、罐产品质量的监督抽查。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color w:val="000000"/>
          <w:sz w:val="24"/>
        </w:rPr>
      </w:pPr>
      <w:bookmarkStart w:id="1" w:name="_Hlk95300595"/>
      <w:r>
        <w:rPr>
          <w:rFonts w:hint="eastAsia" w:ascii="仿宋" w:hAnsi="仿宋" w:eastAsia="仿宋"/>
          <w:b/>
          <w:bCs/>
          <w:color w:val="000000"/>
          <w:sz w:val="24"/>
        </w:rPr>
        <w:t>二</w:t>
      </w:r>
      <w:r>
        <w:rPr>
          <w:rFonts w:hint="eastAsia" w:ascii="仿宋" w:hAnsi="仿宋" w:eastAsia="仿宋"/>
          <w:color w:val="000000"/>
          <w:sz w:val="24"/>
        </w:rPr>
        <w:t xml:space="preserve">、 </w:t>
      </w:r>
      <w:r>
        <w:rPr>
          <w:rFonts w:ascii="仿宋" w:hAnsi="仿宋" w:eastAsia="仿宋"/>
          <w:color w:val="000000"/>
          <w:sz w:val="24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24"/>
        </w:rPr>
        <w:t>检验</w:t>
      </w:r>
      <w:r>
        <w:rPr>
          <w:rFonts w:ascii="仿宋" w:hAnsi="仿宋" w:eastAsia="仿宋"/>
          <w:b/>
          <w:bCs/>
          <w:color w:val="000000"/>
          <w:sz w:val="24"/>
        </w:rPr>
        <w:t>依据</w:t>
      </w:r>
    </w:p>
    <w:bookmarkEnd w:id="1"/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GB/T 325.1-2018  包装容器 钢桶 第1部分：通用技术要求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GB/T 13252-2008  包装容器 钢提桶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GB/T 17343-1998  包装容器 方桶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GB/T 15170-2007  包装容器 工业用薄钢板圆罐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BB/T 0019-2013   包装容器 方罐与扁圆罐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BB/T 0064-2013   包装容器 钢质手提罐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GB 12463-2009    危险货物运输包装通用技术条件</w:t>
      </w:r>
    </w:p>
    <w:p>
      <w:pPr>
        <w:pStyle w:val="3"/>
        <w:adjustRightInd w:val="0"/>
        <w:spacing w:line="360" w:lineRule="auto"/>
        <w:ind w:firstLine="42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危险化学品包装物、容器产品生产许可证实施细则（一）（危险化学品包装物、容器产品部分）（2016年10月30日实施版）</w:t>
      </w:r>
    </w:p>
    <w:p>
      <w:pPr>
        <w:pStyle w:val="3"/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产品明示质量指标及国家法律、法规、规章的有关规定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三、 </w:t>
      </w:r>
      <w:r>
        <w:rPr>
          <w:rFonts w:ascii="仿宋" w:hAnsi="仿宋" w:eastAsia="仿宋"/>
          <w:b/>
          <w:bCs/>
          <w:color w:val="000000"/>
          <w:sz w:val="24"/>
        </w:rPr>
        <w:t xml:space="preserve"> 抽样方法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以随机抽样的方式在被抽样生产者、销售者的待销产品中抽取。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随机数一般可使用随机数表等方法产生。</w:t>
      </w:r>
    </w:p>
    <w:p>
      <w:pPr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1.钢桶：a）闭口钢桶：抽取同一生产者同一标准生产的同一商标、同一规格型号的产品18个，其中9个为检样，9个为备样；</w:t>
      </w:r>
    </w:p>
    <w:p>
      <w:pPr>
        <w:adjustRightInd w:val="0"/>
        <w:spacing w:line="360" w:lineRule="auto"/>
        <w:ind w:firstLine="1440" w:firstLineChars="6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b）全开口钢桶：抽取同一生产者同一标准生产的同一商标、同一规格型号的产品12个，其中6个为检样，6个为备样。</w:t>
      </w:r>
    </w:p>
    <w:p>
      <w:pPr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2.钢提桶：抽取同一生产者同一标准生产的同一商标、同一规格型号的产品18个，其中9个为检样，9个为备样。</w:t>
      </w:r>
    </w:p>
    <w:p>
      <w:pPr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3.方桶：抽取同一生产者同一标准生产的同一商标、同一规格型号的产品30个，其中15个为检样，15个为备样。</w:t>
      </w:r>
    </w:p>
    <w:p>
      <w:pPr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4.工业用薄钢板圆罐：抽取同一生产者同一标准生产的同一商标、同一规格型号的产品30个，其中15个为检样，15个为备样。</w:t>
      </w:r>
    </w:p>
    <w:p>
      <w:pPr>
        <w:adjustRightInd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5.方罐与扁圆罐：抽取同一生产者同一标准生产的同一商标、同一规格型号的产品30个，其中15个为检样，15个为备样。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6.钢质手提罐：抽取同一生产者同一标准生产的同一商标、同一规格型号的产品24个，其中12个为检样，12个为备样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四、 </w:t>
      </w:r>
      <w:r>
        <w:rPr>
          <w:rFonts w:ascii="仿宋" w:hAnsi="仿宋" w:eastAsia="仿宋"/>
          <w:b/>
          <w:bCs/>
          <w:color w:val="000000"/>
          <w:sz w:val="24"/>
        </w:rPr>
        <w:t>检验</w:t>
      </w:r>
      <w:r>
        <w:rPr>
          <w:rFonts w:hint="eastAsia" w:ascii="仿宋" w:hAnsi="仿宋" w:eastAsia="仿宋"/>
          <w:b/>
          <w:bCs/>
          <w:color w:val="000000"/>
          <w:sz w:val="24"/>
        </w:rPr>
        <w:t>项目</w:t>
      </w:r>
    </w:p>
    <w:p>
      <w:pPr>
        <w:pStyle w:val="3"/>
        <w:adjustRightInd w:val="0"/>
        <w:spacing w:line="360" w:lineRule="auto"/>
        <w:ind w:firstLine="400" w:firstLineChars="200"/>
        <w:jc w:val="center"/>
        <w:rPr>
          <w:rFonts w:hAnsi="宋体"/>
          <w:color w:val="000000"/>
        </w:rPr>
      </w:pPr>
      <w:r>
        <w:rPr>
          <w:rFonts w:hAnsi="宋体"/>
          <w:color w:val="000000"/>
        </w:rPr>
        <w:t>表1 钢桶</w:t>
      </w:r>
    </w:p>
    <w:tbl>
      <w:tblPr>
        <w:tblStyle w:val="7"/>
        <w:tblW w:w="7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575"/>
        <w:gridCol w:w="1916"/>
        <w:gridCol w:w="1084"/>
        <w:gridCol w:w="915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59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5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1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15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080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9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气密试验</w:t>
            </w:r>
          </w:p>
        </w:tc>
        <w:tc>
          <w:tcPr>
            <w:tcW w:w="191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GB/T 325.1-2018 6.5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适用于闭口桶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9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液压试验</w:t>
            </w:r>
          </w:p>
        </w:tc>
        <w:tc>
          <w:tcPr>
            <w:tcW w:w="191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GB/T 325.1-2018 6.5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适用于闭口桶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9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跌落</w:t>
            </w:r>
            <w:r>
              <w:rPr>
                <w:rFonts w:hint="eastAsia" w:hAnsi="宋体"/>
                <w:color w:val="000000"/>
              </w:rPr>
              <w:t>高度</w:t>
            </w:r>
          </w:p>
        </w:tc>
        <w:tc>
          <w:tcPr>
            <w:tcW w:w="191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GB/T 325.1-2018 6.5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9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4</w:t>
            </w:r>
          </w:p>
        </w:tc>
        <w:tc>
          <w:tcPr>
            <w:tcW w:w="15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堆码试验</w:t>
            </w:r>
          </w:p>
        </w:tc>
        <w:tc>
          <w:tcPr>
            <w:tcW w:w="191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GB/T 325.1-2018 6.5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</w:tbl>
    <w:p>
      <w:pPr>
        <w:adjustRightInd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表2 钢提桶</w:t>
      </w:r>
    </w:p>
    <w:tbl>
      <w:tblPr>
        <w:tblStyle w:val="7"/>
        <w:tblW w:w="7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545"/>
        <w:gridCol w:w="1950"/>
        <w:gridCol w:w="1042"/>
        <w:gridCol w:w="950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3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5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50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075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气密性能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13252-2008 7.2.1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耐液压性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13252-2008 7.2.2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耐跌落性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13252-2008 7.2.3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耐堆码性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13252-2008 7.2.4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63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54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提梁</w:t>
            </w:r>
            <w:r>
              <w:rPr>
                <w:rFonts w:hint="eastAsia" w:hAnsi="宋体"/>
                <w:color w:val="000000"/>
              </w:rPr>
              <w:t>、提环</w:t>
            </w:r>
            <w:r>
              <w:rPr>
                <w:rFonts w:hAnsi="宋体"/>
                <w:color w:val="000000"/>
              </w:rPr>
              <w:t>强度</w:t>
            </w:r>
          </w:p>
        </w:tc>
        <w:tc>
          <w:tcPr>
            <w:tcW w:w="1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13252-2008 7.2.5</w:t>
            </w:r>
          </w:p>
        </w:tc>
        <w:tc>
          <w:tcPr>
            <w:tcW w:w="104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5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075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</w:tbl>
    <w:p>
      <w:pPr>
        <w:adjustRightInd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表3 方桶</w:t>
      </w:r>
    </w:p>
    <w:tbl>
      <w:tblPr>
        <w:tblStyle w:val="7"/>
        <w:tblW w:w="7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488"/>
        <w:gridCol w:w="1917"/>
        <w:gridCol w:w="1089"/>
        <w:gridCol w:w="916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1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1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106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</w:t>
            </w:r>
            <w:r>
              <w:rPr>
                <w:rFonts w:hint="eastAsia" w:hAnsi="宋体"/>
                <w:color w:val="000000"/>
              </w:rPr>
              <w:t>（表压）</w:t>
            </w:r>
          </w:p>
        </w:tc>
        <w:tc>
          <w:tcPr>
            <w:tcW w:w="191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17343-1998 5.2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液压试验</w:t>
            </w:r>
          </w:p>
        </w:tc>
        <w:tc>
          <w:tcPr>
            <w:tcW w:w="191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12463-2009 8.2.4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实施细则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100kPa,5min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跌落试验</w:t>
            </w:r>
          </w:p>
        </w:tc>
        <w:tc>
          <w:tcPr>
            <w:tcW w:w="191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 12463-2009 8.2.2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实施细则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跌落高度：1.2m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堆码负载</w:t>
            </w:r>
          </w:p>
        </w:tc>
        <w:tc>
          <w:tcPr>
            <w:tcW w:w="191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17343-1998 5.2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4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提环拉力</w:t>
            </w:r>
          </w:p>
        </w:tc>
        <w:tc>
          <w:tcPr>
            <w:tcW w:w="191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17343-1998 5.2</w:t>
            </w:r>
          </w:p>
        </w:tc>
        <w:tc>
          <w:tcPr>
            <w:tcW w:w="108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</w:tbl>
    <w:p>
      <w:pPr>
        <w:adjustRightInd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表4 工业用薄钢板圆罐</w:t>
      </w:r>
    </w:p>
    <w:tbl>
      <w:tblPr>
        <w:tblStyle w:val="7"/>
        <w:tblW w:w="7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03"/>
        <w:gridCol w:w="1982"/>
        <w:gridCol w:w="1084"/>
        <w:gridCol w:w="907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tblHeader/>
          <w:jc w:val="center"/>
        </w:trPr>
        <w:tc>
          <w:tcPr>
            <w:tcW w:w="64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82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07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气密试验</w:t>
            </w:r>
          </w:p>
        </w:tc>
        <w:tc>
          <w:tcPr>
            <w:tcW w:w="1982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15170-2007 5.2.1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0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液压试验</w:t>
            </w:r>
          </w:p>
        </w:tc>
        <w:tc>
          <w:tcPr>
            <w:tcW w:w="1982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15170-2007 5.2.2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0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跌落试验</w:t>
            </w:r>
          </w:p>
        </w:tc>
        <w:tc>
          <w:tcPr>
            <w:tcW w:w="1982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15170-2007 5.2.3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0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堆码试验</w:t>
            </w:r>
          </w:p>
        </w:tc>
        <w:tc>
          <w:tcPr>
            <w:tcW w:w="1982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15170-2007 5.2.4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0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403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提梁、提环强度试验</w:t>
            </w:r>
          </w:p>
        </w:tc>
        <w:tc>
          <w:tcPr>
            <w:tcW w:w="1982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GB/T 15170-2007 5.2.5</w:t>
            </w:r>
          </w:p>
        </w:tc>
        <w:tc>
          <w:tcPr>
            <w:tcW w:w="1084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07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0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</w:tbl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</w:p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表5 方罐与扁圆罐</w:t>
      </w:r>
    </w:p>
    <w:tbl>
      <w:tblPr>
        <w:tblStyle w:val="7"/>
        <w:tblW w:w="7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66"/>
        <w:gridCol w:w="1946"/>
        <w:gridCol w:w="1087"/>
        <w:gridCol w:w="926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tblHeader/>
          <w:jc w:val="center"/>
        </w:trPr>
        <w:tc>
          <w:tcPr>
            <w:tcW w:w="64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4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26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111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0019-2013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6.2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2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1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液压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0019-2013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6.2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2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1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跌落</w:t>
            </w:r>
            <w:r>
              <w:rPr>
                <w:rFonts w:hint="eastAsia" w:hAnsi="宋体"/>
                <w:color w:val="000000"/>
              </w:rPr>
              <w:t>高度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0019-2013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6.2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2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堆码负载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0019-2013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6.2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2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1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648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46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提环拉力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0019-2013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6.2</w:t>
            </w:r>
          </w:p>
        </w:tc>
        <w:tc>
          <w:tcPr>
            <w:tcW w:w="1087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2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1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</w:tbl>
    <w:p>
      <w:pPr>
        <w:adjustRightInd w:val="0"/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</w:p>
    <w:p>
      <w:pPr>
        <w:adjustRightInd w:val="0"/>
        <w:spacing w:line="360" w:lineRule="auto"/>
        <w:ind w:firstLine="420" w:firstLine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表6 钢质手提罐</w:t>
      </w:r>
    </w:p>
    <w:tbl>
      <w:tblPr>
        <w:tblStyle w:val="7"/>
        <w:tblW w:w="7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468"/>
        <w:gridCol w:w="1946"/>
        <w:gridCol w:w="1088"/>
        <w:gridCol w:w="919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tblHeader/>
          <w:jc w:val="center"/>
        </w:trPr>
        <w:tc>
          <w:tcPr>
            <w:tcW w:w="639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序号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检验项目</w:t>
            </w:r>
          </w:p>
        </w:tc>
        <w:tc>
          <w:tcPr>
            <w:tcW w:w="1946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标准条款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项目设定</w:t>
            </w:r>
          </w:p>
        </w:tc>
        <w:tc>
          <w:tcPr>
            <w:tcW w:w="919" w:type="dxa"/>
            <w:vAlign w:val="center"/>
          </w:tcPr>
          <w:p>
            <w:pPr>
              <w:pStyle w:val="3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复检用样品</w:t>
            </w:r>
          </w:p>
        </w:tc>
        <w:tc>
          <w:tcPr>
            <w:tcW w:w="1110" w:type="dxa"/>
            <w:vAlign w:val="center"/>
          </w:tcPr>
          <w:p>
            <w:pPr>
              <w:tabs>
                <w:tab w:val="left" w:pos="1704"/>
              </w:tabs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气密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0064-2013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液压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0064-2013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堆码</w:t>
            </w:r>
            <w:r>
              <w:rPr>
                <w:rFonts w:hint="eastAsia" w:hAnsi="宋体"/>
                <w:color w:val="000000"/>
              </w:rPr>
              <w:t>性能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0064-2013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跌落</w:t>
            </w:r>
            <w:r>
              <w:rPr>
                <w:rFonts w:hint="eastAsia" w:hAnsi="宋体"/>
                <w:color w:val="000000"/>
              </w:rPr>
              <w:t>高度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0064-2013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63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提手拉力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BB/T 0064-2013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4.6</w:t>
            </w:r>
          </w:p>
        </w:tc>
        <w:tc>
          <w:tcPr>
            <w:tcW w:w="1088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主要项目</w:t>
            </w:r>
          </w:p>
        </w:tc>
        <w:tc>
          <w:tcPr>
            <w:tcW w:w="919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备样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adjustRightInd w:val="0"/>
              <w:spacing w:line="360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hAnsi="宋体"/>
                <w:color w:val="000000"/>
              </w:rPr>
              <w:t>/</w:t>
            </w:r>
          </w:p>
        </w:tc>
      </w:tr>
    </w:tbl>
    <w:p>
      <w:pPr>
        <w:adjustRightInd w:val="0"/>
        <w:spacing w:line="360" w:lineRule="auto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五、 </w:t>
      </w:r>
      <w:r>
        <w:rPr>
          <w:rFonts w:ascii="仿宋" w:hAnsi="仿宋" w:eastAsia="仿宋"/>
          <w:b/>
          <w:bCs/>
          <w:color w:val="000000"/>
          <w:sz w:val="24"/>
        </w:rPr>
        <w:t>判定规则</w:t>
      </w:r>
    </w:p>
    <w:p>
      <w:pPr>
        <w:adjustRightInd w:val="0"/>
        <w:snapToGrid w:val="0"/>
        <w:spacing w:line="360" w:lineRule="auto"/>
        <w:ind w:firstLine="360" w:firstLineChars="15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（一）判定总则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2.当产品执行国家、行业、地方标准时,按国家、行业、地方标准要求进行质量判定。</w:t>
      </w:r>
    </w:p>
    <w:p>
      <w:pPr>
        <w:pStyle w:val="3"/>
        <w:adjustRightInd w:val="0"/>
        <w:snapToGrid w:val="0"/>
        <w:spacing w:line="360" w:lineRule="auto"/>
        <w:ind w:firstLine="42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pStyle w:val="3"/>
        <w:adjustRightInd w:val="0"/>
        <w:snapToGrid w:val="0"/>
        <w:spacing w:line="360" w:lineRule="auto"/>
        <w:ind w:firstLine="360" w:firstLineChars="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（二）单项质量判定</w:t>
      </w:r>
    </w:p>
    <w:p>
      <w:pPr>
        <w:spacing w:line="360" w:lineRule="auto"/>
        <w:ind w:firstLine="43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当所检项目的检验结果符合执行标准中该项目要求时，判该项目为符合执行标准要求，否则判该项目为不符合执行标准要求。</w:t>
      </w:r>
    </w:p>
    <w:p>
      <w:pPr>
        <w:spacing w:line="360" w:lineRule="auto"/>
        <w:ind w:firstLine="360" w:firstLineChars="15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（三）综合质量判定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经检验，检验项目中任一项或一项以上不合格，判定被抽查产品为</w:t>
      </w:r>
      <w:r>
        <w:rPr>
          <w:rFonts w:hint="eastAsia" w:ascii="仿宋" w:hAnsi="仿宋" w:eastAsia="仿宋"/>
          <w:color w:val="000000"/>
          <w:sz w:val="24"/>
        </w:rPr>
        <w:t>“</w:t>
      </w:r>
      <w:r>
        <w:rPr>
          <w:rFonts w:ascii="仿宋" w:hAnsi="仿宋" w:eastAsia="仿宋"/>
          <w:color w:val="000000"/>
          <w:sz w:val="24"/>
        </w:rPr>
        <w:t>不合格</w:t>
      </w:r>
      <w:r>
        <w:rPr>
          <w:rFonts w:hint="eastAsia" w:ascii="仿宋" w:hAnsi="仿宋" w:eastAsia="仿宋"/>
          <w:color w:val="000000"/>
          <w:sz w:val="24"/>
        </w:rPr>
        <w:t>”；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但不符合本细则检验项目依据的推荐性标准，</w:t>
      </w:r>
      <w:r>
        <w:rPr>
          <w:rFonts w:ascii="仿宋" w:hAnsi="仿宋" w:eastAsia="仿宋"/>
          <w:color w:val="000000"/>
          <w:sz w:val="24"/>
        </w:rPr>
        <w:t>判定被抽查产品</w:t>
      </w:r>
      <w:r>
        <w:rPr>
          <w:rFonts w:hint="eastAsia" w:ascii="仿宋" w:hAnsi="仿宋" w:eastAsia="仿宋"/>
          <w:color w:val="000000"/>
          <w:sz w:val="24"/>
        </w:rPr>
        <w:t>“所检项目符合企业标准，未达到国家、行业、地方标准规定”；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且符合本细则检验项目依据的推荐性标准，判定被抽查产品为“所检项目符合本次监督抽查要求”。</w:t>
      </w:r>
      <w:bookmarkStart w:id="2" w:name="_GoBack"/>
      <w:bookmarkEnd w:id="2"/>
    </w:p>
    <w:p>
      <w:pPr>
        <w:spacing w:line="360" w:lineRule="auto"/>
        <w:ind w:firstLine="481" w:firstLineChars="200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六、</w:t>
      </w:r>
      <w:r>
        <w:rPr>
          <w:rFonts w:hint="eastAsia" w:ascii="仿宋" w:hAnsi="仿宋" w:eastAsia="仿宋"/>
          <w:b/>
          <w:bCs/>
          <w:color w:val="000000"/>
          <w:sz w:val="24"/>
        </w:rPr>
        <w:t xml:space="preserve"> 附则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本细则首次发布。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D68"/>
    <w:multiLevelType w:val="multilevel"/>
    <w:tmpl w:val="1A445D6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docVars>
    <w:docVar w:name="commondata" w:val="eyJoZGlkIjoiZjI5ZDU0N2U2NmQ5NmE3NTU4NGI0YzY4MTI5OWMxZjEifQ=="/>
  </w:docVars>
  <w:rsids>
    <w:rsidRoot w:val="007072C8"/>
    <w:rsid w:val="00031BC2"/>
    <w:rsid w:val="000430F6"/>
    <w:rsid w:val="00056C89"/>
    <w:rsid w:val="000A2F5B"/>
    <w:rsid w:val="000D3328"/>
    <w:rsid w:val="000F0AD8"/>
    <w:rsid w:val="00132126"/>
    <w:rsid w:val="00154DB5"/>
    <w:rsid w:val="00176773"/>
    <w:rsid w:val="001F1D3B"/>
    <w:rsid w:val="00212E4D"/>
    <w:rsid w:val="00291417"/>
    <w:rsid w:val="002D0A85"/>
    <w:rsid w:val="002E5D10"/>
    <w:rsid w:val="00356C18"/>
    <w:rsid w:val="00393194"/>
    <w:rsid w:val="003A66E5"/>
    <w:rsid w:val="003C2212"/>
    <w:rsid w:val="004234CD"/>
    <w:rsid w:val="004361E3"/>
    <w:rsid w:val="00461406"/>
    <w:rsid w:val="0046777F"/>
    <w:rsid w:val="00491368"/>
    <w:rsid w:val="004B6B7B"/>
    <w:rsid w:val="004E1EFE"/>
    <w:rsid w:val="004F5256"/>
    <w:rsid w:val="004F685A"/>
    <w:rsid w:val="005117A4"/>
    <w:rsid w:val="00587CDB"/>
    <w:rsid w:val="00597CCF"/>
    <w:rsid w:val="005A7AA2"/>
    <w:rsid w:val="005B37D3"/>
    <w:rsid w:val="005E6663"/>
    <w:rsid w:val="005E7DEF"/>
    <w:rsid w:val="005F349C"/>
    <w:rsid w:val="00621A04"/>
    <w:rsid w:val="006223B0"/>
    <w:rsid w:val="00627683"/>
    <w:rsid w:val="006A4B88"/>
    <w:rsid w:val="006B22EE"/>
    <w:rsid w:val="006D2E97"/>
    <w:rsid w:val="007072C8"/>
    <w:rsid w:val="0076248E"/>
    <w:rsid w:val="007726C9"/>
    <w:rsid w:val="0077759F"/>
    <w:rsid w:val="007941D6"/>
    <w:rsid w:val="00794C0D"/>
    <w:rsid w:val="007D2D7C"/>
    <w:rsid w:val="007E521A"/>
    <w:rsid w:val="008130CE"/>
    <w:rsid w:val="008138BD"/>
    <w:rsid w:val="00835BC2"/>
    <w:rsid w:val="0084500A"/>
    <w:rsid w:val="0085543B"/>
    <w:rsid w:val="008677EE"/>
    <w:rsid w:val="008C7625"/>
    <w:rsid w:val="0091579C"/>
    <w:rsid w:val="00931293"/>
    <w:rsid w:val="009375AD"/>
    <w:rsid w:val="00944A70"/>
    <w:rsid w:val="009450EA"/>
    <w:rsid w:val="00957CCF"/>
    <w:rsid w:val="009723AE"/>
    <w:rsid w:val="009B1DB3"/>
    <w:rsid w:val="009E54E0"/>
    <w:rsid w:val="009F3B0E"/>
    <w:rsid w:val="00A14DE0"/>
    <w:rsid w:val="00A41005"/>
    <w:rsid w:val="00A85D4A"/>
    <w:rsid w:val="00AD3D4C"/>
    <w:rsid w:val="00B063BC"/>
    <w:rsid w:val="00B11931"/>
    <w:rsid w:val="00B12D01"/>
    <w:rsid w:val="00B14DE4"/>
    <w:rsid w:val="00B236B6"/>
    <w:rsid w:val="00B41934"/>
    <w:rsid w:val="00B621EB"/>
    <w:rsid w:val="00BB390F"/>
    <w:rsid w:val="00C01A51"/>
    <w:rsid w:val="00C27243"/>
    <w:rsid w:val="00C34D9B"/>
    <w:rsid w:val="00C45D44"/>
    <w:rsid w:val="00CA299D"/>
    <w:rsid w:val="00CA6059"/>
    <w:rsid w:val="00CB72DB"/>
    <w:rsid w:val="00CE5E64"/>
    <w:rsid w:val="00D312A9"/>
    <w:rsid w:val="00D6590F"/>
    <w:rsid w:val="00D92D0A"/>
    <w:rsid w:val="00DC045C"/>
    <w:rsid w:val="00DC2764"/>
    <w:rsid w:val="00E04B24"/>
    <w:rsid w:val="00E64751"/>
    <w:rsid w:val="00EF4866"/>
    <w:rsid w:val="00F15467"/>
    <w:rsid w:val="00F2324B"/>
    <w:rsid w:val="00F25110"/>
    <w:rsid w:val="00F276C3"/>
    <w:rsid w:val="00F32585"/>
    <w:rsid w:val="00F365C8"/>
    <w:rsid w:val="00FB2F61"/>
    <w:rsid w:val="00FB4A09"/>
    <w:rsid w:val="00FC417C"/>
    <w:rsid w:val="00FD64FD"/>
    <w:rsid w:val="04020B22"/>
    <w:rsid w:val="0449689E"/>
    <w:rsid w:val="059348DA"/>
    <w:rsid w:val="09E21360"/>
    <w:rsid w:val="0D8D53DF"/>
    <w:rsid w:val="0FD966EE"/>
    <w:rsid w:val="11BA7770"/>
    <w:rsid w:val="136C4563"/>
    <w:rsid w:val="157F3DD2"/>
    <w:rsid w:val="15F147E7"/>
    <w:rsid w:val="1C3A2D85"/>
    <w:rsid w:val="31421D53"/>
    <w:rsid w:val="3D7E4170"/>
    <w:rsid w:val="433836FB"/>
    <w:rsid w:val="50B43C38"/>
    <w:rsid w:val="54532EC8"/>
    <w:rsid w:val="61F536DE"/>
    <w:rsid w:val="634520EC"/>
    <w:rsid w:val="645314A2"/>
    <w:rsid w:val="66632315"/>
    <w:rsid w:val="6FEC4F07"/>
    <w:rsid w:val="76BB2FD7"/>
    <w:rsid w:val="7EBD2AC8"/>
    <w:rsid w:val="EFF5C3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1">
    <w:name w:val="正文文本缩进 Char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纯文本 Char"/>
    <w:link w:val="3"/>
    <w:qFormat/>
    <w:uiPriority w:val="0"/>
    <w:rPr>
      <w:rFonts w:ascii="宋体" w:hAnsi="Courier New"/>
    </w:rPr>
  </w:style>
  <w:style w:type="character" w:customStyle="1" w:styleId="13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4">
    <w:name w:val="页眉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413</Words>
  <Characters>2356</Characters>
  <Lines>19</Lines>
  <Paragraphs>5</Paragraphs>
  <TotalTime>0</TotalTime>
  <ScaleCrop>false</ScaleCrop>
  <LinksUpToDate>false</LinksUpToDate>
  <CharactersWithSpaces>2764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2023-03-29T16:55:00Z</dcterms:created>
  <dc:creator>范 文佳</dc:creator>
  <cp:lastModifiedBy>user</cp:lastModifiedBy>
  <dcterms:modified xsi:type="dcterms:W3CDTF">2023-06-20T09:03:08Z</dcterms:modified>
  <dc:title>2021年杭州市流通领域(网络)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8C77DE5C8B014D628A2E0A1E2AB2D885</vt:lpwstr>
  </property>
</Properties>
</file>