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2023年台州</w:t>
      </w: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  <w:t>市</w:t>
      </w:r>
    </w:p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防爆电机产品质量监督抽查实施细则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bookmarkStart w:id="0" w:name="_Hlk95300558"/>
      <w:r>
        <w:rPr>
          <w:rFonts w:hint="eastAsia" w:ascii="仿宋" w:hAnsi="仿宋" w:eastAsia="仿宋"/>
          <w:b/>
          <w:bCs/>
          <w:color w:val="000000"/>
          <w:sz w:val="24"/>
        </w:rPr>
        <w:t>适用范围</w:t>
      </w:r>
    </w:p>
    <w:p>
      <w:pPr>
        <w:adjustRightInd w:val="0"/>
        <w:snapToGrid w:val="0"/>
        <w:spacing w:line="360" w:lineRule="auto"/>
        <w:ind w:firstLine="495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本实施细则适用于在台州地区内防爆电机产品质量的监督抽查。</w:t>
      </w:r>
    </w:p>
    <w:bookmarkEnd w:id="0"/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color w:val="000000"/>
          <w:sz w:val="24"/>
        </w:rPr>
      </w:pPr>
      <w:bookmarkStart w:id="1" w:name="_Hlk95300595"/>
      <w:r>
        <w:rPr>
          <w:rFonts w:hint="eastAsia" w:ascii="仿宋" w:hAnsi="仿宋" w:eastAsia="仿宋"/>
          <w:b/>
          <w:bCs/>
          <w:color w:val="000000"/>
          <w:sz w:val="24"/>
        </w:rPr>
        <w:t>二</w:t>
      </w:r>
      <w:r>
        <w:rPr>
          <w:rFonts w:hint="eastAsia" w:ascii="仿宋" w:hAnsi="仿宋" w:eastAsia="仿宋"/>
          <w:color w:val="000000"/>
          <w:sz w:val="24"/>
        </w:rPr>
        <w:t xml:space="preserve">、 </w:t>
      </w:r>
      <w:r>
        <w:rPr>
          <w:rFonts w:ascii="仿宋" w:hAnsi="仿宋" w:eastAsia="仿宋"/>
          <w:color w:val="000000"/>
          <w:sz w:val="24"/>
        </w:rPr>
        <w:t xml:space="preserve"> </w:t>
      </w:r>
      <w:r>
        <w:rPr>
          <w:rFonts w:hint="eastAsia" w:ascii="仿宋" w:hAnsi="仿宋" w:eastAsia="仿宋"/>
          <w:b/>
          <w:bCs/>
          <w:color w:val="000000"/>
          <w:sz w:val="24"/>
        </w:rPr>
        <w:t>检验</w:t>
      </w:r>
      <w:r>
        <w:rPr>
          <w:rFonts w:ascii="仿宋" w:hAnsi="仿宋" w:eastAsia="仿宋"/>
          <w:b/>
          <w:bCs/>
          <w:color w:val="000000"/>
          <w:sz w:val="24"/>
        </w:rPr>
        <w:t>依据</w:t>
      </w:r>
    </w:p>
    <w:bookmarkEnd w:id="1"/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GB/T 3836.1-2021《爆炸性环境 第1部分：设备 通用要求》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GB/T 3836.2-2021《爆炸性环境 第2部分：由隔爆外壳“d”保护的设备》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GB/T 3836.3-2021《爆炸性环境 第3部分：由增安型“e”保护的设备》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 3836.1-2010《爆炸性环境 第1部分：设备 通用要求》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 3836.2-2010《爆炸性环境 第2部分：由隔爆外壳“d”保护的设备》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 3836.3-2010《爆炸性环境 第3部分：由增安型“e”保护的设备》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现行有效的企业标准、团体标准、地方标准及产品明示质量要求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三、 </w:t>
      </w:r>
      <w:r>
        <w:rPr>
          <w:rFonts w:ascii="仿宋" w:hAnsi="仿宋" w:eastAsia="仿宋"/>
          <w:b/>
          <w:bCs/>
          <w:color w:val="000000"/>
          <w:sz w:val="24"/>
        </w:rPr>
        <w:t xml:space="preserve"> 抽样方法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以随机抽样的方式在被抽样</w:t>
      </w:r>
      <w:r>
        <w:rPr>
          <w:rFonts w:hint="eastAsia" w:ascii="仿宋" w:hAnsi="仿宋" w:eastAsia="仿宋"/>
          <w:color w:val="000000"/>
          <w:sz w:val="24"/>
        </w:rPr>
        <w:t>生产者</w:t>
      </w:r>
      <w:r>
        <w:rPr>
          <w:rFonts w:ascii="仿宋" w:hAnsi="仿宋" w:eastAsia="仿宋"/>
          <w:color w:val="000000"/>
          <w:sz w:val="24"/>
        </w:rPr>
        <w:t>的待销产品中抽取。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随机数一般可使用扑克牌法、随机数表等方法产生。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批次抽取样品2台，</w:t>
      </w:r>
      <w:r>
        <w:rPr>
          <w:rFonts w:hint="eastAsia" w:ascii="仿宋" w:hAnsi="仿宋" w:eastAsia="仿宋"/>
          <w:bCs/>
          <w:sz w:val="24"/>
        </w:rPr>
        <w:t>其中</w:t>
      </w:r>
      <w:r>
        <w:rPr>
          <w:rFonts w:hint="eastAsia" w:ascii="仿宋" w:hAnsi="仿宋" w:eastAsia="仿宋"/>
          <w:sz w:val="24"/>
        </w:rPr>
        <w:t>1台为检验样品，1台作为备用样品。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四、 </w:t>
      </w:r>
      <w:r>
        <w:rPr>
          <w:rFonts w:ascii="仿宋" w:hAnsi="仿宋" w:eastAsia="仿宋"/>
          <w:b/>
          <w:bCs/>
          <w:color w:val="000000"/>
          <w:sz w:val="24"/>
        </w:rPr>
        <w:t>检验</w:t>
      </w:r>
      <w:r>
        <w:rPr>
          <w:rFonts w:hint="eastAsia" w:ascii="仿宋" w:hAnsi="仿宋" w:eastAsia="仿宋"/>
          <w:b/>
          <w:bCs/>
          <w:color w:val="000000"/>
          <w:sz w:val="24"/>
        </w:rPr>
        <w:t>项目</w:t>
      </w: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 检验项目如下：</w:t>
      </w:r>
    </w:p>
    <w:p>
      <w:pPr>
        <w:pStyle w:val="2"/>
        <w:ind w:left="0"/>
        <w:rPr>
          <w:rFonts w:ascii="仿宋" w:hAnsi="仿宋" w:eastAsia="仿宋" w:cs="Times New Roman"/>
          <w:color w:val="000000"/>
          <w:kern w:val="2"/>
          <w:lang w:eastAsia="zh-CN"/>
        </w:rPr>
      </w:pPr>
      <w:r>
        <w:rPr>
          <w:rFonts w:hint="eastAsia" w:ascii="仿宋" w:hAnsi="仿宋" w:eastAsia="仿宋" w:cs="Times New Roman"/>
          <w:color w:val="000000"/>
          <w:kern w:val="2"/>
          <w:sz w:val="21"/>
          <w:szCs w:val="21"/>
          <w:lang w:eastAsia="zh-CN"/>
        </w:rPr>
        <w:t>表1 执行标准为GB/T 3836.1-2021、GB/T 3836.2-2021和GB/T 3836.3-2021的防爆电机</w:t>
      </w:r>
    </w:p>
    <w:tbl>
      <w:tblPr>
        <w:tblStyle w:val="8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028"/>
        <w:gridCol w:w="1372"/>
        <w:gridCol w:w="2051"/>
        <w:gridCol w:w="847"/>
        <w:gridCol w:w="1164"/>
        <w:gridCol w:w="827"/>
        <w:gridCol w:w="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序号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检验项目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标准条款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不合格类别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项目设定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复检用样品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抗冲击试验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3836.1-2021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26.4.2、26.4.4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2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电气间隙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3836.3-2021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4.3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原样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3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爬电距离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3836.3-2021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4.4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原样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4</w:t>
            </w: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非铠装电缆和带编织覆盖层电缆的夹紧试验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夹紧试验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3836.1-2021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A.3.1.4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5</w:t>
            </w:r>
          </w:p>
        </w:tc>
        <w:tc>
          <w:tcPr>
            <w:tcW w:w="2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机械强度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3836.1-2021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A.3.1.5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6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隔爆外壳引入装置的附加要求-密封试验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3836.2-2021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C.3.1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7</w:t>
            </w:r>
          </w:p>
        </w:tc>
        <w:tc>
          <w:tcPr>
            <w:tcW w:w="34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隔爆外壳引入装置的附加要求-机械强度试验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3836.2-2021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C.3.2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8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隔爆接合面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3836.2-2021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5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原样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9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外壳耐压试验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3836.2-2021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15.2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10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内部点燃的不传爆试验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GB/T 3836.2-2021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15.3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主要项目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jc w:val="left"/>
        <w:rPr>
          <w:color w:val="000000"/>
          <w:szCs w:val="21"/>
        </w:rPr>
      </w:pPr>
    </w:p>
    <w:p>
      <w:pPr>
        <w:adjustRightInd w:val="0"/>
        <w:snapToGrid w:val="0"/>
        <w:ind w:firstLine="42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Cs w:val="21"/>
        </w:rPr>
        <w:t>表2 执行标准为GB 3836.1-2010、GB 3836.2-2010和GB 3836.3-2010的防爆电机</w:t>
      </w:r>
    </w:p>
    <w:tbl>
      <w:tblPr>
        <w:tblStyle w:val="8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028"/>
        <w:gridCol w:w="1372"/>
        <w:gridCol w:w="2051"/>
        <w:gridCol w:w="834"/>
        <w:gridCol w:w="1190"/>
        <w:gridCol w:w="789"/>
        <w:gridCol w:w="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序号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检验项目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标准条款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不合格类别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项目设定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复检用样品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抗冲击试验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3836.1-2010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26.4.2、26.4.4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2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电气间隙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3836.3-2010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4.3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原样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3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爬电距离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3836.3-2010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4.4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原样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4</w:t>
            </w: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非铠装电缆和带编织覆盖层电缆的夹紧试验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拉力试验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3836.1-2010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A.3.1.4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5</w:t>
            </w:r>
          </w:p>
        </w:tc>
        <w:tc>
          <w:tcPr>
            <w:tcW w:w="2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机械强度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3836.1-2010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A.3.1.5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6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隔爆外壳引入装置的附加要求-密封试验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3836.2-2010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C.3.1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7</w:t>
            </w:r>
          </w:p>
        </w:tc>
        <w:tc>
          <w:tcPr>
            <w:tcW w:w="34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隔爆外壳引入装置的附加要求-机械强度试验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3836.2-2010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C.3.2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8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隔爆接合面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3836.2-2010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5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原样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9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外壳耐压试验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3836.2-2010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15.1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10</w:t>
            </w:r>
          </w:p>
        </w:tc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内部点燃的不传爆试验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GB 3836.2-2010</w:t>
            </w:r>
          </w:p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15.2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A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强制性条款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等线"/>
                <w:kern w:val="2"/>
                <w:sz w:val="18"/>
                <w:szCs w:val="18"/>
              </w:rPr>
              <w:t>备样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jc w:val="center"/>
              <w:rPr>
                <w:rFonts w:ascii="Times New Roman" w:hAnsi="Times New Roman" w:eastAsia="等线"/>
                <w:kern w:val="2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五、 </w:t>
      </w:r>
      <w:r>
        <w:rPr>
          <w:rFonts w:ascii="仿宋" w:hAnsi="仿宋" w:eastAsia="仿宋"/>
          <w:b/>
          <w:bCs/>
          <w:color w:val="000000"/>
          <w:sz w:val="24"/>
        </w:rPr>
        <w:t>判定规则</w:t>
      </w:r>
    </w:p>
    <w:p>
      <w:pPr>
        <w:adjustRightInd w:val="0"/>
        <w:snapToGrid w:val="0"/>
        <w:spacing w:line="264" w:lineRule="auto"/>
        <w:ind w:firstLine="360" w:firstLineChars="15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（一）判定总则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2.当产品执行国家、行业、地方标准时,按国家、行业、地方标准要求进行质量判定。</w:t>
      </w:r>
    </w:p>
    <w:p>
      <w:pPr>
        <w:pStyle w:val="4"/>
        <w:adjustRightInd w:val="0"/>
        <w:snapToGrid w:val="0"/>
        <w:spacing w:line="264" w:lineRule="auto"/>
        <w:ind w:firstLine="42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pStyle w:val="4"/>
        <w:adjustRightInd w:val="0"/>
        <w:snapToGrid w:val="0"/>
        <w:spacing w:line="264" w:lineRule="auto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（二）单项质量判定</w:t>
      </w:r>
    </w:p>
    <w:p>
      <w:pPr>
        <w:spacing w:line="264" w:lineRule="auto"/>
        <w:ind w:firstLine="43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当所检项目的检验结果符合执行标准中该项目要求时，判该项目为符合执行标准要求，否则判该项目为不符合执行标准要求。</w:t>
      </w:r>
    </w:p>
    <w:p>
      <w:pPr>
        <w:spacing w:line="264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（三）综合质量判定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1.所检项目出现下列情形之一的，检验结论为“不合格”。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（1）发现一项或一项以上A类项目不符合执行标准要求；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（2）发现二项或者二项以上B类项目不符合执行标准要求；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2.同时满足下列要求的，检验结论为“所检项目符合本次监督抽查要求”。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（1）未发现A类项目不符合执行标准；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（2）发现不符合执行标准的B类项目数量少于二项；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（3）所检主要项目的检验结果符合国家、行业、地方标准中推荐性条款要求的。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3.同时满足下列要求的，检验结论为“所检项目符合企业标准，未达到国家、行业、地方标准规定”。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（1）未发现A类项目不符合执行标准；</w:t>
      </w: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（2）发现不符合执行标准的B类项目数量少于二项；</w:t>
      </w:r>
    </w:p>
    <w:p>
      <w:pPr>
        <w:spacing w:line="264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（3）所检主要项目的检验结果出现一个或一个以上低于国家、行业、地方标准中推荐性条款要求的。</w:t>
      </w:r>
    </w:p>
    <w:p>
      <w:pPr>
        <w:spacing w:line="264" w:lineRule="auto"/>
        <w:ind w:firstLine="481" w:firstLineChars="200"/>
        <w:rPr>
          <w:rFonts w:hint="eastAsia" w:ascii="仿宋" w:hAnsi="仿宋" w:eastAsia="仿宋"/>
          <w:b/>
          <w:bCs/>
          <w:color w:val="000000"/>
          <w:sz w:val="24"/>
        </w:rPr>
      </w:pPr>
      <w:bookmarkStart w:id="2" w:name="_GoBack"/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六</w:t>
      </w:r>
      <w:r>
        <w:rPr>
          <w:rFonts w:hint="eastAsia" w:ascii="仿宋" w:hAnsi="仿宋" w:eastAsia="仿宋"/>
          <w:b/>
          <w:bCs/>
          <w:color w:val="000000"/>
          <w:sz w:val="24"/>
        </w:rPr>
        <w:t xml:space="preserve"> 附则</w:t>
      </w:r>
    </w:p>
    <w:bookmarkEnd w:id="2"/>
    <w:p>
      <w:pPr>
        <w:spacing w:line="264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本细则首次发布。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45D68"/>
    <w:multiLevelType w:val="multilevel"/>
    <w:tmpl w:val="1A445D6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VjZmM5OTZhMTUyNzkwZWU1YmUzOTI2N2Q1YjkxNzMifQ=="/>
    <w:docVar w:name="KSO_WPS_MARK_KEY" w:val="fe6e5004-6002-4791-b6b3-ed4bf6dac7a5"/>
  </w:docVars>
  <w:rsids>
    <w:rsidRoot w:val="007072C8"/>
    <w:rsid w:val="00012905"/>
    <w:rsid w:val="00031BC2"/>
    <w:rsid w:val="000430F6"/>
    <w:rsid w:val="00056C89"/>
    <w:rsid w:val="000A2F5B"/>
    <w:rsid w:val="000F0AD8"/>
    <w:rsid w:val="00132126"/>
    <w:rsid w:val="00154DB5"/>
    <w:rsid w:val="00176773"/>
    <w:rsid w:val="001F1D3B"/>
    <w:rsid w:val="00212E4D"/>
    <w:rsid w:val="00291417"/>
    <w:rsid w:val="002D0A85"/>
    <w:rsid w:val="002E5D10"/>
    <w:rsid w:val="00356C18"/>
    <w:rsid w:val="00393194"/>
    <w:rsid w:val="003A66E5"/>
    <w:rsid w:val="003C2212"/>
    <w:rsid w:val="004234CD"/>
    <w:rsid w:val="00461406"/>
    <w:rsid w:val="0046777F"/>
    <w:rsid w:val="00491368"/>
    <w:rsid w:val="004B6B7B"/>
    <w:rsid w:val="004E1EFE"/>
    <w:rsid w:val="004F685A"/>
    <w:rsid w:val="005117A4"/>
    <w:rsid w:val="005732CF"/>
    <w:rsid w:val="00587CDB"/>
    <w:rsid w:val="00597CCF"/>
    <w:rsid w:val="005A7AA2"/>
    <w:rsid w:val="005E7DEF"/>
    <w:rsid w:val="005F349C"/>
    <w:rsid w:val="006223B0"/>
    <w:rsid w:val="00627683"/>
    <w:rsid w:val="006A4B88"/>
    <w:rsid w:val="006B22EE"/>
    <w:rsid w:val="006D2E97"/>
    <w:rsid w:val="007072C8"/>
    <w:rsid w:val="0076248E"/>
    <w:rsid w:val="007726C9"/>
    <w:rsid w:val="0077759F"/>
    <w:rsid w:val="007941D6"/>
    <w:rsid w:val="00794C0D"/>
    <w:rsid w:val="007D2D7C"/>
    <w:rsid w:val="007E521A"/>
    <w:rsid w:val="0080042C"/>
    <w:rsid w:val="008130CE"/>
    <w:rsid w:val="008138BD"/>
    <w:rsid w:val="00835BC2"/>
    <w:rsid w:val="0085543B"/>
    <w:rsid w:val="008677EE"/>
    <w:rsid w:val="008C7625"/>
    <w:rsid w:val="0091579C"/>
    <w:rsid w:val="00931293"/>
    <w:rsid w:val="009375AD"/>
    <w:rsid w:val="009450EA"/>
    <w:rsid w:val="00957CCF"/>
    <w:rsid w:val="009723AE"/>
    <w:rsid w:val="009B1DB3"/>
    <w:rsid w:val="009E54E0"/>
    <w:rsid w:val="009F3B0E"/>
    <w:rsid w:val="00A14DE0"/>
    <w:rsid w:val="00A41005"/>
    <w:rsid w:val="00A85D4A"/>
    <w:rsid w:val="00B063BC"/>
    <w:rsid w:val="00B11931"/>
    <w:rsid w:val="00B12D01"/>
    <w:rsid w:val="00B14DE4"/>
    <w:rsid w:val="00B41934"/>
    <w:rsid w:val="00BB390F"/>
    <w:rsid w:val="00C01A51"/>
    <w:rsid w:val="00C27243"/>
    <w:rsid w:val="00C34D9B"/>
    <w:rsid w:val="00C45D44"/>
    <w:rsid w:val="00CA299D"/>
    <w:rsid w:val="00CA6059"/>
    <w:rsid w:val="00CB72DB"/>
    <w:rsid w:val="00CE5E64"/>
    <w:rsid w:val="00D312A9"/>
    <w:rsid w:val="00D6590F"/>
    <w:rsid w:val="00DC045C"/>
    <w:rsid w:val="00DC2764"/>
    <w:rsid w:val="00E04B24"/>
    <w:rsid w:val="00E64751"/>
    <w:rsid w:val="00EF4866"/>
    <w:rsid w:val="00F15467"/>
    <w:rsid w:val="00F2324B"/>
    <w:rsid w:val="00F25110"/>
    <w:rsid w:val="00F276C3"/>
    <w:rsid w:val="00F32585"/>
    <w:rsid w:val="00F365C8"/>
    <w:rsid w:val="00F3708B"/>
    <w:rsid w:val="00FB2F61"/>
    <w:rsid w:val="00FB4A09"/>
    <w:rsid w:val="00FC417C"/>
    <w:rsid w:val="00FD64FD"/>
    <w:rsid w:val="015C7DB4"/>
    <w:rsid w:val="04020B22"/>
    <w:rsid w:val="0449689E"/>
    <w:rsid w:val="059348DA"/>
    <w:rsid w:val="05C4326C"/>
    <w:rsid w:val="09E21360"/>
    <w:rsid w:val="0D8D53DF"/>
    <w:rsid w:val="0FD966EE"/>
    <w:rsid w:val="105C0433"/>
    <w:rsid w:val="11C91127"/>
    <w:rsid w:val="11D758A3"/>
    <w:rsid w:val="136C4563"/>
    <w:rsid w:val="1C0510AF"/>
    <w:rsid w:val="1C3A2D85"/>
    <w:rsid w:val="216D57B7"/>
    <w:rsid w:val="23111551"/>
    <w:rsid w:val="232E07E1"/>
    <w:rsid w:val="26140437"/>
    <w:rsid w:val="310540D5"/>
    <w:rsid w:val="31421D53"/>
    <w:rsid w:val="3A0D261A"/>
    <w:rsid w:val="3D1B6FCD"/>
    <w:rsid w:val="3DFF3A68"/>
    <w:rsid w:val="3FA6268D"/>
    <w:rsid w:val="422D3668"/>
    <w:rsid w:val="433836FB"/>
    <w:rsid w:val="44F17CDF"/>
    <w:rsid w:val="47B642F1"/>
    <w:rsid w:val="49C662CD"/>
    <w:rsid w:val="50B43C38"/>
    <w:rsid w:val="527266DB"/>
    <w:rsid w:val="532366DF"/>
    <w:rsid w:val="59592853"/>
    <w:rsid w:val="5E91722B"/>
    <w:rsid w:val="5F1F0FB6"/>
    <w:rsid w:val="61F536DE"/>
    <w:rsid w:val="634520EC"/>
    <w:rsid w:val="63E363CC"/>
    <w:rsid w:val="645314A2"/>
    <w:rsid w:val="65256DBB"/>
    <w:rsid w:val="65905D2A"/>
    <w:rsid w:val="66632315"/>
    <w:rsid w:val="6BF9C9BF"/>
    <w:rsid w:val="6FEC4F07"/>
    <w:rsid w:val="72E50822"/>
    <w:rsid w:val="76BB2FD7"/>
    <w:rsid w:val="7A1A0616"/>
    <w:rsid w:val="7D0411D2"/>
    <w:rsid w:val="7E03094E"/>
    <w:rsid w:val="7EBD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widowControl/>
      <w:ind w:left="720"/>
      <w:jc w:val="left"/>
    </w:pPr>
    <w:rPr>
      <w:rFonts w:ascii="Arial" w:hAnsi="Arial" w:eastAsia="黑体" w:cs="Arial"/>
      <w:kern w:val="0"/>
      <w:sz w:val="24"/>
      <w:lang w:eastAsia="en-US"/>
    </w:rPr>
  </w:style>
  <w:style w:type="paragraph" w:styleId="3">
    <w:name w:val="Body Text Indent"/>
    <w:basedOn w:val="1"/>
    <w:link w:val="12"/>
    <w:unhideWhenUsed/>
    <w:qFormat/>
    <w:uiPriority w:val="99"/>
    <w:pPr>
      <w:spacing w:after="120"/>
      <w:ind w:left="420" w:leftChars="200"/>
    </w:pPr>
    <w:rPr>
      <w:kern w:val="0"/>
      <w:sz w:val="20"/>
    </w:rPr>
  </w:style>
  <w:style w:type="paragraph" w:styleId="4">
    <w:name w:val="Plain Text"/>
    <w:basedOn w:val="1"/>
    <w:link w:val="13"/>
    <w:qFormat/>
    <w:uiPriority w:val="0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0">
    <w:name w:val="page number"/>
    <w:basedOn w:val="9"/>
    <w:qFormat/>
    <w:uiPriority w:val="0"/>
  </w:style>
  <w:style w:type="paragraph" w:customStyle="1" w:styleId="11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2">
    <w:name w:val="正文文本缩进 Char"/>
    <w:link w:val="3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纯文本 Char"/>
    <w:link w:val="4"/>
    <w:qFormat/>
    <w:uiPriority w:val="0"/>
    <w:rPr>
      <w:rFonts w:ascii="宋体" w:hAnsi="Courier New"/>
    </w:rPr>
  </w:style>
  <w:style w:type="character" w:customStyle="1" w:styleId="14">
    <w:name w:val="纯文本 字符1"/>
    <w:semiHidden/>
    <w:qFormat/>
    <w:uiPriority w:val="99"/>
    <w:rPr>
      <w:rFonts w:ascii="等线" w:hAnsi="Courier New" w:cs="Courier New"/>
      <w:szCs w:val="24"/>
    </w:rPr>
  </w:style>
  <w:style w:type="character" w:customStyle="1" w:styleId="15">
    <w:name w:val="页眉 Char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页脚 Char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7">
    <w:name w:val="纯文本 Char1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345</Words>
  <Characters>1973</Characters>
  <Lines>16</Lines>
  <Paragraphs>4</Paragraphs>
  <TotalTime>0</TotalTime>
  <ScaleCrop>false</ScaleCrop>
  <LinksUpToDate>false</LinksUpToDate>
  <CharactersWithSpaces>2314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2023-03-29T16:55:00Z</dcterms:created>
  <dc:creator>范 文佳</dc:creator>
  <cp:lastModifiedBy>user</cp:lastModifiedBy>
  <dcterms:modified xsi:type="dcterms:W3CDTF">2023-06-20T09:14:36Z</dcterms:modified>
  <dc:title>2021年杭州市流通领域(网络)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32337CAE31154837A49563F1EB3715C1</vt:lpwstr>
  </property>
</Properties>
</file>