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left="420" w:hanging="420"/>
        <w:jc w:val="center"/>
        <w:rPr>
          <w:rFonts w:hint="eastAsia"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2023台州市食品相关产品金属制品</w:t>
      </w:r>
    </w:p>
    <w:p>
      <w:pPr>
        <w:widowControl/>
        <w:ind w:left="420" w:hanging="420"/>
        <w:jc w:val="center"/>
        <w:rPr>
          <w:rFonts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质量监督抽查实施细则</w:t>
      </w:r>
    </w:p>
    <w:p>
      <w:pPr>
        <w:numPr>
          <w:ilvl w:val="0"/>
          <w:numId w:val="1"/>
        </w:numPr>
        <w:adjustRightInd w:val="0"/>
        <w:snapToGrid w:val="0"/>
        <w:spacing w:line="360" w:lineRule="auto"/>
        <w:jc w:val="left"/>
        <w:rPr>
          <w:rFonts w:ascii="仿宋" w:hAnsi="仿宋" w:eastAsia="仿宋"/>
          <w:b/>
          <w:bCs/>
          <w:color w:val="000000"/>
          <w:sz w:val="24"/>
        </w:rPr>
      </w:pPr>
      <w:bookmarkStart w:id="0" w:name="_Hlk95300558"/>
      <w:r>
        <w:rPr>
          <w:rFonts w:hint="eastAsia" w:ascii="仿宋" w:hAnsi="仿宋" w:eastAsia="仿宋"/>
          <w:b/>
          <w:bCs/>
          <w:color w:val="000000"/>
          <w:sz w:val="24"/>
        </w:rPr>
        <w:t>适用范围</w:t>
      </w:r>
    </w:p>
    <w:p>
      <w:pPr>
        <w:adjustRightInd w:val="0"/>
        <w:snapToGrid w:val="0"/>
        <w:spacing w:line="360" w:lineRule="auto"/>
        <w:ind w:firstLine="495"/>
        <w:jc w:val="left"/>
        <w:rPr>
          <w:rFonts w:ascii="仿宋" w:hAnsi="仿宋" w:eastAsia="仿宋"/>
          <w:color w:val="000000"/>
          <w:sz w:val="24"/>
        </w:rPr>
      </w:pPr>
      <w:r>
        <w:rPr>
          <w:rFonts w:hint="eastAsia" w:ascii="仿宋" w:hAnsi="仿宋" w:eastAsia="仿宋"/>
          <w:color w:val="000000"/>
          <w:sz w:val="24"/>
        </w:rPr>
        <w:t>本实施细则适用于在台州市内食品相关产品金属制品质量的监督抽查。</w:t>
      </w:r>
    </w:p>
    <w:bookmarkEnd w:id="0"/>
    <w:p>
      <w:pPr>
        <w:adjustRightInd w:val="0"/>
        <w:snapToGrid w:val="0"/>
        <w:spacing w:line="360" w:lineRule="auto"/>
        <w:jc w:val="left"/>
        <w:rPr>
          <w:rFonts w:ascii="仿宋" w:hAnsi="仿宋" w:eastAsia="仿宋"/>
          <w:color w:val="000000"/>
          <w:sz w:val="24"/>
        </w:rPr>
      </w:pPr>
      <w:bookmarkStart w:id="1" w:name="_Hlk95300595"/>
      <w:r>
        <w:rPr>
          <w:rFonts w:hint="eastAsia" w:ascii="仿宋" w:hAnsi="仿宋" w:eastAsia="仿宋"/>
          <w:b/>
          <w:bCs/>
          <w:color w:val="000000"/>
          <w:sz w:val="24"/>
        </w:rPr>
        <w:t>二</w:t>
      </w:r>
      <w:r>
        <w:rPr>
          <w:rFonts w:hint="eastAsia" w:ascii="仿宋" w:hAnsi="仿宋" w:eastAsia="仿宋"/>
          <w:color w:val="000000"/>
          <w:sz w:val="24"/>
        </w:rPr>
        <w:t xml:space="preserve">、 </w:t>
      </w:r>
      <w:r>
        <w:rPr>
          <w:rFonts w:ascii="仿宋" w:hAnsi="仿宋" w:eastAsia="仿宋"/>
          <w:color w:val="000000"/>
          <w:sz w:val="24"/>
        </w:rPr>
        <w:t xml:space="preserve"> </w:t>
      </w:r>
      <w:r>
        <w:rPr>
          <w:rFonts w:hint="eastAsia" w:ascii="仿宋" w:hAnsi="仿宋" w:eastAsia="仿宋"/>
          <w:b/>
          <w:bCs/>
          <w:color w:val="000000"/>
          <w:sz w:val="24"/>
        </w:rPr>
        <w:t>检验</w:t>
      </w:r>
      <w:r>
        <w:rPr>
          <w:rFonts w:ascii="仿宋" w:hAnsi="仿宋" w:eastAsia="仿宋"/>
          <w:b/>
          <w:bCs/>
          <w:color w:val="000000"/>
          <w:sz w:val="24"/>
        </w:rPr>
        <w:t>依据</w:t>
      </w:r>
    </w:p>
    <w:bookmarkEnd w:id="1"/>
    <w:p>
      <w:pPr>
        <w:wordWrap w:val="0"/>
        <w:spacing w:line="360" w:lineRule="auto"/>
        <w:ind w:firstLine="480" w:firstLineChars="200"/>
        <w:rPr>
          <w:rFonts w:ascii="仿宋" w:hAnsi="仿宋" w:eastAsia="仿宋"/>
          <w:color w:val="000000"/>
          <w:sz w:val="24"/>
        </w:rPr>
      </w:pPr>
      <w:r>
        <w:rPr>
          <w:rFonts w:hint="eastAsia" w:ascii="仿宋" w:hAnsi="仿宋" w:eastAsia="仿宋"/>
          <w:color w:val="000000"/>
          <w:sz w:val="24"/>
        </w:rPr>
        <w:t>GB</w:t>
      </w:r>
      <w:r>
        <w:rPr>
          <w:rFonts w:ascii="仿宋" w:hAnsi="仿宋" w:eastAsia="仿宋"/>
          <w:color w:val="000000"/>
          <w:sz w:val="24"/>
        </w:rPr>
        <w:t xml:space="preserve"> 4806.</w:t>
      </w:r>
      <w:r>
        <w:rPr>
          <w:rFonts w:hint="eastAsia" w:ascii="仿宋" w:hAnsi="仿宋" w:eastAsia="仿宋"/>
          <w:color w:val="000000"/>
          <w:sz w:val="24"/>
        </w:rPr>
        <w:t>9-</w:t>
      </w:r>
      <w:r>
        <w:rPr>
          <w:rFonts w:ascii="仿宋" w:hAnsi="仿宋" w:eastAsia="仿宋"/>
          <w:color w:val="000000"/>
          <w:sz w:val="24"/>
        </w:rPr>
        <w:t>20</w:t>
      </w:r>
      <w:r>
        <w:rPr>
          <w:rFonts w:hint="eastAsia" w:ascii="仿宋" w:hAnsi="仿宋" w:eastAsia="仿宋"/>
          <w:color w:val="000000"/>
          <w:sz w:val="24"/>
        </w:rPr>
        <w:t>16</w:t>
      </w:r>
      <w:r>
        <w:rPr>
          <w:rFonts w:ascii="仿宋" w:hAnsi="仿宋" w:eastAsia="仿宋"/>
          <w:color w:val="000000"/>
          <w:sz w:val="24"/>
        </w:rPr>
        <w:t xml:space="preserve"> </w:t>
      </w:r>
      <w:r>
        <w:rPr>
          <w:rFonts w:hint="eastAsia" w:ascii="仿宋" w:hAnsi="仿宋" w:eastAsia="仿宋"/>
          <w:color w:val="000000"/>
          <w:sz w:val="24"/>
        </w:rPr>
        <w:t>食品安全国家标准 食品接触用金属材料及制品</w:t>
      </w:r>
    </w:p>
    <w:p>
      <w:pPr>
        <w:wordWrap w:val="0"/>
        <w:spacing w:line="360" w:lineRule="auto"/>
        <w:ind w:firstLine="480" w:firstLineChars="200"/>
        <w:rPr>
          <w:rFonts w:ascii="仿宋" w:hAnsi="仿宋" w:eastAsia="仿宋"/>
          <w:color w:val="000000"/>
          <w:sz w:val="24"/>
        </w:rPr>
      </w:pPr>
      <w:r>
        <w:rPr>
          <w:rFonts w:ascii="仿宋" w:hAnsi="仿宋" w:eastAsia="仿宋"/>
          <w:color w:val="000000"/>
          <w:sz w:val="24"/>
        </w:rPr>
        <w:t>产品明示质量指标及国家法律、法规、规章的有关规定</w:t>
      </w:r>
    </w:p>
    <w:p>
      <w:pPr>
        <w:wordWrap w:val="0"/>
        <w:spacing w:line="360" w:lineRule="auto"/>
        <w:ind w:firstLine="480" w:firstLineChars="200"/>
        <w:rPr>
          <w:rFonts w:ascii="仿宋" w:hAnsi="仿宋" w:eastAsia="仿宋"/>
          <w:color w:val="000000"/>
          <w:sz w:val="24"/>
        </w:rPr>
      </w:pPr>
      <w:r>
        <w:rPr>
          <w:rFonts w:ascii="仿宋" w:hAnsi="仿宋" w:eastAsia="仿宋"/>
          <w:color w:val="000000"/>
          <w:sz w:val="24"/>
        </w:rPr>
        <w:t>现行有效的</w:t>
      </w:r>
      <w:r>
        <w:rPr>
          <w:rFonts w:hint="eastAsia" w:ascii="仿宋" w:hAnsi="仿宋" w:eastAsia="仿宋"/>
          <w:color w:val="000000"/>
          <w:sz w:val="24"/>
        </w:rPr>
        <w:t>其他</w:t>
      </w:r>
      <w:r>
        <w:rPr>
          <w:rFonts w:ascii="仿宋" w:hAnsi="仿宋" w:eastAsia="仿宋"/>
          <w:color w:val="000000"/>
          <w:sz w:val="24"/>
        </w:rPr>
        <w:t>标准及产品明示质量要求</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三、 </w:t>
      </w:r>
      <w:r>
        <w:rPr>
          <w:rFonts w:ascii="仿宋" w:hAnsi="仿宋" w:eastAsia="仿宋"/>
          <w:b/>
          <w:bCs/>
          <w:color w:val="000000"/>
          <w:sz w:val="24"/>
        </w:rPr>
        <w:t xml:space="preserve"> 抽样方法</w:t>
      </w:r>
    </w:p>
    <w:p>
      <w:pPr>
        <w:pStyle w:val="4"/>
        <w:adjustRightInd w:val="0"/>
        <w:snapToGrid w:val="0"/>
        <w:spacing w:line="360" w:lineRule="auto"/>
        <w:ind w:firstLine="480" w:firstLineChars="200"/>
        <w:jc w:val="left"/>
        <w:rPr>
          <w:rFonts w:ascii="仿宋" w:hAnsi="仿宋" w:eastAsia="仿宋"/>
          <w:color w:val="000000"/>
          <w:kern w:val="2"/>
          <w:sz w:val="24"/>
          <w:szCs w:val="24"/>
        </w:rPr>
      </w:pPr>
      <w:r>
        <w:rPr>
          <w:rFonts w:hint="eastAsia" w:ascii="仿宋" w:hAnsi="仿宋" w:eastAsia="仿宋"/>
          <w:color w:val="000000"/>
          <w:kern w:val="2"/>
          <w:sz w:val="24"/>
          <w:szCs w:val="24"/>
        </w:rPr>
        <w:t>以随机抽样的方式在被抽样生产者、销售者的待销产品中抽取。</w:t>
      </w:r>
    </w:p>
    <w:p>
      <w:pPr>
        <w:pStyle w:val="4"/>
        <w:adjustRightInd w:val="0"/>
        <w:snapToGrid w:val="0"/>
        <w:spacing w:line="360" w:lineRule="auto"/>
        <w:ind w:firstLine="480" w:firstLineChars="200"/>
        <w:jc w:val="left"/>
        <w:rPr>
          <w:rFonts w:ascii="仿宋" w:hAnsi="仿宋" w:eastAsia="仿宋"/>
          <w:color w:val="000000"/>
          <w:kern w:val="2"/>
          <w:sz w:val="24"/>
          <w:szCs w:val="24"/>
        </w:rPr>
      </w:pPr>
      <w:r>
        <w:rPr>
          <w:rFonts w:hint="eastAsia" w:ascii="仿宋" w:hAnsi="仿宋" w:eastAsia="仿宋"/>
          <w:color w:val="000000"/>
          <w:kern w:val="2"/>
          <w:sz w:val="24"/>
          <w:szCs w:val="24"/>
        </w:rPr>
        <w:t>随机数一般可使用随机数表等方法产生。</w:t>
      </w:r>
    </w:p>
    <w:p>
      <w:pPr>
        <w:pStyle w:val="4"/>
        <w:adjustRightInd w:val="0"/>
        <w:snapToGrid w:val="0"/>
        <w:spacing w:line="360" w:lineRule="auto"/>
        <w:ind w:firstLine="480" w:firstLineChars="200"/>
        <w:jc w:val="left"/>
        <w:rPr>
          <w:rFonts w:hint="eastAsia" w:ascii="仿宋" w:hAnsi="仿宋" w:eastAsia="仿宋"/>
          <w:color w:val="000000"/>
          <w:kern w:val="2"/>
          <w:sz w:val="24"/>
          <w:szCs w:val="24"/>
        </w:rPr>
      </w:pPr>
      <w:r>
        <w:rPr>
          <w:rFonts w:ascii="仿宋" w:hAnsi="仿宋" w:eastAsia="仿宋"/>
          <w:color w:val="000000"/>
          <w:kern w:val="2"/>
          <w:sz w:val="24"/>
          <w:szCs w:val="24"/>
        </w:rPr>
        <w:t>每批次产品</w:t>
      </w:r>
      <w:r>
        <w:rPr>
          <w:rFonts w:hint="eastAsia" w:ascii="仿宋" w:hAnsi="仿宋" w:eastAsia="仿宋"/>
          <w:color w:val="000000"/>
          <w:kern w:val="2"/>
          <w:sz w:val="24"/>
          <w:szCs w:val="24"/>
        </w:rPr>
        <w:t>抽取样品4个，其中2个为检验样品， 2个为备用样品。</w:t>
      </w:r>
    </w:p>
    <w:p>
      <w:pPr>
        <w:pStyle w:val="4"/>
        <w:adjustRightInd w:val="0"/>
        <w:snapToGrid w:val="0"/>
        <w:spacing w:line="360" w:lineRule="auto"/>
        <w:ind w:firstLine="480" w:firstLineChars="200"/>
        <w:jc w:val="left"/>
        <w:rPr>
          <w:rFonts w:ascii="仿宋" w:hAnsi="仿宋" w:eastAsia="仿宋"/>
          <w:color w:val="000000"/>
          <w:kern w:val="2"/>
          <w:sz w:val="24"/>
          <w:szCs w:val="24"/>
        </w:rPr>
      </w:pPr>
      <w:r>
        <w:rPr>
          <w:rFonts w:hint="eastAsia" w:ascii="仿宋" w:hAnsi="仿宋" w:eastAsia="仿宋"/>
          <w:color w:val="000000"/>
          <w:kern w:val="2"/>
          <w:sz w:val="24"/>
          <w:szCs w:val="24"/>
        </w:rPr>
        <w:t>在满足检验要求的前提下，可以根据产品包装、大小等实际情况对抽样数量做适当的调整。</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四、 </w:t>
      </w:r>
      <w:r>
        <w:rPr>
          <w:rFonts w:ascii="仿宋" w:hAnsi="仿宋" w:eastAsia="仿宋"/>
          <w:b/>
          <w:bCs/>
          <w:color w:val="000000"/>
          <w:sz w:val="24"/>
        </w:rPr>
        <w:t>检验</w:t>
      </w:r>
      <w:r>
        <w:rPr>
          <w:rFonts w:hint="eastAsia" w:ascii="仿宋" w:hAnsi="仿宋" w:eastAsia="仿宋"/>
          <w:b/>
          <w:bCs/>
          <w:color w:val="000000"/>
          <w:sz w:val="24"/>
        </w:rPr>
        <w:t>项目</w:t>
      </w:r>
    </w:p>
    <w:p>
      <w:pPr>
        <w:wordWrap w:val="0"/>
        <w:spacing w:line="360" w:lineRule="auto"/>
        <w:rPr>
          <w:rFonts w:ascii="仿宋" w:hAnsi="仿宋" w:eastAsia="仿宋"/>
          <w:color w:val="000000"/>
          <w:sz w:val="24"/>
        </w:rPr>
      </w:pPr>
      <w:r>
        <w:rPr>
          <w:rFonts w:hint="eastAsia" w:ascii="仿宋" w:hAnsi="仿宋" w:eastAsia="仿宋"/>
          <w:color w:val="000000"/>
          <w:sz w:val="24"/>
        </w:rPr>
        <w:t>检验项目如下表：</w:t>
      </w:r>
    </w:p>
    <w:tbl>
      <w:tblPr>
        <w:tblStyle w:val="8"/>
        <w:tblW w:w="88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266"/>
        <w:gridCol w:w="1559"/>
        <w:gridCol w:w="2268"/>
        <w:gridCol w:w="1333"/>
        <w:gridCol w:w="850"/>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序号</w:t>
            </w:r>
          </w:p>
        </w:tc>
        <w:tc>
          <w:tcPr>
            <w:tcW w:w="2825" w:type="dxa"/>
            <w:gridSpan w:val="2"/>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检验项目</w:t>
            </w:r>
          </w:p>
        </w:tc>
        <w:tc>
          <w:tcPr>
            <w:tcW w:w="2268"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标准条款</w:t>
            </w:r>
          </w:p>
        </w:tc>
        <w:tc>
          <w:tcPr>
            <w:tcW w:w="1333"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项目设定</w:t>
            </w:r>
          </w:p>
        </w:tc>
        <w:tc>
          <w:tcPr>
            <w:tcW w:w="850"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复检用样品</w:t>
            </w:r>
          </w:p>
        </w:tc>
        <w:tc>
          <w:tcPr>
            <w:tcW w:w="992"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jc w:val="center"/>
              <w:rPr>
                <w:rFonts w:hAnsi="宋体" w:eastAsia="等线" w:cs="黑体"/>
                <w:kern w:val="2"/>
                <w:sz w:val="21"/>
                <w:szCs w:val="21"/>
              </w:rPr>
            </w:pPr>
            <w:r>
              <w:rPr>
                <w:rFonts w:hint="eastAsia" w:hAnsi="宋体" w:eastAsia="等线" w:cs="黑体"/>
                <w:kern w:val="2"/>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center"/>
              <w:rPr>
                <w:szCs w:val="21"/>
              </w:rPr>
            </w:pPr>
            <w:r>
              <w:rPr>
                <w:kern w:val="0"/>
                <w:szCs w:val="21"/>
              </w:rPr>
              <w:t>1</w:t>
            </w:r>
          </w:p>
        </w:tc>
        <w:tc>
          <w:tcPr>
            <w:tcW w:w="28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0"/>
                <w:szCs w:val="20"/>
              </w:rPr>
            </w:pPr>
            <w:r>
              <w:rPr>
                <w:rFonts w:hint="eastAsia" w:ascii="宋体" w:hAnsi="宋体"/>
                <w:color w:val="000000"/>
                <w:szCs w:val="21"/>
              </w:rPr>
              <w:t>感官要求</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w:t>
            </w:r>
            <w:r>
              <w:rPr>
                <w:rFonts w:hint="eastAsia"/>
                <w:szCs w:val="21"/>
              </w:rPr>
              <w:t>9-</w:t>
            </w:r>
            <w:r>
              <w:rPr>
                <w:szCs w:val="21"/>
              </w:rPr>
              <w:t>20</w:t>
            </w:r>
            <w:r>
              <w:rPr>
                <w:rFonts w:hint="eastAsia"/>
                <w:szCs w:val="21"/>
              </w:rPr>
              <w:t>16</w:t>
            </w:r>
            <w:r>
              <w:rPr>
                <w:szCs w:val="21"/>
              </w:rPr>
              <w:t xml:space="preserve"> </w:t>
            </w:r>
            <w:r>
              <w:rPr>
                <w:rFonts w:hint="eastAsia"/>
                <w:szCs w:val="21"/>
              </w:rPr>
              <w:t>4.2</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vMerge w:val="restart"/>
            <w:tcBorders>
              <w:top w:val="single" w:color="auto" w:sz="4" w:space="0"/>
              <w:left w:val="single" w:color="auto" w:sz="4" w:space="0"/>
              <w:right w:val="single" w:color="auto" w:sz="4" w:space="0"/>
            </w:tcBorders>
            <w:vAlign w:val="center"/>
          </w:tcPr>
          <w:p>
            <w:pPr>
              <w:adjustRightInd w:val="0"/>
              <w:snapToGrid w:val="0"/>
              <w:jc w:val="center"/>
              <w:textAlignment w:val="center"/>
              <w:rPr>
                <w:szCs w:val="21"/>
              </w:rPr>
            </w:pPr>
            <w:r>
              <w:rPr>
                <w:kern w:val="0"/>
                <w:szCs w:val="21"/>
              </w:rPr>
              <w:t>2</w:t>
            </w:r>
          </w:p>
        </w:tc>
        <w:tc>
          <w:tcPr>
            <w:tcW w:w="1266" w:type="dxa"/>
            <w:vMerge w:val="restart"/>
            <w:tcBorders>
              <w:top w:val="single" w:color="auto" w:sz="4" w:space="0"/>
              <w:left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不锈钢的迁移物</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0"/>
                <w:szCs w:val="20"/>
              </w:rPr>
            </w:pPr>
            <w:r>
              <w:rPr>
                <w:rFonts w:hint="eastAsia" w:ascii="宋体" w:hAnsi="宋体"/>
                <w:color w:val="000000"/>
                <w:szCs w:val="21"/>
              </w:rPr>
              <w:t>砷</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w:t>
            </w:r>
            <w:r>
              <w:rPr>
                <w:rFonts w:hint="eastAsia"/>
                <w:szCs w:val="21"/>
              </w:rPr>
              <w:t>9-</w:t>
            </w:r>
            <w:r>
              <w:rPr>
                <w:szCs w:val="21"/>
              </w:rPr>
              <w:t>20</w:t>
            </w:r>
            <w:r>
              <w:rPr>
                <w:rFonts w:hint="eastAsia"/>
                <w:szCs w:val="21"/>
              </w:rPr>
              <w:t>16</w:t>
            </w:r>
            <w:r>
              <w:rPr>
                <w:szCs w:val="21"/>
              </w:rPr>
              <w:t xml:space="preserve"> </w:t>
            </w:r>
            <w:r>
              <w:rPr>
                <w:rFonts w:hint="eastAsia"/>
                <w:szCs w:val="21"/>
              </w:rPr>
              <w:t>4.3.1</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vMerge w:val="continue"/>
            <w:tcBorders>
              <w:left w:val="single" w:color="auto" w:sz="4" w:space="0"/>
              <w:right w:val="single" w:color="auto" w:sz="4" w:space="0"/>
            </w:tcBorders>
            <w:vAlign w:val="center"/>
          </w:tcPr>
          <w:p>
            <w:pPr>
              <w:adjustRightInd w:val="0"/>
              <w:snapToGrid w:val="0"/>
              <w:jc w:val="center"/>
              <w:textAlignment w:val="center"/>
              <w:rPr>
                <w:kern w:val="0"/>
                <w:szCs w:val="21"/>
              </w:rPr>
            </w:pPr>
          </w:p>
        </w:tc>
        <w:tc>
          <w:tcPr>
            <w:tcW w:w="1266" w:type="dxa"/>
            <w:vMerge w:val="continue"/>
            <w:tcBorders>
              <w:left w:val="single" w:color="auto" w:sz="4" w:space="0"/>
              <w:right w:val="single" w:color="auto" w:sz="4" w:space="0"/>
            </w:tcBorders>
            <w:vAlign w:val="center"/>
          </w:tcPr>
          <w:p>
            <w:pPr>
              <w:jc w:val="center"/>
              <w:rPr>
                <w:rFonts w:ascii="宋体" w:hAnsi="宋体"/>
                <w:color w:val="00000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镉</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w:t>
            </w:r>
            <w:r>
              <w:rPr>
                <w:rFonts w:hint="eastAsia"/>
                <w:szCs w:val="21"/>
              </w:rPr>
              <w:t>9-</w:t>
            </w:r>
            <w:r>
              <w:rPr>
                <w:szCs w:val="21"/>
              </w:rPr>
              <w:t>20</w:t>
            </w:r>
            <w:r>
              <w:rPr>
                <w:rFonts w:hint="eastAsia"/>
                <w:szCs w:val="21"/>
              </w:rPr>
              <w:t>16</w:t>
            </w:r>
            <w:r>
              <w:rPr>
                <w:szCs w:val="21"/>
              </w:rPr>
              <w:t xml:space="preserve"> </w:t>
            </w:r>
            <w:r>
              <w:rPr>
                <w:rFonts w:hint="eastAsia"/>
                <w:szCs w:val="21"/>
              </w:rPr>
              <w:t>4.3.1</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vMerge w:val="continue"/>
            <w:tcBorders>
              <w:left w:val="single" w:color="auto" w:sz="4" w:space="0"/>
              <w:right w:val="single" w:color="auto" w:sz="4" w:space="0"/>
            </w:tcBorders>
            <w:vAlign w:val="center"/>
          </w:tcPr>
          <w:p>
            <w:pPr>
              <w:adjustRightInd w:val="0"/>
              <w:snapToGrid w:val="0"/>
              <w:jc w:val="center"/>
              <w:textAlignment w:val="center"/>
              <w:rPr>
                <w:kern w:val="0"/>
                <w:szCs w:val="21"/>
              </w:rPr>
            </w:pPr>
          </w:p>
        </w:tc>
        <w:tc>
          <w:tcPr>
            <w:tcW w:w="1266" w:type="dxa"/>
            <w:vMerge w:val="continue"/>
            <w:tcBorders>
              <w:left w:val="single" w:color="auto" w:sz="4" w:space="0"/>
              <w:right w:val="single" w:color="auto" w:sz="4" w:space="0"/>
            </w:tcBorders>
            <w:vAlign w:val="center"/>
          </w:tcPr>
          <w:p>
            <w:pPr>
              <w:jc w:val="center"/>
              <w:rPr>
                <w:rFonts w:ascii="宋体" w:hAnsi="宋体"/>
                <w:color w:val="00000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铅</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w:t>
            </w:r>
            <w:r>
              <w:rPr>
                <w:rFonts w:hint="eastAsia"/>
                <w:szCs w:val="21"/>
              </w:rPr>
              <w:t>9-</w:t>
            </w:r>
            <w:r>
              <w:rPr>
                <w:szCs w:val="21"/>
              </w:rPr>
              <w:t>20</w:t>
            </w:r>
            <w:r>
              <w:rPr>
                <w:rFonts w:hint="eastAsia"/>
                <w:szCs w:val="21"/>
              </w:rPr>
              <w:t>16</w:t>
            </w:r>
            <w:r>
              <w:rPr>
                <w:szCs w:val="21"/>
              </w:rPr>
              <w:t xml:space="preserve"> </w:t>
            </w:r>
            <w:r>
              <w:rPr>
                <w:rFonts w:hint="eastAsia"/>
                <w:szCs w:val="21"/>
              </w:rPr>
              <w:t>4.3.1</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vMerge w:val="continue"/>
            <w:tcBorders>
              <w:left w:val="single" w:color="auto" w:sz="4" w:space="0"/>
              <w:right w:val="single" w:color="auto" w:sz="4" w:space="0"/>
            </w:tcBorders>
            <w:vAlign w:val="center"/>
          </w:tcPr>
          <w:p>
            <w:pPr>
              <w:adjustRightInd w:val="0"/>
              <w:snapToGrid w:val="0"/>
              <w:jc w:val="center"/>
              <w:textAlignment w:val="center"/>
              <w:rPr>
                <w:kern w:val="0"/>
                <w:szCs w:val="21"/>
              </w:rPr>
            </w:pPr>
          </w:p>
        </w:tc>
        <w:tc>
          <w:tcPr>
            <w:tcW w:w="1266" w:type="dxa"/>
            <w:vMerge w:val="continue"/>
            <w:tcBorders>
              <w:left w:val="single" w:color="auto" w:sz="4" w:space="0"/>
              <w:right w:val="single" w:color="auto" w:sz="4" w:space="0"/>
            </w:tcBorders>
            <w:vAlign w:val="center"/>
          </w:tcPr>
          <w:p>
            <w:pPr>
              <w:jc w:val="center"/>
              <w:rPr>
                <w:rFonts w:ascii="宋体" w:hAnsi="宋体"/>
                <w:color w:val="00000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铬</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w:t>
            </w:r>
            <w:r>
              <w:rPr>
                <w:rFonts w:hint="eastAsia"/>
                <w:szCs w:val="21"/>
              </w:rPr>
              <w:t>9-</w:t>
            </w:r>
            <w:r>
              <w:rPr>
                <w:szCs w:val="21"/>
              </w:rPr>
              <w:t>20</w:t>
            </w:r>
            <w:r>
              <w:rPr>
                <w:rFonts w:hint="eastAsia"/>
                <w:szCs w:val="21"/>
              </w:rPr>
              <w:t>16</w:t>
            </w:r>
            <w:r>
              <w:rPr>
                <w:szCs w:val="21"/>
              </w:rPr>
              <w:t xml:space="preserve"> </w:t>
            </w:r>
            <w:r>
              <w:rPr>
                <w:rFonts w:hint="eastAsia"/>
                <w:szCs w:val="21"/>
              </w:rPr>
              <w:t>4.3.1</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vMerge w:val="continue"/>
            <w:tcBorders>
              <w:left w:val="single" w:color="auto" w:sz="4" w:space="0"/>
              <w:bottom w:val="single" w:color="auto" w:sz="4" w:space="0"/>
              <w:right w:val="single" w:color="auto" w:sz="4" w:space="0"/>
            </w:tcBorders>
            <w:vAlign w:val="center"/>
          </w:tcPr>
          <w:p>
            <w:pPr>
              <w:adjustRightInd w:val="0"/>
              <w:snapToGrid w:val="0"/>
              <w:jc w:val="center"/>
              <w:textAlignment w:val="center"/>
              <w:rPr>
                <w:kern w:val="0"/>
                <w:szCs w:val="21"/>
              </w:rPr>
            </w:pPr>
          </w:p>
        </w:tc>
        <w:tc>
          <w:tcPr>
            <w:tcW w:w="1266" w:type="dxa"/>
            <w:vMerge w:val="continue"/>
            <w:tcBorders>
              <w:left w:val="single" w:color="auto" w:sz="4" w:space="0"/>
              <w:bottom w:val="single" w:color="auto" w:sz="4" w:space="0"/>
              <w:right w:val="single" w:color="auto" w:sz="4" w:space="0"/>
            </w:tcBorders>
            <w:vAlign w:val="center"/>
          </w:tcPr>
          <w:p>
            <w:pPr>
              <w:jc w:val="center"/>
              <w:rPr>
                <w:rFonts w:ascii="宋体" w:hAnsi="宋体"/>
                <w:color w:val="00000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镍</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w:t>
            </w:r>
            <w:r>
              <w:rPr>
                <w:rFonts w:hint="eastAsia"/>
                <w:szCs w:val="21"/>
              </w:rPr>
              <w:t>9-</w:t>
            </w:r>
            <w:r>
              <w:rPr>
                <w:szCs w:val="21"/>
              </w:rPr>
              <w:t>20</w:t>
            </w:r>
            <w:r>
              <w:rPr>
                <w:rFonts w:hint="eastAsia"/>
                <w:szCs w:val="21"/>
              </w:rPr>
              <w:t>16</w:t>
            </w:r>
            <w:r>
              <w:rPr>
                <w:szCs w:val="21"/>
              </w:rPr>
              <w:t xml:space="preserve"> </w:t>
            </w:r>
            <w:r>
              <w:rPr>
                <w:rFonts w:hint="eastAsia"/>
                <w:szCs w:val="21"/>
              </w:rPr>
              <w:t>4.3.1</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vMerge w:val="restart"/>
            <w:tcBorders>
              <w:top w:val="single" w:color="auto" w:sz="4" w:space="0"/>
              <w:left w:val="single" w:color="auto" w:sz="4" w:space="0"/>
              <w:right w:val="single" w:color="auto" w:sz="4" w:space="0"/>
            </w:tcBorders>
            <w:vAlign w:val="center"/>
          </w:tcPr>
          <w:p>
            <w:pPr>
              <w:snapToGrid w:val="0"/>
              <w:spacing w:line="440" w:lineRule="exact"/>
              <w:jc w:val="center"/>
              <w:rPr>
                <w:kern w:val="0"/>
                <w:szCs w:val="21"/>
              </w:rPr>
            </w:pPr>
            <w:r>
              <w:rPr>
                <w:rFonts w:hint="eastAsia"/>
                <w:color w:val="000000"/>
                <w:szCs w:val="21"/>
              </w:rPr>
              <w:t>3</w:t>
            </w:r>
          </w:p>
        </w:tc>
        <w:tc>
          <w:tcPr>
            <w:tcW w:w="1266" w:type="dxa"/>
            <w:vMerge w:val="restart"/>
            <w:tcBorders>
              <w:top w:val="single" w:color="auto" w:sz="4" w:space="0"/>
              <w:left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其他金属材料及制品的迁移物</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 w:val="20"/>
                <w:szCs w:val="20"/>
              </w:rPr>
            </w:pPr>
            <w:r>
              <w:rPr>
                <w:rFonts w:hint="eastAsia" w:ascii="宋体" w:hAnsi="宋体"/>
                <w:color w:val="000000"/>
                <w:szCs w:val="21"/>
              </w:rPr>
              <w:t>砷</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w:t>
            </w:r>
            <w:r>
              <w:rPr>
                <w:rFonts w:hint="eastAsia"/>
                <w:szCs w:val="21"/>
              </w:rPr>
              <w:t>9-</w:t>
            </w:r>
            <w:r>
              <w:rPr>
                <w:szCs w:val="21"/>
              </w:rPr>
              <w:t>20</w:t>
            </w:r>
            <w:r>
              <w:rPr>
                <w:rFonts w:hint="eastAsia"/>
                <w:szCs w:val="21"/>
              </w:rPr>
              <w:t>16</w:t>
            </w:r>
            <w:r>
              <w:rPr>
                <w:szCs w:val="21"/>
              </w:rPr>
              <w:t xml:space="preserve"> </w:t>
            </w:r>
            <w:r>
              <w:rPr>
                <w:rFonts w:hint="eastAsia"/>
                <w:szCs w:val="21"/>
              </w:rPr>
              <w:t>4.3.2</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vMerge w:val="continue"/>
            <w:tcBorders>
              <w:left w:val="single" w:color="auto" w:sz="4" w:space="0"/>
              <w:right w:val="single" w:color="auto" w:sz="4" w:space="0"/>
            </w:tcBorders>
            <w:vAlign w:val="center"/>
          </w:tcPr>
          <w:p>
            <w:pPr>
              <w:snapToGrid w:val="0"/>
              <w:spacing w:line="440" w:lineRule="exact"/>
              <w:jc w:val="center"/>
              <w:rPr>
                <w:kern w:val="0"/>
                <w:szCs w:val="21"/>
              </w:rPr>
            </w:pPr>
          </w:p>
        </w:tc>
        <w:tc>
          <w:tcPr>
            <w:tcW w:w="1266" w:type="dxa"/>
            <w:vMerge w:val="continue"/>
            <w:tcBorders>
              <w:left w:val="single" w:color="auto" w:sz="4" w:space="0"/>
              <w:right w:val="single" w:color="auto" w:sz="4" w:space="0"/>
            </w:tcBorders>
            <w:vAlign w:val="center"/>
          </w:tcPr>
          <w:p>
            <w:pPr>
              <w:jc w:val="center"/>
              <w:rPr>
                <w:rFonts w:ascii="宋体" w:hAnsi="宋体"/>
                <w:color w:val="000000"/>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镉</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w:t>
            </w:r>
            <w:r>
              <w:rPr>
                <w:rFonts w:hint="eastAsia"/>
                <w:szCs w:val="21"/>
              </w:rPr>
              <w:t>9-</w:t>
            </w:r>
            <w:r>
              <w:rPr>
                <w:szCs w:val="21"/>
              </w:rPr>
              <w:t>20</w:t>
            </w:r>
            <w:r>
              <w:rPr>
                <w:rFonts w:hint="eastAsia"/>
                <w:szCs w:val="21"/>
              </w:rPr>
              <w:t>16</w:t>
            </w:r>
            <w:r>
              <w:rPr>
                <w:szCs w:val="21"/>
              </w:rPr>
              <w:t xml:space="preserve"> </w:t>
            </w:r>
            <w:r>
              <w:rPr>
                <w:rFonts w:hint="eastAsia"/>
                <w:szCs w:val="21"/>
              </w:rPr>
              <w:t>4.3.2</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51" w:type="dxa"/>
            <w:vMerge w:val="continue"/>
            <w:tcBorders>
              <w:left w:val="single" w:color="auto" w:sz="4" w:space="0"/>
              <w:bottom w:val="single" w:color="auto" w:sz="4" w:space="0"/>
              <w:right w:val="single" w:color="auto" w:sz="4" w:space="0"/>
            </w:tcBorders>
            <w:vAlign w:val="center"/>
          </w:tcPr>
          <w:p>
            <w:pPr>
              <w:snapToGrid w:val="0"/>
              <w:spacing w:line="440" w:lineRule="exact"/>
              <w:jc w:val="center"/>
              <w:rPr>
                <w:color w:val="000000"/>
                <w:szCs w:val="21"/>
              </w:rPr>
            </w:pPr>
          </w:p>
        </w:tc>
        <w:tc>
          <w:tcPr>
            <w:tcW w:w="1266" w:type="dxa"/>
            <w:vMerge w:val="continue"/>
            <w:tcBorders>
              <w:left w:val="single" w:color="auto" w:sz="4" w:space="0"/>
              <w:bottom w:val="single" w:color="auto" w:sz="4" w:space="0"/>
              <w:right w:val="single" w:color="auto" w:sz="4" w:space="0"/>
            </w:tcBorders>
            <w:vAlign w:val="center"/>
          </w:tcPr>
          <w:p>
            <w:pPr>
              <w:jc w:val="center"/>
              <w:rPr>
                <w:rFonts w:ascii="宋体" w:hAnsi="宋体" w:cs="宋体"/>
                <w:color w:val="000000"/>
                <w:sz w:val="20"/>
                <w:szCs w:val="20"/>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铅</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GB</w:t>
            </w:r>
            <w:r>
              <w:rPr>
                <w:szCs w:val="21"/>
              </w:rPr>
              <w:t xml:space="preserve"> 4806.</w:t>
            </w:r>
            <w:r>
              <w:rPr>
                <w:rFonts w:hint="eastAsia"/>
                <w:szCs w:val="21"/>
              </w:rPr>
              <w:t>9-</w:t>
            </w:r>
            <w:r>
              <w:rPr>
                <w:szCs w:val="21"/>
              </w:rPr>
              <w:t>20</w:t>
            </w:r>
            <w:r>
              <w:rPr>
                <w:rFonts w:hint="eastAsia"/>
                <w:szCs w:val="21"/>
              </w:rPr>
              <w:t>16</w:t>
            </w:r>
            <w:r>
              <w:rPr>
                <w:szCs w:val="21"/>
              </w:rPr>
              <w:t xml:space="preserve"> </w:t>
            </w:r>
            <w:r>
              <w:rPr>
                <w:rFonts w:hint="eastAsia"/>
                <w:szCs w:val="21"/>
              </w:rPr>
              <w:t>4.3.2</w:t>
            </w:r>
          </w:p>
        </w:tc>
        <w:tc>
          <w:tcPr>
            <w:tcW w:w="133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szCs w:val="21"/>
              </w:rPr>
              <w:t>强制性条款</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备样</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w:t>
            </w:r>
          </w:p>
        </w:tc>
      </w:tr>
    </w:tbl>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五、 </w:t>
      </w:r>
      <w:r>
        <w:rPr>
          <w:rFonts w:ascii="仿宋" w:hAnsi="仿宋" w:eastAsia="仿宋"/>
          <w:b/>
          <w:bCs/>
          <w:color w:val="000000"/>
          <w:sz w:val="24"/>
        </w:rPr>
        <w:t>判定规则</w:t>
      </w:r>
    </w:p>
    <w:p>
      <w:pPr>
        <w:adjustRightInd w:val="0"/>
        <w:snapToGrid w:val="0"/>
        <w:spacing w:line="360" w:lineRule="auto"/>
        <w:ind w:firstLine="360" w:firstLineChars="150"/>
        <w:jc w:val="left"/>
        <w:rPr>
          <w:rFonts w:ascii="仿宋" w:hAnsi="仿宋" w:eastAsia="仿宋"/>
          <w:color w:val="000000"/>
          <w:sz w:val="24"/>
        </w:rPr>
      </w:pPr>
      <w:r>
        <w:rPr>
          <w:rFonts w:hint="eastAsia" w:ascii="仿宋" w:hAnsi="仿宋" w:eastAsia="仿宋"/>
          <w:color w:val="000000"/>
          <w:sz w:val="24"/>
        </w:rPr>
        <w:t>（一）判定总则</w:t>
      </w:r>
    </w:p>
    <w:p>
      <w:pPr>
        <w:spacing w:line="360" w:lineRule="auto"/>
        <w:ind w:firstLine="480" w:firstLineChars="200"/>
        <w:rPr>
          <w:rFonts w:ascii="仿宋" w:hAnsi="仿宋" w:eastAsia="仿宋"/>
          <w:color w:val="000000"/>
          <w:sz w:val="24"/>
        </w:rPr>
      </w:pPr>
      <w:r>
        <w:rPr>
          <w:rFonts w:hint="eastAsia" w:ascii="仿宋" w:hAnsi="仿宋" w:eastAsia="仿宋"/>
          <w:color w:val="000000"/>
          <w:sz w:val="24"/>
        </w:rPr>
        <w:t>1.当产品的国家、行业、地方强制性标准（含国家、行业、地方推荐性标准中的强制性条款）和执行的企业标准（含明示质量指标）各技术要求不一致时，应按其中最严要求进行质量判定。</w:t>
      </w:r>
    </w:p>
    <w:p>
      <w:pPr>
        <w:spacing w:line="360" w:lineRule="auto"/>
        <w:ind w:firstLine="480" w:firstLineChars="200"/>
        <w:rPr>
          <w:rFonts w:ascii="仿宋" w:hAnsi="仿宋" w:eastAsia="仿宋"/>
          <w:color w:val="000000"/>
          <w:sz w:val="24"/>
        </w:rPr>
      </w:pPr>
      <w:r>
        <w:rPr>
          <w:rFonts w:hint="eastAsia" w:ascii="仿宋" w:hAnsi="仿宋" w:eastAsia="仿宋"/>
          <w:color w:val="000000"/>
          <w:sz w:val="24"/>
        </w:rPr>
        <w:t>2.当产品执行国家、行业、地方标准时,按国家、行业、地方标准要求进行质量判定。</w:t>
      </w:r>
    </w:p>
    <w:p>
      <w:pPr>
        <w:pStyle w:val="4"/>
        <w:adjustRightInd w:val="0"/>
        <w:snapToGrid w:val="0"/>
        <w:spacing w:line="360" w:lineRule="auto"/>
        <w:ind w:firstLine="420"/>
        <w:jc w:val="left"/>
        <w:rPr>
          <w:rFonts w:ascii="仿宋" w:hAnsi="仿宋" w:eastAsia="仿宋"/>
          <w:color w:val="000000"/>
          <w:sz w:val="24"/>
          <w:szCs w:val="24"/>
        </w:rPr>
      </w:pPr>
      <w:r>
        <w:rPr>
          <w:rFonts w:hint="eastAsia" w:ascii="仿宋" w:hAnsi="仿宋" w:eastAsia="仿宋"/>
          <w:color w:val="000000"/>
          <w:sz w:val="24"/>
          <w:szCs w:val="24"/>
        </w:rPr>
        <w:t>3.当产品执行企业标准（含明示质量指标）时，按其企业标准要求进行质量判定，但如主要项目技术要求低于国家、行业、推荐性标准要求（含国家、行业、地方强制性标准中的推荐性条款）时，应在检验报告中注明主要项目的实测值和标准值。</w:t>
      </w:r>
    </w:p>
    <w:p>
      <w:pPr>
        <w:pStyle w:val="4"/>
        <w:adjustRightInd w:val="0"/>
        <w:snapToGrid w:val="0"/>
        <w:spacing w:line="360" w:lineRule="auto"/>
        <w:rPr>
          <w:rFonts w:ascii="仿宋" w:hAnsi="仿宋" w:eastAsia="仿宋"/>
          <w:color w:val="000000"/>
          <w:sz w:val="24"/>
          <w:szCs w:val="24"/>
        </w:rPr>
      </w:pPr>
      <w:r>
        <w:rPr>
          <w:rFonts w:hint="eastAsia" w:ascii="仿宋" w:hAnsi="仿宋" w:eastAsia="仿宋"/>
          <w:color w:val="000000"/>
          <w:sz w:val="24"/>
          <w:szCs w:val="24"/>
        </w:rPr>
        <w:t>（二）单项质量判定</w:t>
      </w:r>
    </w:p>
    <w:p>
      <w:pPr>
        <w:spacing w:line="360" w:lineRule="auto"/>
        <w:ind w:firstLine="435"/>
        <w:rPr>
          <w:rFonts w:ascii="仿宋" w:hAnsi="仿宋" w:eastAsia="仿宋"/>
          <w:color w:val="000000"/>
          <w:sz w:val="24"/>
        </w:rPr>
      </w:pPr>
      <w:r>
        <w:rPr>
          <w:rFonts w:hint="eastAsia" w:ascii="仿宋" w:hAnsi="仿宋" w:eastAsia="仿宋"/>
          <w:color w:val="000000"/>
          <w:sz w:val="24"/>
        </w:rPr>
        <w:t>当所检项目的检验结果符合执行标准中该项目要求时，判该项目为符合执行标准要求，否则判该项目为不符合执行标准要求。</w:t>
      </w:r>
    </w:p>
    <w:p>
      <w:pPr>
        <w:spacing w:line="360" w:lineRule="auto"/>
        <w:rPr>
          <w:rFonts w:ascii="仿宋" w:hAnsi="仿宋" w:eastAsia="仿宋"/>
          <w:color w:val="000000"/>
          <w:sz w:val="24"/>
        </w:rPr>
      </w:pPr>
      <w:r>
        <w:rPr>
          <w:rFonts w:hint="eastAsia" w:ascii="仿宋" w:hAnsi="仿宋" w:eastAsia="仿宋"/>
          <w:color w:val="000000"/>
          <w:sz w:val="24"/>
        </w:rPr>
        <w:t>（三）综合质量判定</w:t>
      </w:r>
    </w:p>
    <w:p>
      <w:pPr>
        <w:spacing w:line="360" w:lineRule="auto"/>
        <w:ind w:firstLine="480" w:firstLineChars="200"/>
        <w:rPr>
          <w:rFonts w:ascii="仿宋" w:hAnsi="仿宋" w:eastAsia="仿宋"/>
          <w:color w:val="000000"/>
          <w:sz w:val="24"/>
        </w:rPr>
      </w:pPr>
      <w:r>
        <w:rPr>
          <w:rFonts w:ascii="仿宋" w:hAnsi="仿宋" w:eastAsia="仿宋"/>
          <w:color w:val="000000"/>
          <w:sz w:val="24"/>
        </w:rPr>
        <w:t>经检验，检验项目中任一项或一项以上不合格，判定被抽查产品为</w:t>
      </w:r>
      <w:r>
        <w:rPr>
          <w:rFonts w:hint="eastAsia" w:ascii="仿宋" w:hAnsi="仿宋" w:eastAsia="仿宋"/>
          <w:color w:val="000000"/>
          <w:sz w:val="24"/>
        </w:rPr>
        <w:t>“</w:t>
      </w:r>
      <w:r>
        <w:rPr>
          <w:rFonts w:ascii="仿宋" w:hAnsi="仿宋" w:eastAsia="仿宋"/>
          <w:color w:val="000000"/>
          <w:sz w:val="24"/>
        </w:rPr>
        <w:t>不合格</w:t>
      </w:r>
      <w:r>
        <w:rPr>
          <w:rFonts w:hint="eastAsia" w:ascii="仿宋" w:hAnsi="仿宋" w:eastAsia="仿宋"/>
          <w:color w:val="000000"/>
          <w:sz w:val="24"/>
        </w:rPr>
        <w:t>”；</w:t>
      </w:r>
    </w:p>
    <w:p>
      <w:pPr>
        <w:spacing w:line="360" w:lineRule="auto"/>
        <w:ind w:firstLine="480" w:firstLineChars="200"/>
        <w:rPr>
          <w:rFonts w:ascii="仿宋" w:hAnsi="仿宋" w:eastAsia="仿宋"/>
          <w:color w:val="000000"/>
          <w:sz w:val="24"/>
        </w:rPr>
      </w:pPr>
      <w:r>
        <w:rPr>
          <w:rFonts w:ascii="仿宋" w:hAnsi="仿宋" w:eastAsia="仿宋"/>
          <w:color w:val="000000"/>
          <w:sz w:val="24"/>
        </w:rPr>
        <w:t>检验项目全部</w:t>
      </w:r>
      <w:r>
        <w:rPr>
          <w:rFonts w:hint="eastAsia" w:ascii="仿宋" w:hAnsi="仿宋" w:eastAsia="仿宋"/>
          <w:color w:val="000000"/>
          <w:sz w:val="24"/>
        </w:rPr>
        <w:t>符合明示质量要求</w:t>
      </w:r>
      <w:r>
        <w:rPr>
          <w:rFonts w:ascii="仿宋" w:hAnsi="仿宋" w:eastAsia="仿宋"/>
          <w:color w:val="000000"/>
          <w:sz w:val="24"/>
        </w:rPr>
        <w:t>，</w:t>
      </w:r>
      <w:r>
        <w:rPr>
          <w:rFonts w:hint="eastAsia" w:ascii="仿宋" w:hAnsi="仿宋" w:eastAsia="仿宋"/>
          <w:color w:val="000000"/>
          <w:sz w:val="24"/>
        </w:rPr>
        <w:t>但不符合本细则检验项目依据的推荐性标准，</w:t>
      </w:r>
      <w:r>
        <w:rPr>
          <w:rFonts w:ascii="仿宋" w:hAnsi="仿宋" w:eastAsia="仿宋"/>
          <w:color w:val="000000"/>
          <w:sz w:val="24"/>
        </w:rPr>
        <w:t>判定被抽查产品</w:t>
      </w:r>
      <w:r>
        <w:rPr>
          <w:rFonts w:hint="eastAsia" w:ascii="仿宋" w:hAnsi="仿宋" w:eastAsia="仿宋"/>
          <w:color w:val="000000"/>
          <w:sz w:val="24"/>
        </w:rPr>
        <w:t>“所检项目符合企业标准，未达到国家、行业、地方标准规定”；</w:t>
      </w:r>
    </w:p>
    <w:p>
      <w:pPr>
        <w:spacing w:line="360" w:lineRule="auto"/>
        <w:ind w:firstLine="480" w:firstLineChars="200"/>
        <w:rPr>
          <w:rFonts w:hint="eastAsia" w:ascii="仿宋" w:hAnsi="仿宋" w:eastAsia="仿宋"/>
          <w:color w:val="000000"/>
          <w:sz w:val="24"/>
        </w:rPr>
      </w:pPr>
      <w:r>
        <w:rPr>
          <w:rFonts w:ascii="仿宋" w:hAnsi="仿宋" w:eastAsia="仿宋"/>
          <w:color w:val="000000"/>
          <w:sz w:val="24"/>
        </w:rPr>
        <w:t>检验项目全部</w:t>
      </w:r>
      <w:r>
        <w:rPr>
          <w:rFonts w:hint="eastAsia" w:ascii="仿宋" w:hAnsi="仿宋" w:eastAsia="仿宋"/>
          <w:color w:val="000000"/>
          <w:sz w:val="24"/>
        </w:rPr>
        <w:t>符合明示质量要求</w:t>
      </w:r>
      <w:r>
        <w:rPr>
          <w:rFonts w:ascii="仿宋" w:hAnsi="仿宋" w:eastAsia="仿宋"/>
          <w:color w:val="000000"/>
          <w:sz w:val="24"/>
        </w:rPr>
        <w:t>，</w:t>
      </w:r>
      <w:r>
        <w:rPr>
          <w:rFonts w:hint="eastAsia" w:ascii="仿宋" w:hAnsi="仿宋" w:eastAsia="仿宋"/>
          <w:color w:val="000000"/>
          <w:sz w:val="24"/>
        </w:rPr>
        <w:t>且符合本细则检验项目依据的推荐性标准，判定被抽查产品为“所检项目符合本次监督抽查要求”。</w:t>
      </w:r>
    </w:p>
    <w:p>
      <w:pPr>
        <w:spacing w:line="440" w:lineRule="exact"/>
        <w:rPr>
          <w:rFonts w:hint="eastAsia" w:ascii="方正仿宋_GBK" w:hAnsi="方正仿宋_GBK" w:eastAsia="方正仿宋_GBK" w:cs="方正仿宋_GBK"/>
          <w:b/>
          <w:bCs/>
          <w:color w:val="000000"/>
          <w:sz w:val="24"/>
          <w:szCs w:val="24"/>
        </w:rPr>
      </w:pPr>
      <w:bookmarkStart w:id="2" w:name="_GoBack"/>
      <w:r>
        <w:rPr>
          <w:rFonts w:hint="eastAsia" w:ascii="方正仿宋_GBK" w:hAnsi="方正仿宋_GBK" w:eastAsia="方正仿宋_GBK" w:cs="方正仿宋_GBK"/>
          <w:b/>
          <w:bCs/>
          <w:color w:val="000000"/>
          <w:sz w:val="24"/>
          <w:szCs w:val="24"/>
          <w:lang w:eastAsia="zh-CN"/>
        </w:rPr>
        <w:t>六、</w:t>
      </w:r>
      <w:r>
        <w:rPr>
          <w:rFonts w:hint="eastAsia" w:ascii="方正仿宋_GBK" w:hAnsi="方正仿宋_GBK" w:eastAsia="方正仿宋_GBK" w:cs="方正仿宋_GBK"/>
          <w:b/>
          <w:bCs/>
          <w:color w:val="000000"/>
          <w:sz w:val="24"/>
          <w:szCs w:val="24"/>
        </w:rPr>
        <w:t xml:space="preserve"> 附则</w:t>
      </w:r>
    </w:p>
    <w:bookmarkEnd w:id="2"/>
    <w:p>
      <w:pPr>
        <w:spacing w:line="440" w:lineRule="exact"/>
        <w:ind w:firstLine="480" w:firstLineChars="200"/>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本细则首次发布。</w:t>
      </w:r>
    </w:p>
    <w:p>
      <w:pPr>
        <w:spacing w:line="360" w:lineRule="auto"/>
        <w:ind w:firstLine="480" w:firstLineChars="200"/>
        <w:rPr>
          <w:rFonts w:hint="eastAsia" w:ascii="仿宋" w:hAnsi="仿宋" w:eastAsia="仿宋"/>
          <w:color w:val="000000"/>
          <w:sz w:val="24"/>
        </w:rPr>
      </w:pPr>
    </w:p>
    <w:p>
      <w:pPr>
        <w:spacing w:line="264" w:lineRule="auto"/>
        <w:ind w:firstLine="480" w:firstLineChars="200"/>
        <w:rPr>
          <w:rFonts w:ascii="仿宋" w:hAnsi="仿宋" w:eastAsia="仿宋"/>
          <w:color w:val="000000"/>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等线">
    <w:altName w:val="汉仪仿宋S"/>
    <w:panose1 w:val="00000000000000000000"/>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仿宋简体">
    <w:altName w:val="方正仿宋_GBK"/>
    <w:panose1 w:val="00000000000000000000"/>
    <w:charset w:val="00"/>
    <w:family w:val="script"/>
    <w:pitch w:val="default"/>
    <w:sig w:usb0="00000000" w:usb1="00000000"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仿宋S">
    <w:panose1 w:val="00020600040101000101"/>
    <w:charset w:val="86"/>
    <w:family w:val="auto"/>
    <w:pitch w:val="default"/>
    <w:sig w:usb0="A00002BF" w:usb1="38CF7CFA" w:usb2="00000016" w:usb3="00000000" w:csb0="0004009F" w:csb1="0000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445D68"/>
    <w:multiLevelType w:val="multilevel"/>
    <w:tmpl w:val="1A445D6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adjustLineHeightInTable/>
    <w:useFELayout/>
    <w:compatSetting w:name="compatibilityMode" w:uri="http://schemas.microsoft.com/office/word" w:val="12"/>
  </w:compat>
  <w:rsids>
    <w:rsidRoot w:val="007072C8"/>
    <w:rsid w:val="00031BC2"/>
    <w:rsid w:val="000430F6"/>
    <w:rsid w:val="00056C89"/>
    <w:rsid w:val="000A2F5B"/>
    <w:rsid w:val="000A4F79"/>
    <w:rsid w:val="000D24CD"/>
    <w:rsid w:val="000F0AD8"/>
    <w:rsid w:val="0012285E"/>
    <w:rsid w:val="00132126"/>
    <w:rsid w:val="00154DB5"/>
    <w:rsid w:val="00176773"/>
    <w:rsid w:val="001F1D3B"/>
    <w:rsid w:val="001F6F6F"/>
    <w:rsid w:val="00212E4D"/>
    <w:rsid w:val="00291417"/>
    <w:rsid w:val="002D0A85"/>
    <w:rsid w:val="002E5D10"/>
    <w:rsid w:val="00356C18"/>
    <w:rsid w:val="00393194"/>
    <w:rsid w:val="003A66E5"/>
    <w:rsid w:val="003C2212"/>
    <w:rsid w:val="004234CD"/>
    <w:rsid w:val="004361E3"/>
    <w:rsid w:val="00461406"/>
    <w:rsid w:val="0046777F"/>
    <w:rsid w:val="00491368"/>
    <w:rsid w:val="004B6B7B"/>
    <w:rsid w:val="004E1EFE"/>
    <w:rsid w:val="004F685A"/>
    <w:rsid w:val="00506901"/>
    <w:rsid w:val="005117A4"/>
    <w:rsid w:val="005263F2"/>
    <w:rsid w:val="00587CDB"/>
    <w:rsid w:val="00597CCF"/>
    <w:rsid w:val="005A7AA2"/>
    <w:rsid w:val="005B37D3"/>
    <w:rsid w:val="005D2012"/>
    <w:rsid w:val="005E7DEF"/>
    <w:rsid w:val="005F349C"/>
    <w:rsid w:val="00621A04"/>
    <w:rsid w:val="006223B0"/>
    <w:rsid w:val="00627683"/>
    <w:rsid w:val="00694D0F"/>
    <w:rsid w:val="006A4B88"/>
    <w:rsid w:val="006B22EE"/>
    <w:rsid w:val="006C12F6"/>
    <w:rsid w:val="006D2E97"/>
    <w:rsid w:val="007072C8"/>
    <w:rsid w:val="007072D8"/>
    <w:rsid w:val="00742033"/>
    <w:rsid w:val="0076248E"/>
    <w:rsid w:val="007726C9"/>
    <w:rsid w:val="0077759F"/>
    <w:rsid w:val="007941D6"/>
    <w:rsid w:val="00794C0D"/>
    <w:rsid w:val="007D2D7C"/>
    <w:rsid w:val="007E521A"/>
    <w:rsid w:val="008130CE"/>
    <w:rsid w:val="008138BD"/>
    <w:rsid w:val="00834E4E"/>
    <w:rsid w:val="00835BC2"/>
    <w:rsid w:val="0085543B"/>
    <w:rsid w:val="008677EE"/>
    <w:rsid w:val="008821FE"/>
    <w:rsid w:val="008C7625"/>
    <w:rsid w:val="0091579C"/>
    <w:rsid w:val="00931293"/>
    <w:rsid w:val="009375AD"/>
    <w:rsid w:val="00944A70"/>
    <w:rsid w:val="009450EA"/>
    <w:rsid w:val="0095053D"/>
    <w:rsid w:val="00957CCF"/>
    <w:rsid w:val="009723AE"/>
    <w:rsid w:val="009B1DB3"/>
    <w:rsid w:val="009E54E0"/>
    <w:rsid w:val="009F3B0E"/>
    <w:rsid w:val="00A14DE0"/>
    <w:rsid w:val="00A41005"/>
    <w:rsid w:val="00A85D4A"/>
    <w:rsid w:val="00AC4D59"/>
    <w:rsid w:val="00AD3D4C"/>
    <w:rsid w:val="00AE1843"/>
    <w:rsid w:val="00B063BC"/>
    <w:rsid w:val="00B11931"/>
    <w:rsid w:val="00B12D01"/>
    <w:rsid w:val="00B14DE4"/>
    <w:rsid w:val="00B41934"/>
    <w:rsid w:val="00B64C02"/>
    <w:rsid w:val="00B67B39"/>
    <w:rsid w:val="00BB390F"/>
    <w:rsid w:val="00BD5123"/>
    <w:rsid w:val="00C01A51"/>
    <w:rsid w:val="00C27243"/>
    <w:rsid w:val="00C34D9B"/>
    <w:rsid w:val="00C45D44"/>
    <w:rsid w:val="00C56B22"/>
    <w:rsid w:val="00CA299D"/>
    <w:rsid w:val="00CA6059"/>
    <w:rsid w:val="00CB72DB"/>
    <w:rsid w:val="00CE5E64"/>
    <w:rsid w:val="00D312A9"/>
    <w:rsid w:val="00D6590F"/>
    <w:rsid w:val="00D66595"/>
    <w:rsid w:val="00DC045C"/>
    <w:rsid w:val="00DC2764"/>
    <w:rsid w:val="00DE1D7C"/>
    <w:rsid w:val="00E04B24"/>
    <w:rsid w:val="00E64751"/>
    <w:rsid w:val="00EF4866"/>
    <w:rsid w:val="00F15467"/>
    <w:rsid w:val="00F15E39"/>
    <w:rsid w:val="00F20F90"/>
    <w:rsid w:val="00F2324B"/>
    <w:rsid w:val="00F25110"/>
    <w:rsid w:val="00F276C3"/>
    <w:rsid w:val="00F32585"/>
    <w:rsid w:val="00F365C8"/>
    <w:rsid w:val="00FB2F61"/>
    <w:rsid w:val="00FB4A09"/>
    <w:rsid w:val="00FC417C"/>
    <w:rsid w:val="00FD64FD"/>
    <w:rsid w:val="04020B22"/>
    <w:rsid w:val="0449689E"/>
    <w:rsid w:val="059348DA"/>
    <w:rsid w:val="09E21360"/>
    <w:rsid w:val="0D8D53DF"/>
    <w:rsid w:val="0FD966EE"/>
    <w:rsid w:val="136C4563"/>
    <w:rsid w:val="1C3A2D85"/>
    <w:rsid w:val="31421D53"/>
    <w:rsid w:val="433836FB"/>
    <w:rsid w:val="50B43C38"/>
    <w:rsid w:val="61F536DE"/>
    <w:rsid w:val="634520EC"/>
    <w:rsid w:val="645314A2"/>
    <w:rsid w:val="66632315"/>
    <w:rsid w:val="6FEC4F07"/>
    <w:rsid w:val="76BB2FD7"/>
    <w:rsid w:val="7EBD2AC8"/>
    <w:rsid w:val="DD536384"/>
    <w:rsid w:val="EB7F56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nhideWhenUsed="0"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qFormat/>
    <w:uiPriority w:val="99"/>
    <w:pPr>
      <w:jc w:val="left"/>
    </w:pPr>
    <w:rPr>
      <w:szCs w:val="22"/>
    </w:rPr>
  </w:style>
  <w:style w:type="paragraph" w:styleId="3">
    <w:name w:val="Body Text Indent"/>
    <w:basedOn w:val="1"/>
    <w:link w:val="12"/>
    <w:unhideWhenUsed/>
    <w:qFormat/>
    <w:uiPriority w:val="99"/>
    <w:pPr>
      <w:spacing w:after="120"/>
      <w:ind w:left="420" w:leftChars="200"/>
    </w:pPr>
    <w:rPr>
      <w:kern w:val="0"/>
      <w:sz w:val="20"/>
    </w:rPr>
  </w:style>
  <w:style w:type="paragraph" w:styleId="4">
    <w:name w:val="Plain Text"/>
    <w:basedOn w:val="1"/>
    <w:link w:val="13"/>
    <w:qFormat/>
    <w:uiPriority w:val="0"/>
    <w:rPr>
      <w:rFonts w:ascii="宋体" w:hAnsi="Courier New"/>
      <w:kern w:val="0"/>
      <w:sz w:val="20"/>
      <w:szCs w:val="20"/>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Autospacing="1" w:afterAutospacing="1"/>
      <w:jc w:val="left"/>
    </w:pPr>
    <w:rPr>
      <w:kern w:val="0"/>
      <w:sz w:val="24"/>
    </w:rPr>
  </w:style>
  <w:style w:type="character" w:styleId="10">
    <w:name w:val="page number"/>
    <w:basedOn w:val="9"/>
    <w:qFormat/>
    <w:uiPriority w:val="0"/>
  </w:style>
  <w:style w:type="paragraph" w:customStyle="1" w:styleId="11">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12">
    <w:name w:val="正文文本缩进 Char"/>
    <w:link w:val="3"/>
    <w:qFormat/>
    <w:uiPriority w:val="99"/>
    <w:rPr>
      <w:rFonts w:ascii="Times New Roman" w:hAnsi="Times New Roman" w:eastAsia="宋体" w:cs="Times New Roman"/>
      <w:szCs w:val="24"/>
    </w:rPr>
  </w:style>
  <w:style w:type="character" w:customStyle="1" w:styleId="13">
    <w:name w:val="纯文本 Char"/>
    <w:link w:val="4"/>
    <w:qFormat/>
    <w:uiPriority w:val="0"/>
    <w:rPr>
      <w:rFonts w:ascii="宋体" w:hAnsi="Courier New"/>
    </w:rPr>
  </w:style>
  <w:style w:type="character" w:customStyle="1" w:styleId="14">
    <w:name w:val="纯文本 字符1"/>
    <w:semiHidden/>
    <w:qFormat/>
    <w:uiPriority w:val="99"/>
    <w:rPr>
      <w:rFonts w:ascii="等线" w:hAnsi="Courier New" w:cs="Courier New"/>
      <w:szCs w:val="24"/>
    </w:rPr>
  </w:style>
  <w:style w:type="character" w:customStyle="1" w:styleId="15">
    <w:name w:val="页眉 Char"/>
    <w:link w:val="6"/>
    <w:qFormat/>
    <w:uiPriority w:val="99"/>
    <w:rPr>
      <w:rFonts w:ascii="Times New Roman" w:hAnsi="Times New Roman" w:eastAsia="宋体" w:cs="Times New Roman"/>
      <w:kern w:val="2"/>
      <w:sz w:val="18"/>
      <w:szCs w:val="18"/>
    </w:rPr>
  </w:style>
  <w:style w:type="character" w:customStyle="1" w:styleId="16">
    <w:name w:val="页脚 Char"/>
    <w:link w:val="5"/>
    <w:qFormat/>
    <w:uiPriority w:val="99"/>
    <w:rPr>
      <w:rFonts w:ascii="Times New Roman" w:hAnsi="Times New Roman" w:eastAsia="宋体" w:cs="Times New Roman"/>
      <w:kern w:val="2"/>
      <w:sz w:val="18"/>
      <w:szCs w:val="18"/>
    </w:rPr>
  </w:style>
  <w:style w:type="character" w:customStyle="1" w:styleId="17">
    <w:name w:val="纯文本 Char1"/>
    <w:qFormat/>
    <w:locked/>
    <w:uiPriority w:val="0"/>
    <w:rPr>
      <w:rFonts w:ascii="宋体" w:hAnsi="Courier New" w:eastAsia="宋体" w:cs="宋体"/>
      <w:kern w:val="2"/>
      <w:sz w:val="21"/>
      <w:szCs w:val="21"/>
      <w:lang w:val="en-US" w:eastAsia="zh-CN" w:bidi="ar-SA"/>
    </w:rPr>
  </w:style>
  <w:style w:type="character" w:customStyle="1" w:styleId="18">
    <w:name w:val="批注文字 Char"/>
    <w:basedOn w:val="9"/>
    <w:link w:val="2"/>
    <w:qFormat/>
    <w:uiPriority w:val="99"/>
    <w:rPr>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185</Words>
  <Characters>1061</Characters>
  <Lines>8</Lines>
  <Paragraphs>2</Paragraphs>
  <TotalTime>1</TotalTime>
  <ScaleCrop>false</ScaleCrop>
  <LinksUpToDate>false</LinksUpToDate>
  <CharactersWithSpaces>1244</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2023-03-29T16:55:00Z</dcterms:created>
  <dc:creator>范 文佳</dc:creator>
  <cp:lastModifiedBy>user</cp:lastModifiedBy>
  <dcterms:modified xsi:type="dcterms:W3CDTF">2023-06-20T09:25:07Z</dcterms:modified>
  <dc:title>2021年杭州市流通领域(网络)</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