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2023年台州</w:t>
      </w:r>
      <w:r>
        <w:rPr>
          <w:rFonts w:hint="eastAsia" w:ascii="方正小标宋_GBK" w:hAnsi="黑体" w:eastAsia="方正小标宋_GBK" w:cs="方正仿宋简体"/>
          <w:b w:val="0"/>
          <w:bCs w:val="0"/>
          <w:color w:val="000000"/>
          <w:sz w:val="36"/>
          <w:szCs w:val="36"/>
          <w:lang w:eastAsia="zh-CN"/>
        </w:rPr>
        <w:t>市</w:t>
      </w:r>
      <w:r>
        <w:rPr>
          <w:rFonts w:hint="eastAsia" w:ascii="方正小标宋_GBK" w:hAnsi="黑体" w:eastAsia="方正小标宋_GBK" w:cs="方正仿宋简体"/>
          <w:b w:val="0"/>
          <w:bCs w:val="0"/>
          <w:color w:val="000000"/>
          <w:sz w:val="36"/>
          <w:szCs w:val="36"/>
        </w:rPr>
        <w:t>瓶装液化石油气调压器产品质量监督抽查实施细则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本实施细则适用于在XXX地区内瓶装液化石油气调压器产品质量的监督抽查。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spacing w:line="580" w:lineRule="exact"/>
        <w:ind w:firstLine="480" w:firstLineChars="200"/>
        <w:rPr>
          <w:rFonts w:ascii="仿宋" w:hAnsi="仿宋" w:eastAsia="仿宋"/>
          <w:color w:val="000000"/>
          <w:sz w:val="24"/>
        </w:rPr>
      </w:pPr>
      <w:r>
        <w:rPr>
          <w:rFonts w:hint="eastAsia" w:ascii="仿宋" w:hAnsi="仿宋" w:eastAsia="仿宋"/>
          <w:color w:val="000000"/>
          <w:sz w:val="24"/>
        </w:rPr>
        <w:t>GB 35844-2018《瓶装液化石油气调压器》</w:t>
      </w:r>
    </w:p>
    <w:p>
      <w:pPr>
        <w:spacing w:line="580" w:lineRule="exact"/>
        <w:ind w:firstLine="480" w:firstLineChars="200"/>
        <w:rPr>
          <w:rFonts w:ascii="仿宋" w:hAnsi="仿宋" w:eastAsia="仿宋"/>
          <w:color w:val="000000"/>
          <w:sz w:val="24"/>
        </w:rPr>
      </w:pPr>
      <w:r>
        <w:rPr>
          <w:rFonts w:hint="eastAsia" w:ascii="仿宋" w:hAnsi="仿宋" w:eastAsia="仿宋"/>
          <w:color w:val="000000"/>
          <w:sz w:val="24"/>
        </w:rPr>
        <w:t>CJ/T 50-2008《瓶装液化石油气调压器》</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现行有效的企业标准、团体标准、地方标准及产品明示质量要求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以随机抽样的方式在被抽样销售者的待销产品中抽取。</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随机数一般可使用随机数表等方法产生。</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每批次抽取样品2只，其中1只为检验样品，1只为备用样品。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p>
      <w:pPr>
        <w:spacing w:line="580" w:lineRule="exact"/>
        <w:ind w:firstLine="480" w:firstLineChars="200"/>
        <w:rPr>
          <w:rFonts w:ascii="仿宋" w:hAnsi="仿宋" w:eastAsia="仿宋"/>
          <w:color w:val="000000"/>
          <w:sz w:val="24"/>
        </w:rPr>
      </w:pPr>
      <w:r>
        <w:rPr>
          <w:rFonts w:hint="eastAsia" w:ascii="仿宋" w:hAnsi="仿宋" w:eastAsia="仿宋"/>
          <w:color w:val="000000"/>
          <w:sz w:val="24"/>
        </w:rPr>
        <w:t>产品明示执行标准为GB 35844-2018《瓶装液化石油气调压器》，或明示生产日期在2019年3月1日之后（或未明示生产日期的）的产品，检验项目按表1执行。</w:t>
      </w:r>
    </w:p>
    <w:p>
      <w:pPr>
        <w:spacing w:line="580" w:lineRule="exact"/>
        <w:ind w:firstLine="480" w:firstLineChars="200"/>
        <w:rPr>
          <w:rFonts w:ascii="仿宋" w:hAnsi="仿宋" w:eastAsia="仿宋"/>
          <w:color w:val="000000"/>
          <w:sz w:val="24"/>
        </w:rPr>
      </w:pPr>
      <w:r>
        <w:rPr>
          <w:rFonts w:hint="eastAsia" w:ascii="仿宋" w:hAnsi="仿宋" w:eastAsia="仿宋"/>
          <w:color w:val="000000"/>
          <w:sz w:val="24"/>
        </w:rPr>
        <w:t>产品明示标准为CJ/T 50-2008《瓶装液化石油气调压器》，且明示生产日期在2019年3月1日之前，检验项目按表2执行。</w:t>
      </w:r>
    </w:p>
    <w:p>
      <w:pPr>
        <w:spacing w:line="580" w:lineRule="exact"/>
        <w:jc w:val="center"/>
        <w:rPr>
          <w:rFonts w:ascii="仿宋" w:hAnsi="仿宋" w:eastAsia="仿宋"/>
          <w:color w:val="000000"/>
          <w:sz w:val="24"/>
        </w:rPr>
      </w:pPr>
      <w:r>
        <w:rPr>
          <w:rFonts w:ascii="仿宋" w:hAnsi="仿宋" w:eastAsia="仿宋"/>
          <w:color w:val="000000"/>
          <w:sz w:val="24"/>
        </w:rPr>
        <w:t>表1</w:t>
      </w:r>
    </w:p>
    <w:tbl>
      <w:tblPr>
        <w:tblStyle w:val="7"/>
        <w:tblW w:w="32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885"/>
        <w:gridCol w:w="2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jc w:val="center"/>
              <w:rPr>
                <w:rFonts w:ascii="仿宋" w:hAnsi="仿宋" w:eastAsia="仿宋"/>
                <w:color w:val="000000"/>
                <w:sz w:val="24"/>
              </w:rPr>
            </w:pPr>
            <w:r>
              <w:rPr>
                <w:rFonts w:hint="eastAsia" w:ascii="仿宋" w:hAnsi="仿宋" w:eastAsia="仿宋"/>
                <w:color w:val="000000"/>
                <w:sz w:val="24"/>
              </w:rPr>
              <w:t>序号</w:t>
            </w:r>
          </w:p>
        </w:tc>
        <w:tc>
          <w:tcPr>
            <w:tcW w:w="1696" w:type="pct"/>
            <w:vAlign w:val="center"/>
          </w:tcPr>
          <w:p>
            <w:pPr>
              <w:jc w:val="center"/>
              <w:rPr>
                <w:rFonts w:ascii="仿宋" w:hAnsi="仿宋" w:eastAsia="仿宋"/>
                <w:color w:val="000000"/>
                <w:sz w:val="24"/>
              </w:rPr>
            </w:pPr>
            <w:r>
              <w:rPr>
                <w:rFonts w:hint="eastAsia" w:ascii="仿宋" w:hAnsi="仿宋" w:eastAsia="仿宋"/>
                <w:color w:val="000000"/>
                <w:sz w:val="24"/>
              </w:rPr>
              <w:t>检验</w:t>
            </w:r>
            <w:r>
              <w:rPr>
                <w:rFonts w:ascii="仿宋" w:hAnsi="仿宋" w:eastAsia="仿宋"/>
                <w:color w:val="000000"/>
                <w:sz w:val="24"/>
              </w:rPr>
              <w:t>项目</w:t>
            </w:r>
          </w:p>
        </w:tc>
        <w:tc>
          <w:tcPr>
            <w:tcW w:w="2688" w:type="pct"/>
            <w:vAlign w:val="center"/>
          </w:tcPr>
          <w:p>
            <w:pPr>
              <w:jc w:val="center"/>
              <w:rPr>
                <w:rFonts w:ascii="仿宋" w:hAnsi="仿宋" w:eastAsia="仿宋"/>
                <w:color w:val="000000"/>
                <w:sz w:val="24"/>
              </w:rPr>
            </w:pPr>
            <w:r>
              <w:rPr>
                <w:rFonts w:hint="eastAsia" w:ascii="仿宋" w:hAnsi="仿宋" w:eastAsia="仿宋"/>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1</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标志</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2</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使用说明书</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GB 35844-2018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3</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结构</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4</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外观</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GB 35844-2018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5</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气密性</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6</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关闭压力</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GB 35844-2018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7</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出口压力</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GB 35844-2018 </w:t>
            </w:r>
          </w:p>
        </w:tc>
      </w:tr>
    </w:tbl>
    <w:p>
      <w:pPr>
        <w:spacing w:line="580" w:lineRule="exact"/>
        <w:jc w:val="center"/>
        <w:rPr>
          <w:rFonts w:ascii="仿宋" w:hAnsi="仿宋" w:eastAsia="仿宋"/>
          <w:color w:val="000000"/>
          <w:sz w:val="24"/>
        </w:rPr>
      </w:pPr>
      <w:r>
        <w:rPr>
          <w:rFonts w:ascii="仿宋" w:hAnsi="仿宋" w:eastAsia="仿宋"/>
          <w:color w:val="000000"/>
          <w:sz w:val="24"/>
        </w:rPr>
        <w:t>表2</w:t>
      </w:r>
    </w:p>
    <w:tbl>
      <w:tblPr>
        <w:tblStyle w:val="7"/>
        <w:tblW w:w="32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885"/>
        <w:gridCol w:w="2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jc w:val="center"/>
              <w:rPr>
                <w:rFonts w:ascii="仿宋" w:hAnsi="仿宋" w:eastAsia="仿宋"/>
                <w:color w:val="000000"/>
                <w:sz w:val="24"/>
              </w:rPr>
            </w:pPr>
            <w:r>
              <w:rPr>
                <w:rFonts w:hint="eastAsia" w:ascii="仿宋" w:hAnsi="仿宋" w:eastAsia="仿宋"/>
                <w:color w:val="000000"/>
                <w:sz w:val="24"/>
              </w:rPr>
              <w:t>序号</w:t>
            </w:r>
          </w:p>
        </w:tc>
        <w:tc>
          <w:tcPr>
            <w:tcW w:w="1696" w:type="pct"/>
            <w:vAlign w:val="center"/>
          </w:tcPr>
          <w:p>
            <w:pPr>
              <w:jc w:val="center"/>
              <w:rPr>
                <w:rFonts w:ascii="仿宋" w:hAnsi="仿宋" w:eastAsia="仿宋"/>
                <w:color w:val="000000"/>
                <w:sz w:val="24"/>
              </w:rPr>
            </w:pPr>
            <w:r>
              <w:rPr>
                <w:rFonts w:hint="eastAsia" w:ascii="仿宋" w:hAnsi="仿宋" w:eastAsia="仿宋"/>
                <w:color w:val="000000"/>
                <w:sz w:val="24"/>
              </w:rPr>
              <w:t>检验</w:t>
            </w:r>
            <w:r>
              <w:rPr>
                <w:rFonts w:ascii="仿宋" w:hAnsi="仿宋" w:eastAsia="仿宋"/>
                <w:color w:val="000000"/>
                <w:sz w:val="24"/>
              </w:rPr>
              <w:t>项目</w:t>
            </w:r>
          </w:p>
        </w:tc>
        <w:tc>
          <w:tcPr>
            <w:tcW w:w="2688" w:type="pct"/>
            <w:vAlign w:val="center"/>
          </w:tcPr>
          <w:p>
            <w:pPr>
              <w:jc w:val="center"/>
              <w:rPr>
                <w:rFonts w:ascii="仿宋" w:hAnsi="仿宋" w:eastAsia="仿宋"/>
                <w:color w:val="000000"/>
                <w:sz w:val="24"/>
              </w:rPr>
            </w:pPr>
            <w:r>
              <w:rPr>
                <w:rFonts w:hint="eastAsia" w:ascii="仿宋" w:hAnsi="仿宋" w:eastAsia="仿宋"/>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1</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标识</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CJ/T 50-2008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2</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使用说明书</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CJ/T 50-2008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3</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结构</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CJ/T 50-2008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4</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外观</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CJ/T 50-2008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5</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气密性</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CJ/T 50-2008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6</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关闭压力</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CJ/T 50-2008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616" w:type="pct"/>
            <w:vAlign w:val="center"/>
          </w:tcPr>
          <w:p>
            <w:pPr>
              <w:adjustRightInd w:val="0"/>
              <w:snapToGrid w:val="0"/>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7</w:t>
            </w:r>
          </w:p>
        </w:tc>
        <w:tc>
          <w:tcPr>
            <w:tcW w:w="1696"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出口压力</w:t>
            </w:r>
          </w:p>
        </w:tc>
        <w:tc>
          <w:tcPr>
            <w:tcW w:w="2688" w:type="pct"/>
            <w:vAlign w:val="center"/>
          </w:tcPr>
          <w:p>
            <w:pPr>
              <w:spacing w:line="240" w:lineRule="exact"/>
              <w:ind w:left="-31" w:leftChars="-15" w:right="-31" w:rightChars="-15"/>
              <w:jc w:val="center"/>
              <w:rPr>
                <w:rFonts w:ascii="仿宋" w:hAnsi="仿宋" w:eastAsia="仿宋"/>
                <w:color w:val="000000"/>
                <w:sz w:val="24"/>
              </w:rPr>
            </w:pPr>
            <w:r>
              <w:rPr>
                <w:rFonts w:ascii="仿宋" w:hAnsi="仿宋" w:eastAsia="仿宋"/>
                <w:color w:val="000000"/>
                <w:sz w:val="24"/>
              </w:rPr>
              <w:t xml:space="preserve">CJ/T 50-2008 </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执行</w:t>
      </w:r>
      <w:r>
        <w:rPr>
          <w:rFonts w:hint="eastAsia" w:ascii="仿宋" w:hAnsi="仿宋" w:eastAsia="仿宋"/>
          <w:color w:val="000000"/>
          <w:sz w:val="24"/>
        </w:rPr>
        <w:t>其他标准</w:t>
      </w:r>
      <w:r>
        <w:rPr>
          <w:rFonts w:ascii="仿宋" w:hAnsi="仿宋" w:eastAsia="仿宋"/>
          <w:color w:val="000000"/>
          <w:sz w:val="24"/>
        </w:rPr>
        <w:t>的产品，检验项目参照上述内容执行。</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复检时所检测的样品为备用样品。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440" w:lineRule="exact"/>
        <w:jc w:val="left"/>
        <w:rPr>
          <w:rFonts w:ascii="仿宋" w:hAnsi="仿宋" w:eastAsia="仿宋"/>
          <w:sz w:val="24"/>
        </w:rPr>
      </w:pPr>
      <w:r>
        <w:rPr>
          <w:rFonts w:hint="eastAsia" w:ascii="仿宋" w:hAnsi="仿宋" w:eastAsia="仿宋"/>
          <w:sz w:val="24"/>
        </w:rPr>
        <w:t>5.1 判定原则</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rPr>
          <w:rFonts w:ascii="仿宋" w:hAnsi="仿宋" w:eastAsia="仿宋"/>
          <w:sz w:val="24"/>
        </w:rPr>
      </w:pPr>
      <w:r>
        <w:rPr>
          <w:rFonts w:hint="eastAsia" w:ascii="仿宋" w:hAnsi="仿宋" w:eastAsia="仿宋"/>
          <w:sz w:val="24"/>
        </w:rPr>
        <w:t>5.2</w:t>
      </w:r>
      <w:r>
        <w:rPr>
          <w:rFonts w:ascii="仿宋" w:hAnsi="仿宋" w:eastAsia="仿宋"/>
          <w:sz w:val="24"/>
        </w:rPr>
        <w:t xml:space="preserve"> </w:t>
      </w:r>
      <w:r>
        <w:rPr>
          <w:rFonts w:hint="eastAsia" w:ascii="仿宋" w:hAnsi="仿宋" w:eastAsia="仿宋"/>
          <w:sz w:val="24"/>
        </w:rPr>
        <w:t>综合结论判定</w:t>
      </w:r>
    </w:p>
    <w:p>
      <w:pPr>
        <w:snapToGrid w:val="0"/>
        <w:spacing w:line="440" w:lineRule="exact"/>
        <w:ind w:firstLine="480" w:firstLineChars="200"/>
        <w:rPr>
          <w:rFonts w:ascii="仿宋" w:hAnsi="仿宋" w:eastAsia="仿宋"/>
          <w:sz w:val="24"/>
        </w:rPr>
      </w:pPr>
      <w:r>
        <w:rPr>
          <w:rFonts w:ascii="仿宋" w:hAnsi="仿宋" w:eastAsia="仿宋"/>
          <w:sz w:val="24"/>
        </w:rPr>
        <w:t>经检验，检验项目中任一项或一项以上不合格，判定被抽查产品为</w:t>
      </w:r>
      <w:r>
        <w:rPr>
          <w:rFonts w:hint="eastAsia" w:ascii="仿宋" w:hAnsi="仿宋" w:eastAsia="仿宋"/>
          <w:sz w:val="24"/>
        </w:rPr>
        <w:t>“</w:t>
      </w:r>
      <w:r>
        <w:rPr>
          <w:rFonts w:ascii="仿宋" w:hAnsi="仿宋" w:eastAsia="仿宋"/>
          <w:sz w:val="24"/>
        </w:rPr>
        <w:t>不合格</w:t>
      </w:r>
      <w:r>
        <w:rPr>
          <w:rFonts w:hint="eastAsia" w:ascii="仿宋" w:hAnsi="仿宋" w:eastAsia="仿宋"/>
          <w:sz w:val="24"/>
        </w:rPr>
        <w:t>”；</w:t>
      </w:r>
    </w:p>
    <w:p>
      <w:pPr>
        <w:snapToGrid w:val="0"/>
        <w:spacing w:line="440" w:lineRule="exact"/>
        <w:ind w:firstLine="480" w:firstLineChars="200"/>
        <w:rPr>
          <w:rFonts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但不符合本细则检验项目依据的推荐性标准，</w:t>
      </w:r>
      <w:r>
        <w:rPr>
          <w:rFonts w:ascii="仿宋" w:hAnsi="仿宋" w:eastAsia="仿宋"/>
          <w:sz w:val="24"/>
        </w:rPr>
        <w:t>判定被抽查产品</w:t>
      </w:r>
      <w:r>
        <w:rPr>
          <w:rFonts w:hint="eastAsia" w:ascii="仿宋" w:hAnsi="仿宋" w:eastAsia="仿宋"/>
          <w:sz w:val="24"/>
        </w:rPr>
        <w:t>“所检项目符合企业标准，未达到国家、行业、地方标准规定”；</w:t>
      </w:r>
    </w:p>
    <w:p>
      <w:pPr>
        <w:adjustRightInd w:val="0"/>
        <w:snapToGrid w:val="0"/>
        <w:spacing w:line="264" w:lineRule="auto"/>
        <w:ind w:firstLine="360" w:firstLineChars="150"/>
        <w:jc w:val="left"/>
        <w:rPr>
          <w:rFonts w:hint="eastAsia"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且符合本细则检验项目依据的推荐性标准，判定被抽查产品为“所检项目符合本次监督抽查要求”。</w:t>
      </w:r>
    </w:p>
    <w:p>
      <w:pPr>
        <w:adjustRightInd w:val="0"/>
        <w:snapToGrid w:val="0"/>
        <w:spacing w:line="264" w:lineRule="auto"/>
        <w:jc w:val="left"/>
        <w:rPr>
          <w:rFonts w:hint="eastAsia" w:ascii="仿宋" w:hAnsi="仿宋" w:eastAsia="仿宋"/>
          <w:b/>
          <w:bCs/>
          <w:sz w:val="24"/>
        </w:rPr>
      </w:pPr>
      <w:bookmarkStart w:id="2" w:name="_GoBack"/>
      <w:r>
        <w:rPr>
          <w:rFonts w:hint="eastAsia" w:ascii="仿宋" w:hAnsi="仿宋" w:eastAsia="仿宋"/>
          <w:b/>
          <w:bCs/>
          <w:sz w:val="24"/>
          <w:lang w:val="en-US" w:eastAsia="zh-CN"/>
        </w:rPr>
        <w:t>六、</w:t>
      </w:r>
      <w:r>
        <w:rPr>
          <w:rFonts w:hint="eastAsia" w:ascii="仿宋" w:hAnsi="仿宋" w:eastAsia="仿宋"/>
          <w:b/>
          <w:bCs/>
          <w:sz w:val="24"/>
        </w:rPr>
        <w:t xml:space="preserve"> 附则</w:t>
      </w:r>
    </w:p>
    <w:bookmarkEnd w:id="2"/>
    <w:p>
      <w:pPr>
        <w:adjustRightInd w:val="0"/>
        <w:snapToGrid w:val="0"/>
        <w:spacing w:line="264" w:lineRule="auto"/>
        <w:ind w:firstLine="360" w:firstLineChars="150"/>
        <w:jc w:val="left"/>
        <w:rPr>
          <w:rFonts w:hint="eastAsia" w:ascii="仿宋" w:hAnsi="仿宋" w:eastAsia="仿宋"/>
          <w:sz w:val="24"/>
        </w:rPr>
      </w:pPr>
      <w:r>
        <w:rPr>
          <w:rFonts w:hint="eastAsia" w:ascii="仿宋" w:hAnsi="仿宋" w:eastAsia="仿宋"/>
          <w:sz w:val="24"/>
        </w:rPr>
        <w:t>本细则首次发布。</w:t>
      </w:r>
    </w:p>
    <w:p>
      <w:pPr>
        <w:adjustRightInd w:val="0"/>
        <w:snapToGrid w:val="0"/>
        <w:spacing w:line="264" w:lineRule="auto"/>
        <w:ind w:firstLine="360" w:firstLineChars="150"/>
        <w:jc w:val="left"/>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汉仪仿宋S">
    <w:panose1 w:val="00020600040101000101"/>
    <w:charset w:val="86"/>
    <w:family w:val="auto"/>
    <w:pitch w:val="default"/>
    <w:sig w:usb0="A00002BF" w:usb1="38C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12989"/>
    <w:rsid w:val="00031BC2"/>
    <w:rsid w:val="000430F6"/>
    <w:rsid w:val="00056C89"/>
    <w:rsid w:val="000A2F5B"/>
    <w:rsid w:val="000F0AD8"/>
    <w:rsid w:val="00132126"/>
    <w:rsid w:val="0014529D"/>
    <w:rsid w:val="00154DB5"/>
    <w:rsid w:val="00176773"/>
    <w:rsid w:val="001F1D3B"/>
    <w:rsid w:val="00212E4D"/>
    <w:rsid w:val="00291417"/>
    <w:rsid w:val="002D0A85"/>
    <w:rsid w:val="002E5D10"/>
    <w:rsid w:val="00356C18"/>
    <w:rsid w:val="00373FCA"/>
    <w:rsid w:val="00376CF0"/>
    <w:rsid w:val="00393194"/>
    <w:rsid w:val="003A66E5"/>
    <w:rsid w:val="003B5CFB"/>
    <w:rsid w:val="003C2212"/>
    <w:rsid w:val="004234CD"/>
    <w:rsid w:val="00450A63"/>
    <w:rsid w:val="00461406"/>
    <w:rsid w:val="0046777F"/>
    <w:rsid w:val="00491368"/>
    <w:rsid w:val="004B6B7B"/>
    <w:rsid w:val="004E1EFE"/>
    <w:rsid w:val="004F685A"/>
    <w:rsid w:val="005117A4"/>
    <w:rsid w:val="005459F6"/>
    <w:rsid w:val="00587CDB"/>
    <w:rsid w:val="00597CCF"/>
    <w:rsid w:val="005A7AA2"/>
    <w:rsid w:val="005E7DEF"/>
    <w:rsid w:val="005F349C"/>
    <w:rsid w:val="006223B0"/>
    <w:rsid w:val="00627683"/>
    <w:rsid w:val="006A4B88"/>
    <w:rsid w:val="006B22EE"/>
    <w:rsid w:val="006D2E97"/>
    <w:rsid w:val="007072C8"/>
    <w:rsid w:val="0076248E"/>
    <w:rsid w:val="007726C9"/>
    <w:rsid w:val="0077759F"/>
    <w:rsid w:val="007941D6"/>
    <w:rsid w:val="00794C0D"/>
    <w:rsid w:val="007D2D7C"/>
    <w:rsid w:val="007E521A"/>
    <w:rsid w:val="007E58C7"/>
    <w:rsid w:val="008130CE"/>
    <w:rsid w:val="008138BD"/>
    <w:rsid w:val="00835BC2"/>
    <w:rsid w:val="00841475"/>
    <w:rsid w:val="0085543B"/>
    <w:rsid w:val="008677EE"/>
    <w:rsid w:val="008B1BC2"/>
    <w:rsid w:val="008C7625"/>
    <w:rsid w:val="0091579C"/>
    <w:rsid w:val="00931293"/>
    <w:rsid w:val="009375AD"/>
    <w:rsid w:val="009450EA"/>
    <w:rsid w:val="00957CCF"/>
    <w:rsid w:val="009723AE"/>
    <w:rsid w:val="009B1DB3"/>
    <w:rsid w:val="009E54E0"/>
    <w:rsid w:val="009F3B0E"/>
    <w:rsid w:val="00A14DE0"/>
    <w:rsid w:val="00A41005"/>
    <w:rsid w:val="00A85D4A"/>
    <w:rsid w:val="00B063BC"/>
    <w:rsid w:val="00B11931"/>
    <w:rsid w:val="00B12D01"/>
    <w:rsid w:val="00B14DE4"/>
    <w:rsid w:val="00B41934"/>
    <w:rsid w:val="00BB390F"/>
    <w:rsid w:val="00BE2F7C"/>
    <w:rsid w:val="00C01A51"/>
    <w:rsid w:val="00C27243"/>
    <w:rsid w:val="00C34D9B"/>
    <w:rsid w:val="00C45D44"/>
    <w:rsid w:val="00CA299D"/>
    <w:rsid w:val="00CA6059"/>
    <w:rsid w:val="00CB72DB"/>
    <w:rsid w:val="00CE5E64"/>
    <w:rsid w:val="00D0213F"/>
    <w:rsid w:val="00D312A9"/>
    <w:rsid w:val="00D6590F"/>
    <w:rsid w:val="00DC045C"/>
    <w:rsid w:val="00DC2764"/>
    <w:rsid w:val="00E04B24"/>
    <w:rsid w:val="00E64751"/>
    <w:rsid w:val="00EF4866"/>
    <w:rsid w:val="00F15467"/>
    <w:rsid w:val="00F2324B"/>
    <w:rsid w:val="00F25110"/>
    <w:rsid w:val="00F276C3"/>
    <w:rsid w:val="00F32585"/>
    <w:rsid w:val="00F365C8"/>
    <w:rsid w:val="00FB2F61"/>
    <w:rsid w:val="00FB3FDF"/>
    <w:rsid w:val="00FB4A09"/>
    <w:rsid w:val="00FC417C"/>
    <w:rsid w:val="00FD64FD"/>
    <w:rsid w:val="04020B22"/>
    <w:rsid w:val="0449689E"/>
    <w:rsid w:val="059348DA"/>
    <w:rsid w:val="09E21360"/>
    <w:rsid w:val="0D8D53DF"/>
    <w:rsid w:val="0FD966EE"/>
    <w:rsid w:val="136C4563"/>
    <w:rsid w:val="1C3A2D85"/>
    <w:rsid w:val="31421D53"/>
    <w:rsid w:val="36A96C58"/>
    <w:rsid w:val="433836FB"/>
    <w:rsid w:val="50B43C38"/>
    <w:rsid w:val="61F536DE"/>
    <w:rsid w:val="634520EC"/>
    <w:rsid w:val="645314A2"/>
    <w:rsid w:val="66632315"/>
    <w:rsid w:val="6FEC4F07"/>
    <w:rsid w:val="76BB2FD7"/>
    <w:rsid w:val="7EBD2AC8"/>
    <w:rsid w:val="B7707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198</Words>
  <Characters>1130</Characters>
  <Lines>9</Lines>
  <Paragraphs>2</Paragraphs>
  <TotalTime>1</TotalTime>
  <ScaleCrop>false</ScaleCrop>
  <LinksUpToDate>false</LinksUpToDate>
  <CharactersWithSpaces>1326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2023-06-19T16:27:32Z</dcterms:modified>
  <dc:title>2021年杭州市流通领域(网络)</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