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方正小标宋_GBK" w:hAnsi="黑体" w:eastAsia="方正小标宋_GBK" w:cs="方正仿宋简体"/>
          <w:b w:val="0"/>
          <w:bCs w:val="0"/>
          <w:color w:val="000000"/>
          <w:sz w:val="36"/>
          <w:szCs w:val="36"/>
        </w:rPr>
      </w:pPr>
      <w:r>
        <w:rPr>
          <w:rFonts w:hint="eastAsia" w:ascii="方正小标宋_GBK" w:hAnsi="黑体" w:eastAsia="方正小标宋_GBK" w:cs="方正仿宋简体"/>
          <w:b w:val="0"/>
          <w:bCs w:val="0"/>
          <w:color w:val="000000"/>
          <w:sz w:val="36"/>
          <w:szCs w:val="36"/>
        </w:rPr>
        <w:t>2023年台州地区</w:t>
      </w:r>
    </w:p>
    <w:p>
      <w:pPr>
        <w:widowControl/>
        <w:jc w:val="center"/>
        <w:rPr>
          <w:rFonts w:ascii="方正小标宋_GBK" w:hAnsi="黑体" w:eastAsia="方正小标宋_GBK" w:cs="方正仿宋简体"/>
          <w:b w:val="0"/>
          <w:bCs w:val="0"/>
          <w:color w:val="000000"/>
          <w:sz w:val="36"/>
          <w:szCs w:val="36"/>
        </w:rPr>
      </w:pPr>
      <w:r>
        <w:rPr>
          <w:rFonts w:hint="eastAsia" w:ascii="方正小标宋_GBK" w:hAnsi="黑体" w:eastAsia="方正小标宋_GBK" w:cs="方正仿宋简体"/>
          <w:b w:val="0"/>
          <w:bCs w:val="0"/>
          <w:color w:val="000000"/>
          <w:sz w:val="36"/>
          <w:szCs w:val="36"/>
        </w:rPr>
        <w:t>农用地膜产品质量监督抽查实施细则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jc w:val="left"/>
        <w:rPr>
          <w:rFonts w:ascii="仿宋" w:hAnsi="仿宋" w:eastAsia="仿宋"/>
          <w:b/>
          <w:bCs/>
          <w:color w:val="000000"/>
          <w:sz w:val="24"/>
        </w:rPr>
      </w:pPr>
      <w:bookmarkStart w:id="0" w:name="_Hlk95300558"/>
      <w:r>
        <w:rPr>
          <w:rFonts w:hint="eastAsia" w:ascii="仿宋" w:hAnsi="仿宋" w:eastAsia="仿宋"/>
          <w:b/>
          <w:bCs/>
          <w:color w:val="000000"/>
          <w:sz w:val="24"/>
        </w:rPr>
        <w:t>适用范围</w:t>
      </w:r>
    </w:p>
    <w:p>
      <w:pPr>
        <w:adjustRightInd w:val="0"/>
        <w:snapToGrid w:val="0"/>
        <w:spacing w:line="360" w:lineRule="auto"/>
        <w:ind w:firstLine="495"/>
        <w:jc w:val="left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本实施细则适用于在台州地区内农用地膜产品质量的监督抽查。</w:t>
      </w:r>
    </w:p>
    <w:bookmarkEnd w:id="0"/>
    <w:p>
      <w:pPr>
        <w:adjustRightInd w:val="0"/>
        <w:snapToGrid w:val="0"/>
        <w:spacing w:line="360" w:lineRule="auto"/>
        <w:jc w:val="left"/>
        <w:rPr>
          <w:rFonts w:ascii="仿宋" w:hAnsi="仿宋" w:eastAsia="仿宋"/>
          <w:color w:val="000000"/>
          <w:sz w:val="24"/>
        </w:rPr>
      </w:pPr>
      <w:bookmarkStart w:id="1" w:name="_Hlk95300595"/>
      <w:r>
        <w:rPr>
          <w:rFonts w:hint="eastAsia" w:ascii="仿宋" w:hAnsi="仿宋" w:eastAsia="仿宋"/>
          <w:b/>
          <w:bCs/>
          <w:color w:val="000000"/>
          <w:sz w:val="24"/>
        </w:rPr>
        <w:t>二</w:t>
      </w:r>
      <w:r>
        <w:rPr>
          <w:rFonts w:hint="eastAsia" w:ascii="仿宋" w:hAnsi="仿宋" w:eastAsia="仿宋"/>
          <w:color w:val="000000"/>
          <w:sz w:val="24"/>
        </w:rPr>
        <w:t xml:space="preserve">、 </w:t>
      </w:r>
      <w:r>
        <w:rPr>
          <w:rFonts w:ascii="仿宋" w:hAnsi="仿宋" w:eastAsia="仿宋"/>
          <w:color w:val="000000"/>
          <w:sz w:val="24"/>
        </w:rPr>
        <w:t xml:space="preserve"> </w:t>
      </w:r>
      <w:r>
        <w:rPr>
          <w:rFonts w:hint="eastAsia" w:ascii="仿宋" w:hAnsi="仿宋" w:eastAsia="仿宋"/>
          <w:b/>
          <w:bCs/>
          <w:color w:val="000000"/>
          <w:sz w:val="24"/>
        </w:rPr>
        <w:t>检验</w:t>
      </w:r>
      <w:r>
        <w:rPr>
          <w:rFonts w:ascii="仿宋" w:hAnsi="仿宋" w:eastAsia="仿宋"/>
          <w:b/>
          <w:bCs/>
          <w:color w:val="000000"/>
          <w:sz w:val="24"/>
        </w:rPr>
        <w:t>依据</w:t>
      </w:r>
    </w:p>
    <w:bookmarkEnd w:id="1"/>
    <w:p>
      <w:pPr>
        <w:wordWrap w:val="0"/>
        <w:spacing w:line="360" w:lineRule="auto"/>
        <w:ind w:firstLine="480" w:firstLineChars="200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GB 13735-2017   聚乙烯吹塑农用地面覆盖薄膜</w:t>
      </w:r>
    </w:p>
    <w:p>
      <w:pPr>
        <w:wordWrap w:val="0"/>
        <w:spacing w:line="360" w:lineRule="auto"/>
        <w:ind w:firstLine="480" w:firstLineChars="200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GB/T 4455-2019  农业用聚乙烯吹塑棚膜</w:t>
      </w:r>
    </w:p>
    <w:p>
      <w:pPr>
        <w:wordWrap w:val="0"/>
        <w:spacing w:line="360" w:lineRule="auto"/>
        <w:ind w:firstLine="480" w:firstLineChars="200"/>
        <w:rPr>
          <w:rFonts w:ascii="仿宋" w:hAnsi="仿宋" w:eastAsia="仿宋"/>
          <w:color w:val="000000"/>
          <w:sz w:val="24"/>
        </w:rPr>
      </w:pPr>
      <w:r>
        <w:rPr>
          <w:rFonts w:ascii="仿宋" w:hAnsi="仿宋" w:eastAsia="仿宋"/>
          <w:color w:val="000000"/>
          <w:sz w:val="24"/>
        </w:rPr>
        <w:t>现行有效的</w:t>
      </w:r>
      <w:r>
        <w:rPr>
          <w:rFonts w:hint="eastAsia" w:ascii="仿宋" w:hAnsi="仿宋" w:eastAsia="仿宋"/>
          <w:color w:val="000000"/>
          <w:sz w:val="24"/>
        </w:rPr>
        <w:t>其他</w:t>
      </w:r>
      <w:r>
        <w:rPr>
          <w:rFonts w:ascii="仿宋" w:hAnsi="仿宋" w:eastAsia="仿宋"/>
          <w:color w:val="000000"/>
          <w:sz w:val="24"/>
        </w:rPr>
        <w:t>标准及产品明示质量要求</w:t>
      </w:r>
    </w:p>
    <w:p>
      <w:pPr>
        <w:adjustRightInd w:val="0"/>
        <w:snapToGrid w:val="0"/>
        <w:spacing w:line="360" w:lineRule="auto"/>
        <w:jc w:val="left"/>
        <w:rPr>
          <w:rFonts w:ascii="仿宋" w:hAnsi="仿宋" w:eastAsia="仿宋"/>
          <w:b/>
          <w:bCs/>
          <w:color w:val="000000"/>
          <w:sz w:val="24"/>
        </w:rPr>
      </w:pPr>
      <w:r>
        <w:rPr>
          <w:rFonts w:hint="eastAsia" w:ascii="仿宋" w:hAnsi="仿宋" w:eastAsia="仿宋"/>
          <w:b/>
          <w:bCs/>
          <w:color w:val="000000"/>
          <w:sz w:val="24"/>
        </w:rPr>
        <w:t xml:space="preserve">三、 </w:t>
      </w:r>
      <w:r>
        <w:rPr>
          <w:rFonts w:ascii="仿宋" w:hAnsi="仿宋" w:eastAsia="仿宋"/>
          <w:b/>
          <w:bCs/>
          <w:color w:val="000000"/>
          <w:sz w:val="24"/>
        </w:rPr>
        <w:t xml:space="preserve"> 抽样方法</w:t>
      </w:r>
    </w:p>
    <w:p>
      <w:pPr>
        <w:pStyle w:val="3"/>
        <w:adjustRightInd w:val="0"/>
        <w:snapToGrid w:val="0"/>
        <w:spacing w:line="360" w:lineRule="auto"/>
        <w:ind w:firstLine="480" w:firstLineChars="200"/>
        <w:jc w:val="left"/>
        <w:rPr>
          <w:rFonts w:ascii="仿宋" w:hAnsi="仿宋" w:eastAsia="仿宋"/>
          <w:color w:val="000000"/>
          <w:kern w:val="2"/>
          <w:sz w:val="24"/>
          <w:szCs w:val="24"/>
        </w:rPr>
      </w:pPr>
      <w:r>
        <w:rPr>
          <w:rFonts w:hint="eastAsia" w:ascii="仿宋" w:hAnsi="仿宋" w:eastAsia="仿宋"/>
          <w:color w:val="000000"/>
          <w:kern w:val="2"/>
          <w:sz w:val="24"/>
          <w:szCs w:val="24"/>
        </w:rPr>
        <w:t>以随机抽样的方式在被抽样生产者、销售者的待销产品中抽取。</w:t>
      </w:r>
    </w:p>
    <w:p>
      <w:pPr>
        <w:pStyle w:val="3"/>
        <w:adjustRightInd w:val="0"/>
        <w:snapToGrid w:val="0"/>
        <w:spacing w:line="360" w:lineRule="auto"/>
        <w:ind w:firstLine="480" w:firstLineChars="200"/>
        <w:jc w:val="left"/>
        <w:rPr>
          <w:rFonts w:ascii="仿宋" w:hAnsi="仿宋" w:eastAsia="仿宋"/>
          <w:color w:val="000000"/>
          <w:kern w:val="2"/>
          <w:sz w:val="24"/>
          <w:szCs w:val="24"/>
        </w:rPr>
      </w:pPr>
      <w:r>
        <w:rPr>
          <w:rFonts w:hint="eastAsia" w:ascii="仿宋" w:hAnsi="仿宋" w:eastAsia="仿宋"/>
          <w:color w:val="000000"/>
          <w:kern w:val="2"/>
          <w:sz w:val="24"/>
          <w:szCs w:val="24"/>
        </w:rPr>
        <w:t>随机数一般可使用随机数表等方法产生。</w:t>
      </w:r>
    </w:p>
    <w:p>
      <w:pPr>
        <w:pStyle w:val="3"/>
        <w:adjustRightInd w:val="0"/>
        <w:snapToGrid w:val="0"/>
        <w:spacing w:line="360" w:lineRule="auto"/>
        <w:ind w:firstLine="480" w:firstLineChars="200"/>
        <w:jc w:val="left"/>
        <w:rPr>
          <w:rFonts w:ascii="仿宋" w:hAnsi="仿宋" w:eastAsia="仿宋"/>
          <w:color w:val="000000"/>
          <w:kern w:val="2"/>
          <w:sz w:val="24"/>
          <w:szCs w:val="24"/>
        </w:rPr>
      </w:pPr>
      <w:r>
        <w:rPr>
          <w:rFonts w:hint="eastAsia" w:ascii="仿宋" w:hAnsi="仿宋" w:eastAsia="仿宋"/>
          <w:color w:val="000000"/>
          <w:kern w:val="2"/>
          <w:sz w:val="24"/>
          <w:szCs w:val="24"/>
        </w:rPr>
        <w:t>抽取同一生产者同一标准生产的同一商标、同一规格型号的农用地膜产品3卷（每卷膜外层除去至少2 m，膜卷宽度应在200mm以上）5</w:t>
      </w:r>
      <w:r>
        <w:rPr>
          <w:rFonts w:ascii="仿宋" w:hAnsi="仿宋" w:eastAsia="仿宋"/>
          <w:color w:val="000000"/>
          <w:kern w:val="2"/>
          <w:sz w:val="24"/>
          <w:szCs w:val="24"/>
        </w:rPr>
        <w:t>m</w:t>
      </w:r>
      <w:r>
        <w:rPr>
          <w:rFonts w:ascii="仿宋" w:hAnsi="仿宋" w:eastAsia="仿宋"/>
          <w:color w:val="000000"/>
          <w:kern w:val="2"/>
          <w:sz w:val="24"/>
          <w:szCs w:val="24"/>
          <w:vertAlign w:val="superscript"/>
        </w:rPr>
        <w:t>2</w:t>
      </w:r>
      <w:r>
        <w:rPr>
          <w:rFonts w:ascii="仿宋" w:hAnsi="仿宋" w:eastAsia="仿宋"/>
          <w:color w:val="000000"/>
          <w:kern w:val="2"/>
          <w:sz w:val="24"/>
          <w:szCs w:val="24"/>
        </w:rPr>
        <w:t>，</w:t>
      </w:r>
      <w:r>
        <w:rPr>
          <w:rFonts w:hint="eastAsia" w:ascii="仿宋" w:hAnsi="仿宋" w:eastAsia="仿宋"/>
          <w:color w:val="000000"/>
          <w:kern w:val="2"/>
          <w:sz w:val="24"/>
          <w:szCs w:val="24"/>
        </w:rPr>
        <w:t>，其中2卷作为检样，另1卷作为备样。样品应用</w:t>
      </w:r>
      <w:r>
        <w:rPr>
          <w:rFonts w:ascii="仿宋" w:hAnsi="仿宋" w:eastAsia="仿宋"/>
          <w:color w:val="000000"/>
          <w:kern w:val="2"/>
          <w:sz w:val="24"/>
          <w:szCs w:val="24"/>
        </w:rPr>
        <w:t>管芯卷轴小心卷好后封样。</w:t>
      </w:r>
    </w:p>
    <w:p>
      <w:pPr>
        <w:adjustRightInd w:val="0"/>
        <w:snapToGrid w:val="0"/>
        <w:spacing w:line="360" w:lineRule="auto"/>
        <w:jc w:val="left"/>
        <w:rPr>
          <w:rFonts w:ascii="仿宋" w:hAnsi="仿宋" w:eastAsia="仿宋"/>
          <w:b/>
          <w:bCs/>
          <w:color w:val="000000"/>
          <w:sz w:val="24"/>
        </w:rPr>
      </w:pPr>
      <w:r>
        <w:rPr>
          <w:rFonts w:hint="eastAsia" w:ascii="仿宋" w:hAnsi="仿宋" w:eastAsia="仿宋"/>
          <w:b/>
          <w:bCs/>
          <w:color w:val="000000"/>
          <w:sz w:val="24"/>
        </w:rPr>
        <w:t xml:space="preserve">四、 </w:t>
      </w:r>
      <w:r>
        <w:rPr>
          <w:rFonts w:ascii="仿宋" w:hAnsi="仿宋" w:eastAsia="仿宋"/>
          <w:b/>
          <w:bCs/>
          <w:color w:val="000000"/>
          <w:sz w:val="24"/>
        </w:rPr>
        <w:t>检验</w:t>
      </w:r>
      <w:r>
        <w:rPr>
          <w:rFonts w:hint="eastAsia" w:ascii="仿宋" w:hAnsi="仿宋" w:eastAsia="仿宋"/>
          <w:b/>
          <w:bCs/>
          <w:color w:val="000000"/>
          <w:sz w:val="24"/>
        </w:rPr>
        <w:t>项目</w:t>
      </w:r>
    </w:p>
    <w:p>
      <w:pPr>
        <w:ind w:left="911" w:leftChars="434"/>
        <w:jc w:val="center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表1明示执行标准为GB/T 4455-2019的产品，检验项目如下：</w:t>
      </w:r>
    </w:p>
    <w:tbl>
      <w:tblPr>
        <w:tblStyle w:val="7"/>
        <w:tblW w:w="80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2"/>
        <w:gridCol w:w="2268"/>
        <w:gridCol w:w="1579"/>
        <w:gridCol w:w="1276"/>
        <w:gridCol w:w="1114"/>
        <w:gridCol w:w="12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7" w:hRule="atLeast"/>
          <w:jc w:val="center"/>
        </w:trPr>
        <w:tc>
          <w:tcPr>
            <w:tcW w:w="602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int="eastAsia" w:hAnsi="宋体"/>
                <w:color w:val="000000"/>
              </w:rPr>
              <w:t>序号</w:t>
            </w:r>
          </w:p>
        </w:tc>
        <w:tc>
          <w:tcPr>
            <w:tcW w:w="2268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int="eastAsia" w:hAnsi="宋体"/>
                <w:color w:val="000000"/>
              </w:rPr>
              <w:t>检验项目</w:t>
            </w:r>
          </w:p>
        </w:tc>
        <w:tc>
          <w:tcPr>
            <w:tcW w:w="1579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int="eastAsia" w:hAnsi="宋体"/>
                <w:color w:val="000000"/>
              </w:rPr>
              <w:t>标准条款</w:t>
            </w:r>
          </w:p>
        </w:tc>
        <w:tc>
          <w:tcPr>
            <w:tcW w:w="1276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int="eastAsia" w:hAnsi="宋体"/>
                <w:color w:val="000000"/>
                <w:spacing w:val="-16"/>
              </w:rPr>
              <w:t>项目设定</w:t>
            </w:r>
          </w:p>
        </w:tc>
        <w:tc>
          <w:tcPr>
            <w:tcW w:w="1114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int="eastAsia" w:hAnsi="宋体"/>
                <w:color w:val="000000"/>
              </w:rPr>
              <w:t>复检用样品</w:t>
            </w:r>
          </w:p>
        </w:tc>
        <w:tc>
          <w:tcPr>
            <w:tcW w:w="1253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int="eastAsia" w:hAnsi="宋体"/>
                <w:color w:val="00000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atLeast"/>
          <w:jc w:val="center"/>
        </w:trPr>
        <w:tc>
          <w:tcPr>
            <w:tcW w:w="602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int="eastAsia" w:hAnsi="宋体"/>
                <w:color w:val="000000"/>
              </w:rPr>
              <w:t>1</w:t>
            </w:r>
          </w:p>
        </w:tc>
        <w:tc>
          <w:tcPr>
            <w:tcW w:w="2268" w:type="dxa"/>
            <w:vAlign w:val="center"/>
          </w:tcPr>
          <w:p>
            <w:pPr>
              <w:pStyle w:val="3"/>
              <w:adjustRightInd w:val="0"/>
              <w:snapToGrid w:val="0"/>
              <w:ind w:firstLine="100" w:firstLineChars="50"/>
              <w:jc w:val="center"/>
              <w:rPr>
                <w:rFonts w:hAnsi="宋体"/>
                <w:color w:val="000000"/>
              </w:rPr>
            </w:pPr>
            <w:r>
              <w:rPr>
                <w:rFonts w:hint="eastAsia" w:hAnsi="宋体"/>
                <w:color w:val="000000"/>
              </w:rPr>
              <w:t>宽度极限偏差</w:t>
            </w:r>
          </w:p>
        </w:tc>
        <w:tc>
          <w:tcPr>
            <w:tcW w:w="1579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int="eastAsia" w:hAnsi="宋体"/>
                <w:color w:val="000000"/>
              </w:rPr>
              <w:t>GB/T 4455-2019 6.1</w:t>
            </w:r>
          </w:p>
        </w:tc>
        <w:tc>
          <w:tcPr>
            <w:tcW w:w="1276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int="eastAsia" w:hAnsi="宋体"/>
                <w:color w:val="000000"/>
              </w:rPr>
              <w:t>非主要项目</w:t>
            </w:r>
          </w:p>
        </w:tc>
        <w:tc>
          <w:tcPr>
            <w:tcW w:w="1114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int="eastAsia" w:hAnsi="宋体"/>
                <w:color w:val="000000"/>
              </w:rPr>
              <w:t>原样</w:t>
            </w:r>
          </w:p>
        </w:tc>
        <w:tc>
          <w:tcPr>
            <w:tcW w:w="1253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/>
                <w:color w:val="000000"/>
                <w:sz w:val="18"/>
                <w:szCs w:val="18"/>
              </w:rPr>
            </w:pPr>
            <w:r>
              <w:rPr>
                <w:rFonts w:hint="eastAsia" w:hAnsi="宋体"/>
                <w:color w:val="000000"/>
                <w:sz w:val="18"/>
                <w:szCs w:val="18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3" w:hRule="atLeast"/>
          <w:jc w:val="center"/>
        </w:trPr>
        <w:tc>
          <w:tcPr>
            <w:tcW w:w="602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int="eastAsia" w:hAnsi="宋体"/>
                <w:color w:val="000000"/>
              </w:rPr>
              <w:t>2</w:t>
            </w:r>
          </w:p>
        </w:tc>
        <w:tc>
          <w:tcPr>
            <w:tcW w:w="2268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int="eastAsia" w:hAnsi="宋体"/>
                <w:color w:val="000000"/>
              </w:rPr>
              <w:t>厚度极限偏差</w:t>
            </w:r>
          </w:p>
        </w:tc>
        <w:tc>
          <w:tcPr>
            <w:tcW w:w="1579" w:type="dxa"/>
            <w:vMerge w:val="restart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int="eastAsia" w:hAnsi="宋体"/>
                <w:color w:val="000000"/>
              </w:rPr>
              <w:t>GB/T 4455-2019 6.2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int="eastAsia" w:hAnsi="宋体"/>
                <w:color w:val="000000"/>
              </w:rPr>
              <w:t>非主要项目</w:t>
            </w:r>
          </w:p>
        </w:tc>
        <w:tc>
          <w:tcPr>
            <w:tcW w:w="1114" w:type="dxa"/>
            <w:vMerge w:val="restart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int="eastAsia" w:hAnsi="宋体"/>
                <w:color w:val="000000"/>
              </w:rPr>
              <w:t>原样</w:t>
            </w:r>
          </w:p>
        </w:tc>
        <w:tc>
          <w:tcPr>
            <w:tcW w:w="1253" w:type="dxa"/>
            <w:vMerge w:val="restart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/>
                <w:color w:val="000000"/>
                <w:sz w:val="18"/>
                <w:szCs w:val="18"/>
              </w:rPr>
            </w:pPr>
            <w:r>
              <w:rPr>
                <w:rFonts w:hint="eastAsia" w:hAnsi="宋体"/>
                <w:color w:val="000000"/>
                <w:sz w:val="18"/>
                <w:szCs w:val="18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  <w:jc w:val="center"/>
        </w:trPr>
        <w:tc>
          <w:tcPr>
            <w:tcW w:w="602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int="eastAsia" w:hAnsi="宋体"/>
                <w:color w:val="000000"/>
              </w:rPr>
              <w:t>3</w:t>
            </w:r>
          </w:p>
        </w:tc>
        <w:tc>
          <w:tcPr>
            <w:tcW w:w="2268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/>
                <w:b/>
                <w:color w:val="000000"/>
              </w:rPr>
            </w:pPr>
            <w:r>
              <w:rPr>
                <w:rFonts w:hint="eastAsia" w:hAnsi="宋体"/>
                <w:color w:val="000000"/>
              </w:rPr>
              <w:t>厚度平均偏差</w:t>
            </w:r>
          </w:p>
        </w:tc>
        <w:tc>
          <w:tcPr>
            <w:tcW w:w="1579" w:type="dxa"/>
            <w:vMerge w:val="continue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</w:p>
        </w:tc>
        <w:tc>
          <w:tcPr>
            <w:tcW w:w="1114" w:type="dxa"/>
            <w:vMerge w:val="continue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</w:p>
        </w:tc>
        <w:tc>
          <w:tcPr>
            <w:tcW w:w="1253" w:type="dxa"/>
            <w:vMerge w:val="continue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  <w:jc w:val="center"/>
        </w:trPr>
        <w:tc>
          <w:tcPr>
            <w:tcW w:w="602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int="eastAsia" w:hAnsi="宋体"/>
                <w:color w:val="000000"/>
              </w:rPr>
              <w:t>4</w:t>
            </w:r>
          </w:p>
        </w:tc>
        <w:tc>
          <w:tcPr>
            <w:tcW w:w="2268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int="eastAsia" w:hAnsi="宋体"/>
                <w:color w:val="000000"/>
              </w:rPr>
              <w:t>拉伸强度</w:t>
            </w:r>
          </w:p>
        </w:tc>
        <w:tc>
          <w:tcPr>
            <w:tcW w:w="1579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int="eastAsia" w:hAnsi="宋体"/>
                <w:color w:val="000000"/>
              </w:rPr>
              <w:t>GB/T 4455-2019 6.5</w:t>
            </w:r>
          </w:p>
        </w:tc>
        <w:tc>
          <w:tcPr>
            <w:tcW w:w="1276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int="eastAsia" w:hAnsi="宋体"/>
                <w:color w:val="000000"/>
              </w:rPr>
              <w:t>主要项目</w:t>
            </w:r>
          </w:p>
        </w:tc>
        <w:tc>
          <w:tcPr>
            <w:tcW w:w="1114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int="eastAsia" w:hAnsi="宋体"/>
                <w:color w:val="000000"/>
              </w:rPr>
              <w:t>备样</w:t>
            </w:r>
          </w:p>
        </w:tc>
        <w:tc>
          <w:tcPr>
            <w:tcW w:w="1253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/>
                <w:color w:val="000000"/>
                <w:sz w:val="18"/>
                <w:szCs w:val="18"/>
              </w:rPr>
            </w:pPr>
            <w:r>
              <w:rPr>
                <w:rFonts w:hint="eastAsia" w:hAnsi="宋体"/>
                <w:color w:val="000000"/>
                <w:sz w:val="18"/>
                <w:szCs w:val="18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3" w:hRule="atLeast"/>
          <w:jc w:val="center"/>
        </w:trPr>
        <w:tc>
          <w:tcPr>
            <w:tcW w:w="602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int="eastAsia" w:hAnsi="宋体"/>
                <w:color w:val="000000"/>
              </w:rPr>
              <w:t>5</w:t>
            </w:r>
          </w:p>
        </w:tc>
        <w:tc>
          <w:tcPr>
            <w:tcW w:w="2268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int="eastAsia" w:hAnsi="宋体"/>
                <w:color w:val="000000"/>
              </w:rPr>
              <w:t>断裂标称应变</w:t>
            </w:r>
          </w:p>
        </w:tc>
        <w:tc>
          <w:tcPr>
            <w:tcW w:w="1579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int="eastAsia" w:hAnsi="宋体"/>
                <w:color w:val="000000"/>
              </w:rPr>
              <w:t>GB/T 4455-2019 6.5</w:t>
            </w:r>
          </w:p>
        </w:tc>
        <w:tc>
          <w:tcPr>
            <w:tcW w:w="1276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int="eastAsia" w:hAnsi="宋体"/>
                <w:color w:val="000000"/>
              </w:rPr>
              <w:t>主要项目</w:t>
            </w:r>
          </w:p>
        </w:tc>
        <w:tc>
          <w:tcPr>
            <w:tcW w:w="1114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int="eastAsia" w:hAnsi="宋体"/>
                <w:color w:val="000000"/>
              </w:rPr>
              <w:t>备样</w:t>
            </w:r>
          </w:p>
        </w:tc>
        <w:tc>
          <w:tcPr>
            <w:tcW w:w="1253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/>
                <w:color w:val="000000"/>
                <w:sz w:val="18"/>
                <w:szCs w:val="18"/>
              </w:rPr>
            </w:pPr>
            <w:r>
              <w:rPr>
                <w:rFonts w:hint="eastAsia" w:hAnsi="宋体"/>
                <w:color w:val="000000"/>
                <w:sz w:val="18"/>
                <w:szCs w:val="18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atLeast"/>
          <w:jc w:val="center"/>
        </w:trPr>
        <w:tc>
          <w:tcPr>
            <w:tcW w:w="602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int="eastAsia" w:hAnsi="宋体"/>
                <w:color w:val="000000"/>
              </w:rPr>
              <w:t>6</w:t>
            </w:r>
          </w:p>
        </w:tc>
        <w:tc>
          <w:tcPr>
            <w:tcW w:w="2268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int="eastAsia" w:hAnsi="宋体"/>
                <w:color w:val="000000"/>
              </w:rPr>
              <w:t>直角撕裂强度</w:t>
            </w:r>
          </w:p>
        </w:tc>
        <w:tc>
          <w:tcPr>
            <w:tcW w:w="1579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int="eastAsia" w:hAnsi="宋体"/>
                <w:color w:val="000000"/>
              </w:rPr>
              <w:t>GB/T 4455-2019 6.5</w:t>
            </w:r>
          </w:p>
        </w:tc>
        <w:tc>
          <w:tcPr>
            <w:tcW w:w="1276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int="eastAsia" w:hAnsi="宋体"/>
                <w:color w:val="000000"/>
              </w:rPr>
              <w:t>主要项目</w:t>
            </w:r>
          </w:p>
        </w:tc>
        <w:tc>
          <w:tcPr>
            <w:tcW w:w="1114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int="eastAsia" w:hAnsi="宋体"/>
                <w:color w:val="000000"/>
              </w:rPr>
              <w:t>备样</w:t>
            </w:r>
          </w:p>
        </w:tc>
        <w:tc>
          <w:tcPr>
            <w:tcW w:w="1253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/>
                <w:color w:val="000000"/>
                <w:sz w:val="18"/>
                <w:szCs w:val="18"/>
              </w:rPr>
            </w:pPr>
            <w:r>
              <w:rPr>
                <w:rFonts w:hint="eastAsia" w:hAnsi="宋体"/>
                <w:color w:val="000000"/>
                <w:sz w:val="18"/>
                <w:szCs w:val="18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jc w:val="center"/>
        </w:trPr>
        <w:tc>
          <w:tcPr>
            <w:tcW w:w="602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int="eastAsia" w:hAnsi="宋体"/>
                <w:color w:val="000000"/>
              </w:rPr>
              <w:t>7</w:t>
            </w:r>
          </w:p>
        </w:tc>
        <w:tc>
          <w:tcPr>
            <w:tcW w:w="2268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int="eastAsia" w:hAnsi="宋体"/>
                <w:color w:val="000000"/>
              </w:rPr>
              <w:t>透光率</w:t>
            </w:r>
          </w:p>
        </w:tc>
        <w:tc>
          <w:tcPr>
            <w:tcW w:w="1579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int="eastAsia" w:hAnsi="宋体"/>
                <w:color w:val="000000"/>
              </w:rPr>
              <w:t>GB/T 4455-2019 6.7</w:t>
            </w:r>
          </w:p>
        </w:tc>
        <w:tc>
          <w:tcPr>
            <w:tcW w:w="1276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int="eastAsia" w:hAnsi="宋体"/>
                <w:color w:val="000000"/>
              </w:rPr>
              <w:t>主要项目</w:t>
            </w:r>
          </w:p>
        </w:tc>
        <w:tc>
          <w:tcPr>
            <w:tcW w:w="1114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int="eastAsia" w:hAnsi="宋体"/>
                <w:color w:val="000000"/>
              </w:rPr>
              <w:t>备样</w:t>
            </w:r>
          </w:p>
        </w:tc>
        <w:tc>
          <w:tcPr>
            <w:tcW w:w="1253" w:type="dxa"/>
            <w:vMerge w:val="restart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/>
                <w:color w:val="000000"/>
                <w:sz w:val="18"/>
                <w:szCs w:val="18"/>
                <w:highlight w:val="yellow"/>
              </w:rPr>
            </w:pPr>
            <w:r>
              <w:rPr>
                <w:rFonts w:hint="eastAsia" w:hAnsi="宋体"/>
                <w:color w:val="000000"/>
                <w:sz w:val="18"/>
                <w:szCs w:val="18"/>
              </w:rPr>
              <w:t>仅适用于B、C类棚膜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  <w:jc w:val="center"/>
        </w:trPr>
        <w:tc>
          <w:tcPr>
            <w:tcW w:w="602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int="eastAsia" w:hAnsi="宋体"/>
                <w:color w:val="000000"/>
              </w:rPr>
              <w:t>8</w:t>
            </w:r>
          </w:p>
        </w:tc>
        <w:tc>
          <w:tcPr>
            <w:tcW w:w="2268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int="eastAsia" w:hAnsi="宋体"/>
                <w:color w:val="000000"/>
              </w:rPr>
              <w:t>雾度</w:t>
            </w:r>
          </w:p>
        </w:tc>
        <w:tc>
          <w:tcPr>
            <w:tcW w:w="1579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int="eastAsia" w:hAnsi="宋体"/>
                <w:color w:val="000000"/>
              </w:rPr>
              <w:t>GB/T 4455-2019 6.7</w:t>
            </w:r>
          </w:p>
        </w:tc>
        <w:tc>
          <w:tcPr>
            <w:tcW w:w="1276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/>
                <w:color w:val="000000"/>
                <w:highlight w:val="yellow"/>
              </w:rPr>
            </w:pPr>
            <w:r>
              <w:rPr>
                <w:rFonts w:hint="eastAsia" w:hAnsi="宋体"/>
                <w:color w:val="000000"/>
              </w:rPr>
              <w:t>主要项目</w:t>
            </w:r>
          </w:p>
        </w:tc>
        <w:tc>
          <w:tcPr>
            <w:tcW w:w="1114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/>
                <w:color w:val="000000"/>
                <w:highlight w:val="yellow"/>
              </w:rPr>
            </w:pPr>
            <w:r>
              <w:rPr>
                <w:rFonts w:hint="eastAsia" w:hAnsi="宋体"/>
                <w:color w:val="000000"/>
              </w:rPr>
              <w:t>备样</w:t>
            </w:r>
          </w:p>
        </w:tc>
        <w:tc>
          <w:tcPr>
            <w:tcW w:w="1253" w:type="dxa"/>
            <w:vMerge w:val="continue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/>
                <w:color w:val="000000"/>
                <w:sz w:val="18"/>
                <w:szCs w:val="18"/>
                <w:highlight w:val="yellow"/>
              </w:rPr>
            </w:pPr>
          </w:p>
        </w:tc>
      </w:tr>
    </w:tbl>
    <w:p>
      <w:pPr>
        <w:rPr>
          <w:rFonts w:ascii="宋体" w:hAnsi="宋体"/>
          <w:color w:val="000000"/>
        </w:rPr>
      </w:pPr>
    </w:p>
    <w:p>
      <w:pPr>
        <w:ind w:left="911" w:leftChars="434"/>
        <w:jc w:val="center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表2明示执行标准为GB 13735-2017的产品，检验项目如下：</w:t>
      </w:r>
    </w:p>
    <w:tbl>
      <w:tblPr>
        <w:tblStyle w:val="7"/>
        <w:tblW w:w="80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5"/>
        <w:gridCol w:w="2268"/>
        <w:gridCol w:w="1630"/>
        <w:gridCol w:w="1205"/>
        <w:gridCol w:w="1134"/>
        <w:gridCol w:w="12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tblHeader/>
          <w:jc w:val="center"/>
        </w:trPr>
        <w:tc>
          <w:tcPr>
            <w:tcW w:w="605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int="eastAsia" w:hAnsi="宋体"/>
                <w:color w:val="000000"/>
              </w:rPr>
              <w:t>序号</w:t>
            </w:r>
          </w:p>
        </w:tc>
        <w:tc>
          <w:tcPr>
            <w:tcW w:w="2268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int="eastAsia" w:hAnsi="宋体"/>
                <w:color w:val="000000"/>
              </w:rPr>
              <w:t>检验项目</w:t>
            </w:r>
          </w:p>
        </w:tc>
        <w:tc>
          <w:tcPr>
            <w:tcW w:w="163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int="eastAsia" w:hAnsi="宋体"/>
                <w:color w:val="000000"/>
              </w:rPr>
              <w:t>标准条款</w:t>
            </w:r>
          </w:p>
        </w:tc>
        <w:tc>
          <w:tcPr>
            <w:tcW w:w="1205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int="eastAsia" w:hAnsi="宋体"/>
                <w:color w:val="000000"/>
                <w:spacing w:val="-16"/>
              </w:rPr>
              <w:t>项目设定</w:t>
            </w:r>
          </w:p>
        </w:tc>
        <w:tc>
          <w:tcPr>
            <w:tcW w:w="1134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int="eastAsia" w:hAnsi="宋体"/>
                <w:color w:val="000000"/>
              </w:rPr>
              <w:t>复检用样品</w:t>
            </w:r>
          </w:p>
        </w:tc>
        <w:tc>
          <w:tcPr>
            <w:tcW w:w="1256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int="eastAsia" w:hAnsi="宋体"/>
                <w:color w:val="00000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7" w:hRule="atLeast"/>
          <w:jc w:val="center"/>
        </w:trPr>
        <w:tc>
          <w:tcPr>
            <w:tcW w:w="605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int="eastAsia" w:hAnsi="宋体"/>
                <w:color w:val="000000"/>
              </w:rPr>
              <w:t>1</w:t>
            </w:r>
          </w:p>
        </w:tc>
        <w:tc>
          <w:tcPr>
            <w:tcW w:w="2268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int="eastAsia" w:hAnsi="宋体"/>
                <w:color w:val="000000"/>
              </w:rPr>
              <w:t>厚度</w:t>
            </w:r>
          </w:p>
        </w:tc>
        <w:tc>
          <w:tcPr>
            <w:tcW w:w="163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int="eastAsia" w:hAnsi="宋体"/>
                <w:color w:val="000000"/>
              </w:rPr>
              <w:t>GB 13735-2017 5.1.1</w:t>
            </w:r>
          </w:p>
        </w:tc>
        <w:tc>
          <w:tcPr>
            <w:tcW w:w="1205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int="eastAsia"/>
                <w:color w:val="000000"/>
              </w:rPr>
              <w:t>强制性条款</w:t>
            </w:r>
          </w:p>
        </w:tc>
        <w:tc>
          <w:tcPr>
            <w:tcW w:w="1134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int="eastAsia" w:hAnsi="宋体"/>
                <w:color w:val="000000"/>
              </w:rPr>
              <w:t>原样</w:t>
            </w:r>
          </w:p>
        </w:tc>
        <w:tc>
          <w:tcPr>
            <w:tcW w:w="1256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int="eastAsia" w:hAnsi="宋体"/>
                <w:color w:val="000000"/>
                <w:sz w:val="18"/>
                <w:szCs w:val="18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3" w:hRule="atLeast"/>
          <w:jc w:val="center"/>
        </w:trPr>
        <w:tc>
          <w:tcPr>
            <w:tcW w:w="605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int="eastAsia" w:hAnsi="宋体"/>
                <w:color w:val="000000"/>
              </w:rPr>
              <w:t>2</w:t>
            </w:r>
          </w:p>
        </w:tc>
        <w:tc>
          <w:tcPr>
            <w:tcW w:w="2268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/>
                <w:b/>
                <w:color w:val="000000"/>
              </w:rPr>
            </w:pPr>
            <w:r>
              <w:rPr>
                <w:rFonts w:hint="eastAsia" w:hAnsi="宋体"/>
                <w:color w:val="000000"/>
              </w:rPr>
              <w:t>厚度偏差</w:t>
            </w:r>
          </w:p>
        </w:tc>
        <w:tc>
          <w:tcPr>
            <w:tcW w:w="163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int="eastAsia" w:hAnsi="宋体"/>
                <w:color w:val="000000"/>
              </w:rPr>
              <w:t>GB 13735-2017 5.1.2</w:t>
            </w:r>
          </w:p>
        </w:tc>
        <w:tc>
          <w:tcPr>
            <w:tcW w:w="1205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int="eastAsia"/>
                <w:color w:val="000000"/>
              </w:rPr>
              <w:t>强制性条款</w:t>
            </w:r>
          </w:p>
        </w:tc>
        <w:tc>
          <w:tcPr>
            <w:tcW w:w="1134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int="eastAsia" w:hAnsi="宋体"/>
                <w:color w:val="000000"/>
              </w:rPr>
              <w:t>原样</w:t>
            </w:r>
          </w:p>
        </w:tc>
        <w:tc>
          <w:tcPr>
            <w:tcW w:w="1256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int="eastAsia" w:hAnsi="宋体"/>
                <w:color w:val="000000"/>
                <w:sz w:val="18"/>
                <w:szCs w:val="18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  <w:jc w:val="center"/>
        </w:trPr>
        <w:tc>
          <w:tcPr>
            <w:tcW w:w="605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int="eastAsia" w:hAnsi="宋体"/>
                <w:color w:val="000000"/>
              </w:rPr>
              <w:t>3</w:t>
            </w:r>
          </w:p>
        </w:tc>
        <w:tc>
          <w:tcPr>
            <w:tcW w:w="2268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int="eastAsia" w:hAnsi="宋体"/>
                <w:color w:val="000000"/>
              </w:rPr>
              <w:t>宽度极限偏差</w:t>
            </w:r>
          </w:p>
        </w:tc>
        <w:tc>
          <w:tcPr>
            <w:tcW w:w="163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int="eastAsia" w:hAnsi="宋体"/>
                <w:color w:val="000000"/>
              </w:rPr>
              <w:t>GB 13735-2017 5.2</w:t>
            </w:r>
          </w:p>
        </w:tc>
        <w:tc>
          <w:tcPr>
            <w:tcW w:w="1205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int="eastAsia" w:hAnsi="宋体"/>
                <w:color w:val="000000"/>
              </w:rPr>
              <w:t>非主要项目</w:t>
            </w:r>
          </w:p>
        </w:tc>
        <w:tc>
          <w:tcPr>
            <w:tcW w:w="1134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int="eastAsia" w:hAnsi="宋体"/>
                <w:color w:val="000000"/>
              </w:rPr>
              <w:t>原样</w:t>
            </w:r>
          </w:p>
        </w:tc>
        <w:tc>
          <w:tcPr>
            <w:tcW w:w="1256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/>
                <w:color w:val="000000"/>
                <w:sz w:val="18"/>
                <w:szCs w:val="18"/>
              </w:rPr>
            </w:pPr>
            <w:r>
              <w:rPr>
                <w:rFonts w:hint="eastAsia" w:hAnsi="宋体"/>
                <w:color w:val="000000"/>
                <w:sz w:val="18"/>
                <w:szCs w:val="18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9" w:hRule="atLeast"/>
          <w:jc w:val="center"/>
        </w:trPr>
        <w:tc>
          <w:tcPr>
            <w:tcW w:w="605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int="eastAsia" w:hAnsi="宋体"/>
                <w:color w:val="000000"/>
              </w:rPr>
              <w:t>4</w:t>
            </w:r>
          </w:p>
        </w:tc>
        <w:tc>
          <w:tcPr>
            <w:tcW w:w="2268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int="eastAsia" w:hAnsi="宋体"/>
                <w:color w:val="000000"/>
              </w:rPr>
              <w:t>拉伸负荷</w:t>
            </w:r>
          </w:p>
        </w:tc>
        <w:tc>
          <w:tcPr>
            <w:tcW w:w="163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int="eastAsia" w:hAnsi="宋体"/>
                <w:color w:val="000000"/>
              </w:rPr>
              <w:t>GB 13735-2017 5.5</w:t>
            </w:r>
          </w:p>
        </w:tc>
        <w:tc>
          <w:tcPr>
            <w:tcW w:w="1205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int="eastAsia"/>
                <w:color w:val="000000"/>
              </w:rPr>
              <w:t>强制性条款</w:t>
            </w:r>
          </w:p>
        </w:tc>
        <w:tc>
          <w:tcPr>
            <w:tcW w:w="1134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int="eastAsia" w:hAnsi="宋体"/>
                <w:color w:val="000000"/>
              </w:rPr>
              <w:t>备样</w:t>
            </w:r>
          </w:p>
        </w:tc>
        <w:tc>
          <w:tcPr>
            <w:tcW w:w="1256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int="eastAsia" w:hAnsi="宋体"/>
                <w:color w:val="000000"/>
                <w:sz w:val="18"/>
                <w:szCs w:val="18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3" w:hRule="atLeast"/>
          <w:jc w:val="center"/>
        </w:trPr>
        <w:tc>
          <w:tcPr>
            <w:tcW w:w="605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int="eastAsia" w:hAnsi="宋体"/>
                <w:color w:val="000000"/>
              </w:rPr>
              <w:t>5</w:t>
            </w:r>
          </w:p>
        </w:tc>
        <w:tc>
          <w:tcPr>
            <w:tcW w:w="2268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int="eastAsia" w:hAnsi="宋体"/>
                <w:color w:val="000000"/>
              </w:rPr>
              <w:t>断裂标称应变</w:t>
            </w:r>
          </w:p>
        </w:tc>
        <w:tc>
          <w:tcPr>
            <w:tcW w:w="163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int="eastAsia" w:hAnsi="宋体"/>
                <w:color w:val="000000"/>
              </w:rPr>
              <w:t>GB 13735-2017 5.5</w:t>
            </w:r>
          </w:p>
        </w:tc>
        <w:tc>
          <w:tcPr>
            <w:tcW w:w="1205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int="eastAsia"/>
                <w:color w:val="000000"/>
              </w:rPr>
              <w:t>强制性条款</w:t>
            </w:r>
          </w:p>
        </w:tc>
        <w:tc>
          <w:tcPr>
            <w:tcW w:w="1134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int="eastAsia" w:hAnsi="宋体"/>
                <w:color w:val="000000"/>
              </w:rPr>
              <w:t>备样</w:t>
            </w:r>
          </w:p>
        </w:tc>
        <w:tc>
          <w:tcPr>
            <w:tcW w:w="1256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int="eastAsia" w:hAnsi="宋体"/>
                <w:color w:val="000000"/>
                <w:sz w:val="18"/>
                <w:szCs w:val="18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7" w:hRule="atLeast"/>
          <w:jc w:val="center"/>
        </w:trPr>
        <w:tc>
          <w:tcPr>
            <w:tcW w:w="605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int="eastAsia" w:hAnsi="宋体"/>
                <w:color w:val="000000"/>
              </w:rPr>
              <w:t>6</w:t>
            </w:r>
          </w:p>
        </w:tc>
        <w:tc>
          <w:tcPr>
            <w:tcW w:w="2268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int="eastAsia" w:hAnsi="宋体"/>
                <w:color w:val="000000"/>
              </w:rPr>
              <w:t>直角撕裂负荷</w:t>
            </w:r>
          </w:p>
        </w:tc>
        <w:tc>
          <w:tcPr>
            <w:tcW w:w="1630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int="eastAsia" w:hAnsi="宋体"/>
                <w:color w:val="000000"/>
              </w:rPr>
              <w:t>GB 13735-2017 5.5</w:t>
            </w:r>
          </w:p>
        </w:tc>
        <w:tc>
          <w:tcPr>
            <w:tcW w:w="1205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int="eastAsia"/>
                <w:color w:val="000000"/>
              </w:rPr>
              <w:t>强制性条款</w:t>
            </w:r>
          </w:p>
        </w:tc>
        <w:tc>
          <w:tcPr>
            <w:tcW w:w="1134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/>
                <w:color w:val="000000"/>
              </w:rPr>
            </w:pPr>
            <w:r>
              <w:rPr>
                <w:rFonts w:hint="eastAsia" w:hAnsi="宋体"/>
                <w:color w:val="000000"/>
              </w:rPr>
              <w:t>备样</w:t>
            </w:r>
          </w:p>
        </w:tc>
        <w:tc>
          <w:tcPr>
            <w:tcW w:w="1256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int="eastAsia" w:hAnsi="宋体"/>
                <w:color w:val="000000"/>
                <w:sz w:val="18"/>
                <w:szCs w:val="18"/>
              </w:rPr>
              <w:t>/</w:t>
            </w:r>
          </w:p>
        </w:tc>
      </w:tr>
    </w:tbl>
    <w:p>
      <w:pPr>
        <w:adjustRightInd w:val="0"/>
        <w:snapToGrid w:val="0"/>
        <w:spacing w:line="360" w:lineRule="auto"/>
        <w:ind w:firstLine="480" w:firstLineChars="200"/>
        <w:jc w:val="left"/>
        <w:rPr>
          <w:rFonts w:ascii="仿宋" w:hAnsi="仿宋" w:eastAsia="仿宋"/>
          <w:color w:val="000000"/>
          <w:sz w:val="24"/>
        </w:rPr>
      </w:pPr>
      <w:r>
        <w:rPr>
          <w:rFonts w:ascii="仿宋" w:hAnsi="仿宋" w:eastAsia="仿宋"/>
          <w:color w:val="000000"/>
          <w:sz w:val="24"/>
        </w:rPr>
        <w:t>凡是注日期的文件，其随后所有的修改单（不包括勘误的内容）或修订版不适用于本细则。凡是不注日期的文件，其最新版本适用于本细则。</w:t>
      </w:r>
    </w:p>
    <w:p>
      <w:pPr>
        <w:adjustRightInd w:val="0"/>
        <w:snapToGrid w:val="0"/>
        <w:spacing w:line="360" w:lineRule="auto"/>
        <w:jc w:val="left"/>
        <w:rPr>
          <w:rFonts w:ascii="仿宋" w:hAnsi="仿宋" w:eastAsia="仿宋"/>
          <w:b/>
          <w:bCs/>
          <w:color w:val="000000"/>
          <w:sz w:val="24"/>
        </w:rPr>
      </w:pPr>
      <w:r>
        <w:rPr>
          <w:rFonts w:hint="eastAsia" w:ascii="仿宋" w:hAnsi="仿宋" w:eastAsia="仿宋"/>
          <w:b/>
          <w:bCs/>
          <w:color w:val="000000"/>
          <w:sz w:val="24"/>
        </w:rPr>
        <w:t xml:space="preserve">五、 </w:t>
      </w:r>
      <w:r>
        <w:rPr>
          <w:rFonts w:ascii="仿宋" w:hAnsi="仿宋" w:eastAsia="仿宋"/>
          <w:b/>
          <w:bCs/>
          <w:color w:val="000000"/>
          <w:sz w:val="24"/>
        </w:rPr>
        <w:t>判定规则</w:t>
      </w:r>
    </w:p>
    <w:p>
      <w:pPr>
        <w:adjustRightInd w:val="0"/>
        <w:snapToGrid w:val="0"/>
        <w:spacing w:line="360" w:lineRule="auto"/>
        <w:ind w:firstLine="360" w:firstLineChars="150"/>
        <w:jc w:val="left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（一）判定总则</w:t>
      </w:r>
    </w:p>
    <w:p>
      <w:pPr>
        <w:spacing w:line="360" w:lineRule="auto"/>
        <w:ind w:firstLine="480" w:firstLineChars="200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1.当产品的国家、行业、地方强制性标准（含国家、行业、地方推荐性标准中的强制性条款）和执行的企业标准（含明示质量指标）各技术要求不一致时，应按其中最严要求进行质量判定。</w:t>
      </w:r>
    </w:p>
    <w:p>
      <w:pPr>
        <w:spacing w:line="360" w:lineRule="auto"/>
        <w:ind w:firstLine="480" w:firstLineChars="200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2.当产品执行国家、行业、地方标准时,按国家、行业、地方标准要求进行质量判定。</w:t>
      </w:r>
    </w:p>
    <w:p>
      <w:pPr>
        <w:pStyle w:val="3"/>
        <w:adjustRightInd w:val="0"/>
        <w:snapToGrid w:val="0"/>
        <w:spacing w:line="360" w:lineRule="auto"/>
        <w:ind w:firstLine="420"/>
        <w:jc w:val="left"/>
        <w:rPr>
          <w:rFonts w:ascii="仿宋" w:hAnsi="仿宋" w:eastAsia="仿宋"/>
          <w:color w:val="000000"/>
          <w:sz w:val="24"/>
          <w:szCs w:val="24"/>
        </w:rPr>
      </w:pPr>
      <w:r>
        <w:rPr>
          <w:rFonts w:hint="eastAsia" w:ascii="仿宋" w:hAnsi="仿宋" w:eastAsia="仿宋"/>
          <w:color w:val="000000"/>
          <w:sz w:val="24"/>
          <w:szCs w:val="24"/>
        </w:rPr>
        <w:t>3.当产品执行企业标准（含明示质量指标）时，按其企业标准要求进行质量判定，但如主要项目技术要求低于国家、行业、推荐性标准要求（含国家、行业、地方强制性标准中的推荐性条款）时，应在检验报告中注明主要项目的实测值和标准值。</w:t>
      </w:r>
    </w:p>
    <w:p>
      <w:pPr>
        <w:pStyle w:val="3"/>
        <w:adjustRightInd w:val="0"/>
        <w:snapToGrid w:val="0"/>
        <w:spacing w:line="360" w:lineRule="auto"/>
        <w:ind w:firstLine="360" w:firstLineChars="150"/>
        <w:rPr>
          <w:rFonts w:ascii="仿宋" w:hAnsi="仿宋" w:eastAsia="仿宋"/>
          <w:color w:val="000000"/>
          <w:sz w:val="24"/>
          <w:szCs w:val="24"/>
        </w:rPr>
      </w:pPr>
      <w:r>
        <w:rPr>
          <w:rFonts w:hint="eastAsia" w:ascii="仿宋" w:hAnsi="仿宋" w:eastAsia="仿宋"/>
          <w:color w:val="000000"/>
          <w:sz w:val="24"/>
          <w:szCs w:val="24"/>
        </w:rPr>
        <w:t>（二）单项质量判定</w:t>
      </w:r>
    </w:p>
    <w:p>
      <w:pPr>
        <w:spacing w:line="360" w:lineRule="auto"/>
        <w:ind w:firstLine="435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当所检项目的检验结果符合执行标准中该项目要求时，判该项目为符合执行标准要求，否则判该项目为不符合执行标准要求。</w:t>
      </w:r>
    </w:p>
    <w:p>
      <w:pPr>
        <w:spacing w:line="360" w:lineRule="auto"/>
        <w:ind w:firstLine="360" w:firstLineChars="150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（三）综合质量判定</w:t>
      </w:r>
    </w:p>
    <w:p>
      <w:pPr>
        <w:spacing w:line="360" w:lineRule="auto"/>
        <w:ind w:firstLine="480" w:firstLineChars="200"/>
        <w:rPr>
          <w:rFonts w:ascii="仿宋" w:hAnsi="仿宋" w:eastAsia="仿宋"/>
          <w:color w:val="000000"/>
          <w:sz w:val="24"/>
        </w:rPr>
      </w:pPr>
      <w:r>
        <w:rPr>
          <w:rFonts w:ascii="仿宋" w:hAnsi="仿宋" w:eastAsia="仿宋"/>
          <w:color w:val="000000"/>
          <w:sz w:val="24"/>
        </w:rPr>
        <w:t>经检验，检验项目中任一项或一项以上不合格，判定被抽查产品为</w:t>
      </w:r>
      <w:r>
        <w:rPr>
          <w:rFonts w:hint="eastAsia" w:ascii="仿宋" w:hAnsi="仿宋" w:eastAsia="仿宋"/>
          <w:color w:val="000000"/>
          <w:sz w:val="24"/>
        </w:rPr>
        <w:t>“</w:t>
      </w:r>
      <w:r>
        <w:rPr>
          <w:rFonts w:ascii="仿宋" w:hAnsi="仿宋" w:eastAsia="仿宋"/>
          <w:color w:val="000000"/>
          <w:sz w:val="24"/>
        </w:rPr>
        <w:t>不合格</w:t>
      </w:r>
      <w:r>
        <w:rPr>
          <w:rFonts w:hint="eastAsia" w:ascii="仿宋" w:hAnsi="仿宋" w:eastAsia="仿宋"/>
          <w:color w:val="000000"/>
          <w:sz w:val="24"/>
        </w:rPr>
        <w:t>”；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color w:val="000000"/>
          <w:sz w:val="24"/>
          <w:lang w:eastAsia="zh-CN"/>
        </w:rPr>
      </w:pPr>
      <w:r>
        <w:rPr>
          <w:rFonts w:ascii="仿宋" w:hAnsi="仿宋" w:eastAsia="仿宋"/>
          <w:color w:val="000000"/>
          <w:sz w:val="24"/>
        </w:rPr>
        <w:t>检验项目全部</w:t>
      </w:r>
      <w:r>
        <w:rPr>
          <w:rFonts w:hint="eastAsia" w:ascii="仿宋" w:hAnsi="仿宋" w:eastAsia="仿宋"/>
          <w:color w:val="000000"/>
          <w:sz w:val="24"/>
        </w:rPr>
        <w:t>符合明示质量要求</w:t>
      </w:r>
      <w:r>
        <w:rPr>
          <w:rFonts w:ascii="仿宋" w:hAnsi="仿宋" w:eastAsia="仿宋"/>
          <w:color w:val="000000"/>
          <w:sz w:val="24"/>
        </w:rPr>
        <w:t>，</w:t>
      </w:r>
      <w:r>
        <w:rPr>
          <w:rFonts w:hint="eastAsia" w:ascii="仿宋" w:hAnsi="仿宋" w:eastAsia="仿宋"/>
          <w:color w:val="000000"/>
          <w:sz w:val="24"/>
        </w:rPr>
        <w:t>但不符合本细则检验项目依据的推荐性标准，</w:t>
      </w:r>
      <w:r>
        <w:rPr>
          <w:rFonts w:ascii="仿宋" w:hAnsi="仿宋" w:eastAsia="仿宋"/>
          <w:color w:val="000000"/>
          <w:sz w:val="24"/>
        </w:rPr>
        <w:t>判定被抽查产品</w:t>
      </w:r>
      <w:r>
        <w:rPr>
          <w:rFonts w:hint="eastAsia" w:ascii="仿宋" w:hAnsi="仿宋" w:eastAsia="仿宋"/>
          <w:color w:val="000000"/>
          <w:sz w:val="24"/>
        </w:rPr>
        <w:t>“所检项目符合企业标准，未达到国家、行业、地方标准规定”</w:t>
      </w:r>
      <w:r>
        <w:rPr>
          <w:rFonts w:hint="eastAsia" w:ascii="仿宋" w:hAnsi="仿宋" w:eastAsia="仿宋"/>
          <w:color w:val="000000"/>
          <w:sz w:val="24"/>
          <w:lang w:eastAsia="zh-CN"/>
        </w:rPr>
        <w:t>。</w:t>
      </w:r>
      <w:bookmarkStart w:id="2" w:name="_GoBack"/>
      <w:bookmarkEnd w:id="2"/>
    </w:p>
    <w:p>
      <w:pPr>
        <w:spacing w:line="360" w:lineRule="auto"/>
        <w:ind w:firstLine="480" w:firstLineChars="200"/>
        <w:rPr>
          <w:rFonts w:hint="eastAsia" w:ascii="仿宋" w:hAnsi="仿宋" w:eastAsia="仿宋"/>
          <w:color w:val="000000"/>
          <w:sz w:val="24"/>
        </w:rPr>
      </w:pPr>
      <w:r>
        <w:rPr>
          <w:rFonts w:ascii="仿宋" w:hAnsi="仿宋" w:eastAsia="仿宋"/>
          <w:color w:val="000000"/>
          <w:sz w:val="24"/>
        </w:rPr>
        <w:t>检验项目全部</w:t>
      </w:r>
      <w:r>
        <w:rPr>
          <w:rFonts w:hint="eastAsia" w:ascii="仿宋" w:hAnsi="仿宋" w:eastAsia="仿宋"/>
          <w:color w:val="000000"/>
          <w:sz w:val="24"/>
        </w:rPr>
        <w:t>符合明示质量要求</w:t>
      </w:r>
      <w:r>
        <w:rPr>
          <w:rFonts w:ascii="仿宋" w:hAnsi="仿宋" w:eastAsia="仿宋"/>
          <w:color w:val="000000"/>
          <w:sz w:val="24"/>
        </w:rPr>
        <w:t>，</w:t>
      </w:r>
      <w:r>
        <w:rPr>
          <w:rFonts w:hint="eastAsia" w:ascii="仿宋" w:hAnsi="仿宋" w:eastAsia="仿宋"/>
          <w:color w:val="000000"/>
          <w:sz w:val="24"/>
        </w:rPr>
        <w:t>且符合本细则检验项目依据的推荐性标准，判定被抽查产品为“所检项目符合本次监督抽查要求”。</w:t>
      </w:r>
    </w:p>
    <w:p>
      <w:pPr>
        <w:spacing w:line="440" w:lineRule="exact"/>
        <w:rPr>
          <w:rFonts w:eastAsia="黑体"/>
          <w:color w:val="000000"/>
          <w:szCs w:val="21"/>
        </w:rPr>
      </w:pPr>
      <w:r>
        <w:rPr>
          <w:rFonts w:hint="eastAsia" w:eastAsia="黑体"/>
          <w:color w:val="000000"/>
          <w:szCs w:val="21"/>
          <w:lang w:eastAsia="zh-CN"/>
        </w:rPr>
        <w:t>六、</w:t>
      </w:r>
      <w:r>
        <w:rPr>
          <w:rFonts w:hint="eastAsia" w:eastAsia="黑体"/>
          <w:color w:val="000000"/>
          <w:szCs w:val="21"/>
        </w:rPr>
        <w:t xml:space="preserve"> 附则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本细则首次发布。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color w:val="000000"/>
          <w:sz w:val="24"/>
        </w:rPr>
      </w:pPr>
    </w:p>
    <w:p>
      <w:pPr>
        <w:spacing w:line="360" w:lineRule="auto"/>
        <w:ind w:firstLine="480" w:firstLineChars="200"/>
        <w:rPr>
          <w:rFonts w:ascii="仿宋" w:hAnsi="仿宋" w:eastAsia="仿宋"/>
          <w:color w:val="000000"/>
          <w:sz w:val="24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ourier New">
    <w:altName w:val="DejaVu Sans"/>
    <w:panose1 w:val="02070309020205020404"/>
    <w:charset w:val="00"/>
    <w:family w:val="modern"/>
    <w:pitch w:val="default"/>
    <w:sig w:usb0="00000000" w:usb1="00000000" w:usb2="00000009" w:usb3="00000000" w:csb0="000001FF" w:csb1="00000000"/>
  </w:font>
  <w:font w:name="等线">
    <w:altName w:val="汉仪仿宋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简体">
    <w:altName w:val="方正仿宋_GBK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仿宋S">
    <w:panose1 w:val="00020600040101000101"/>
    <w:charset w:val="86"/>
    <w:family w:val="auto"/>
    <w:pitch w:val="default"/>
    <w:sig w:usb0="A00002BF" w:usb1="38CF7CFA" w:usb2="00000016" w:usb3="00000000" w:csb0="0004009F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A445D68"/>
    <w:multiLevelType w:val="multilevel"/>
    <w:tmpl w:val="1A445D68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2"/>
  </w:compat>
  <w:rsids>
    <w:rsidRoot w:val="007072C8"/>
    <w:rsid w:val="00031BC2"/>
    <w:rsid w:val="000430F6"/>
    <w:rsid w:val="00056C89"/>
    <w:rsid w:val="000A2F5B"/>
    <w:rsid w:val="000F0AD8"/>
    <w:rsid w:val="00132126"/>
    <w:rsid w:val="00154DB5"/>
    <w:rsid w:val="00176773"/>
    <w:rsid w:val="001846DE"/>
    <w:rsid w:val="001C4E2E"/>
    <w:rsid w:val="001F1D3B"/>
    <w:rsid w:val="00212E4D"/>
    <w:rsid w:val="00291417"/>
    <w:rsid w:val="002D0A85"/>
    <w:rsid w:val="002E5D10"/>
    <w:rsid w:val="00356C18"/>
    <w:rsid w:val="00377D88"/>
    <w:rsid w:val="00393194"/>
    <w:rsid w:val="003A66E5"/>
    <w:rsid w:val="003C2212"/>
    <w:rsid w:val="004234CD"/>
    <w:rsid w:val="004361E3"/>
    <w:rsid w:val="00461406"/>
    <w:rsid w:val="0046777F"/>
    <w:rsid w:val="00491368"/>
    <w:rsid w:val="004B6B7B"/>
    <w:rsid w:val="004E1EFE"/>
    <w:rsid w:val="004F5256"/>
    <w:rsid w:val="004F685A"/>
    <w:rsid w:val="0051112C"/>
    <w:rsid w:val="005117A4"/>
    <w:rsid w:val="00587CDB"/>
    <w:rsid w:val="00597CCF"/>
    <w:rsid w:val="005A7AA2"/>
    <w:rsid w:val="005B37D3"/>
    <w:rsid w:val="005E4FE1"/>
    <w:rsid w:val="005E7DEF"/>
    <w:rsid w:val="005F349C"/>
    <w:rsid w:val="00621A04"/>
    <w:rsid w:val="006223B0"/>
    <w:rsid w:val="00627683"/>
    <w:rsid w:val="00631249"/>
    <w:rsid w:val="006A4B88"/>
    <w:rsid w:val="006B22EE"/>
    <w:rsid w:val="006D2E97"/>
    <w:rsid w:val="007072C8"/>
    <w:rsid w:val="0076248E"/>
    <w:rsid w:val="007726C9"/>
    <w:rsid w:val="0077759F"/>
    <w:rsid w:val="007941D6"/>
    <w:rsid w:val="00794C0D"/>
    <w:rsid w:val="007C1781"/>
    <w:rsid w:val="007D2D7C"/>
    <w:rsid w:val="007E521A"/>
    <w:rsid w:val="008130CE"/>
    <w:rsid w:val="008138BD"/>
    <w:rsid w:val="00835BC2"/>
    <w:rsid w:val="0084500A"/>
    <w:rsid w:val="0085543B"/>
    <w:rsid w:val="008677EE"/>
    <w:rsid w:val="008C7625"/>
    <w:rsid w:val="0091579C"/>
    <w:rsid w:val="00931293"/>
    <w:rsid w:val="009375AD"/>
    <w:rsid w:val="00944A70"/>
    <w:rsid w:val="009450EA"/>
    <w:rsid w:val="00957CCF"/>
    <w:rsid w:val="009723AE"/>
    <w:rsid w:val="009B1DB3"/>
    <w:rsid w:val="009E54E0"/>
    <w:rsid w:val="009F3B0E"/>
    <w:rsid w:val="00A14DE0"/>
    <w:rsid w:val="00A41005"/>
    <w:rsid w:val="00A85D4A"/>
    <w:rsid w:val="00AD3D4C"/>
    <w:rsid w:val="00B063BC"/>
    <w:rsid w:val="00B11931"/>
    <w:rsid w:val="00B12D01"/>
    <w:rsid w:val="00B14DE4"/>
    <w:rsid w:val="00B20850"/>
    <w:rsid w:val="00B41934"/>
    <w:rsid w:val="00B621EB"/>
    <w:rsid w:val="00BB390F"/>
    <w:rsid w:val="00C01A51"/>
    <w:rsid w:val="00C27243"/>
    <w:rsid w:val="00C34D9B"/>
    <w:rsid w:val="00C45D44"/>
    <w:rsid w:val="00CA299D"/>
    <w:rsid w:val="00CA6059"/>
    <w:rsid w:val="00CB72DB"/>
    <w:rsid w:val="00CE5E64"/>
    <w:rsid w:val="00D312A9"/>
    <w:rsid w:val="00D6590F"/>
    <w:rsid w:val="00D92D0A"/>
    <w:rsid w:val="00DC045C"/>
    <w:rsid w:val="00DC2764"/>
    <w:rsid w:val="00E04B24"/>
    <w:rsid w:val="00E44D5A"/>
    <w:rsid w:val="00E64751"/>
    <w:rsid w:val="00EF4866"/>
    <w:rsid w:val="00F15467"/>
    <w:rsid w:val="00F2324B"/>
    <w:rsid w:val="00F25110"/>
    <w:rsid w:val="00F276C3"/>
    <w:rsid w:val="00F32585"/>
    <w:rsid w:val="00F365C8"/>
    <w:rsid w:val="00FB2F61"/>
    <w:rsid w:val="00FB4A09"/>
    <w:rsid w:val="00FC417C"/>
    <w:rsid w:val="00FD64FD"/>
    <w:rsid w:val="04020B22"/>
    <w:rsid w:val="0449689E"/>
    <w:rsid w:val="059348DA"/>
    <w:rsid w:val="09E21360"/>
    <w:rsid w:val="0D8D53DF"/>
    <w:rsid w:val="0FD966EE"/>
    <w:rsid w:val="136C4563"/>
    <w:rsid w:val="1C3A2D85"/>
    <w:rsid w:val="2EFF7170"/>
    <w:rsid w:val="31421D53"/>
    <w:rsid w:val="433836FB"/>
    <w:rsid w:val="50B43C38"/>
    <w:rsid w:val="61F536DE"/>
    <w:rsid w:val="634520EC"/>
    <w:rsid w:val="645314A2"/>
    <w:rsid w:val="66632315"/>
    <w:rsid w:val="6FEC4F07"/>
    <w:rsid w:val="76BB2FD7"/>
    <w:rsid w:val="7EBD2AC8"/>
    <w:rsid w:val="E7449C4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qFormat="1" w:uiPriority="99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iPriority="39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1"/>
    <w:unhideWhenUsed/>
    <w:qFormat/>
    <w:uiPriority w:val="99"/>
    <w:pPr>
      <w:spacing w:after="120"/>
      <w:ind w:left="420" w:leftChars="200"/>
    </w:pPr>
    <w:rPr>
      <w:kern w:val="0"/>
      <w:sz w:val="20"/>
    </w:rPr>
  </w:style>
  <w:style w:type="paragraph" w:styleId="3">
    <w:name w:val="Plain Text"/>
    <w:basedOn w:val="1"/>
    <w:link w:val="12"/>
    <w:qFormat/>
    <w:uiPriority w:val="0"/>
    <w:rPr>
      <w:rFonts w:ascii="宋体" w:hAnsi="Courier New"/>
      <w:kern w:val="0"/>
      <w:sz w:val="20"/>
      <w:szCs w:val="20"/>
    </w:rPr>
  </w:style>
  <w:style w:type="paragraph" w:styleId="4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  <w:style w:type="paragraph" w:customStyle="1" w:styleId="10">
    <w:name w:val="Table Paragraph"/>
    <w:basedOn w:val="1"/>
    <w:qFormat/>
    <w:uiPriority w:val="1"/>
    <w:pPr>
      <w:autoSpaceDE w:val="0"/>
      <w:autoSpaceDN w:val="0"/>
      <w:jc w:val="left"/>
    </w:pPr>
    <w:rPr>
      <w:rFonts w:ascii="宋体" w:hAnsi="宋体" w:cs="宋体"/>
      <w:kern w:val="0"/>
      <w:sz w:val="22"/>
      <w:szCs w:val="22"/>
      <w:lang w:val="zh-CN" w:bidi="zh-CN"/>
    </w:rPr>
  </w:style>
  <w:style w:type="character" w:customStyle="1" w:styleId="11">
    <w:name w:val="正文文本缩进 Char"/>
    <w:link w:val="2"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2">
    <w:name w:val="纯文本 Char"/>
    <w:link w:val="3"/>
    <w:qFormat/>
    <w:uiPriority w:val="0"/>
    <w:rPr>
      <w:rFonts w:ascii="宋体" w:hAnsi="Courier New"/>
    </w:rPr>
  </w:style>
  <w:style w:type="character" w:customStyle="1" w:styleId="13">
    <w:name w:val="纯文本 字符1"/>
    <w:semiHidden/>
    <w:qFormat/>
    <w:uiPriority w:val="99"/>
    <w:rPr>
      <w:rFonts w:ascii="等线" w:hAnsi="Courier New" w:cs="Courier New"/>
      <w:szCs w:val="24"/>
    </w:rPr>
  </w:style>
  <w:style w:type="character" w:customStyle="1" w:styleId="14">
    <w:name w:val="页眉 Char"/>
    <w:link w:val="5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5">
    <w:name w:val="页脚 Char"/>
    <w:link w:val="4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6">
    <w:name w:val="纯文本 Char1"/>
    <w:qFormat/>
    <w:locked/>
    <w:uiPriority w:val="0"/>
    <w:rPr>
      <w:rFonts w:ascii="宋体" w:hAnsi="Courier New" w:eastAsia="宋体" w:cs="宋体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226</Words>
  <Characters>1289</Characters>
  <Lines>10</Lines>
  <Paragraphs>3</Paragraphs>
  <TotalTime>3</TotalTime>
  <ScaleCrop>false</ScaleCrop>
  <LinksUpToDate>false</LinksUpToDate>
  <CharactersWithSpaces>1512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2023-03-30T18:47:00Z</dcterms:created>
  <dc:creator>范 文佳</dc:creator>
  <cp:lastModifiedBy>user</cp:lastModifiedBy>
  <dcterms:modified xsi:type="dcterms:W3CDTF">2023-06-19T16:31:06Z</dcterms:modified>
  <dc:title>2021年杭州市流通领域(网络)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</Properties>
</file>