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rFonts w:hint="eastAsia" w:ascii="方正小标宋_GBK" w:hAnsi="方正小标宋_GBK" w:eastAsia="方正小标宋_GBK" w:cs="方正小标宋_GBK"/>
          <w:b w:val="0"/>
          <w:bCs/>
        </w:rPr>
      </w:pPr>
      <w:r>
        <w:rPr>
          <w:rFonts w:hint="eastAsia" w:ascii="方正小标宋_GBK" w:hAnsi="方正小标宋_GBK" w:eastAsia="方正小标宋_GBK" w:cs="方正小标宋_GBK"/>
          <w:b w:val="0"/>
          <w:bCs/>
        </w:rPr>
        <w:t>2023年台州市流通领域</w:t>
      </w:r>
      <w:r>
        <w:rPr>
          <w:rFonts w:hint="eastAsia" w:ascii="方正小标宋_GBK" w:hAnsi="方正小标宋_GBK" w:eastAsia="方正小标宋_GBK" w:cs="方正小标宋_GBK"/>
          <w:b w:val="0"/>
          <w:bCs/>
          <w:lang w:val="en-US" w:eastAsia="zh-CN"/>
        </w:rPr>
        <w:t>学生用品</w:t>
      </w:r>
      <w:r>
        <w:rPr>
          <w:rFonts w:hint="eastAsia" w:ascii="方正小标宋_GBK" w:hAnsi="方正小标宋_GBK" w:eastAsia="方正小标宋_GBK" w:cs="方正小标宋_GBK"/>
          <w:b w:val="0"/>
          <w:bCs/>
        </w:rPr>
        <w:t>产品质量监</w:t>
      </w:r>
    </w:p>
    <w:p>
      <w:pPr>
        <w:pStyle w:val="3"/>
        <w:bidi w:val="0"/>
        <w:rPr>
          <w:rFonts w:hint="eastAsia" w:ascii="方正小标宋_GBK" w:hAnsi="方正小标宋_GBK" w:eastAsia="方正小标宋_GBK" w:cs="方正小标宋_GBK"/>
          <w:b w:val="0"/>
          <w:bCs/>
        </w:rPr>
      </w:pPr>
      <w:r>
        <w:rPr>
          <w:rFonts w:hint="eastAsia" w:ascii="方正小标宋_GBK" w:hAnsi="方正小标宋_GBK" w:eastAsia="方正小标宋_GBK" w:cs="方正小标宋_GBK"/>
          <w:b w:val="0"/>
          <w:bCs/>
        </w:rPr>
        <w:t>督抽查实施细则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43"/>
        <w:textAlignment w:val="baseline"/>
        <w:outlineLvl w:val="0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一、概述</w:t>
      </w:r>
    </w:p>
    <w:p>
      <w:pPr>
        <w:keepNext w:val="0"/>
        <w:keepLines w:val="0"/>
        <w:pageBreakBefore w:val="0"/>
        <w:widowControl/>
        <w:tabs>
          <w:tab w:val="left" w:pos="1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279" w:firstLine="592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本细则适用于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台州市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流通领域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产品的抽样检验。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39"/>
        <w:textAlignment w:val="baseline"/>
        <w:outlineLvl w:val="0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二、抽样方法及注意事项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24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1、抽样方法及地点</w:t>
      </w:r>
    </w:p>
    <w:p>
      <w:pPr>
        <w:keepNext w:val="0"/>
        <w:keepLines w:val="0"/>
        <w:pageBreakBefore w:val="0"/>
        <w:widowControl/>
        <w:tabs>
          <w:tab w:val="left" w:pos="1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279" w:firstLine="592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样品应当由抽样人员在被抽样销售者的待销产品中随机抽样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抽样数量见 表 1。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4073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表 1 抽取样品数量</w:t>
      </w:r>
    </w:p>
    <w:tbl>
      <w:tblPr>
        <w:tblStyle w:val="15"/>
        <w:tblW w:w="903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"/>
        <w:gridCol w:w="2042"/>
        <w:gridCol w:w="2067"/>
        <w:gridCol w:w="2165"/>
        <w:gridCol w:w="196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序号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产品品种</w:t>
            </w:r>
          </w:p>
        </w:tc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抽样数量</w:t>
            </w:r>
          </w:p>
        </w:tc>
        <w:tc>
          <w:tcPr>
            <w:tcW w:w="2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检验样品数量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  <w:t>备用样品数量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91" w:type="dxa"/>
            <w:vAlign w:val="center"/>
          </w:tcPr>
          <w:p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毛巾</w:t>
            </w:r>
          </w:p>
        </w:tc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9条</w:t>
            </w:r>
          </w:p>
        </w:tc>
        <w:tc>
          <w:tcPr>
            <w:tcW w:w="2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6条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3条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牙刷</w:t>
            </w:r>
          </w:p>
        </w:tc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lang w:val="en-US" w:eastAsia="zh-CN"/>
              </w:rPr>
              <w:t>24支</w:t>
            </w:r>
          </w:p>
        </w:tc>
        <w:tc>
          <w:tcPr>
            <w:tcW w:w="2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lang w:val="en-US" w:eastAsia="zh-CN"/>
              </w:rPr>
              <w:t>12支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0"/>
                <w:kern w:val="0"/>
                <w:position w:val="0"/>
                <w:sz w:val="24"/>
                <w:szCs w:val="24"/>
                <w:lang w:val="en-US" w:eastAsia="zh-CN"/>
              </w:rPr>
              <w:t>12支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书包（学生书袋、背提包）</w:t>
            </w:r>
          </w:p>
        </w:tc>
        <w:tc>
          <w:tcPr>
            <w:tcW w:w="2067" w:type="dxa"/>
            <w:vAlign w:val="center"/>
          </w:tcPr>
          <w:p>
            <w:pPr>
              <w:pStyle w:val="9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2165" w:type="dxa"/>
            <w:vAlign w:val="center"/>
          </w:tcPr>
          <w:p>
            <w:pPr>
              <w:pStyle w:val="9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2只</w:t>
            </w:r>
          </w:p>
        </w:tc>
        <w:tc>
          <w:tcPr>
            <w:tcW w:w="1965" w:type="dxa"/>
            <w:vAlign w:val="center"/>
          </w:tcPr>
          <w:p>
            <w:pPr>
              <w:pStyle w:val="9"/>
              <w:ind w:left="0" w:leftChars="0" w:firstLine="0" w:firstLine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1只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红领巾</w:t>
            </w:r>
          </w:p>
        </w:tc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14条</w:t>
            </w:r>
          </w:p>
        </w:tc>
        <w:tc>
          <w:tcPr>
            <w:tcW w:w="2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10条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4条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课业簿册</w:t>
            </w:r>
          </w:p>
        </w:tc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10本</w:t>
            </w:r>
          </w:p>
        </w:tc>
        <w:tc>
          <w:tcPr>
            <w:tcW w:w="2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7本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3本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固体胶、办公用胶水</w:t>
            </w:r>
          </w:p>
        </w:tc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8个</w:t>
            </w:r>
          </w:p>
        </w:tc>
        <w:tc>
          <w:tcPr>
            <w:tcW w:w="2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5个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lang w:val="en-US" w:eastAsia="zh-CN"/>
              </w:rPr>
              <w:t>3个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1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279" w:firstLine="592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1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279" w:firstLine="592"/>
        <w:textAlignment w:val="baseline"/>
        <w:rPr>
          <w:rFonts w:hint="default" w:ascii="仿宋" w:hAnsi="仿宋" w:eastAsia="仿宋" w:cs="仿宋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具体抽样数量以满足实验情况可适当增减。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22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2、注意事项：</w:t>
      </w:r>
    </w:p>
    <w:p>
      <w:pPr>
        <w:keepNext w:val="0"/>
        <w:keepLines w:val="0"/>
        <w:pageBreakBefore w:val="0"/>
        <w:widowControl/>
        <w:tabs>
          <w:tab w:val="left" w:pos="2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ab/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样品应经被抽样销售者对其有效性进行确认。</w:t>
      </w:r>
    </w:p>
    <w:p>
      <w:pPr>
        <w:keepNext w:val="0"/>
        <w:keepLines w:val="0"/>
        <w:pageBreakBefore w:val="0"/>
        <w:widowControl/>
        <w:tabs>
          <w:tab w:val="left" w:pos="2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ab/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检样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备样应分别封样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并加以标注。</w:t>
      </w:r>
    </w:p>
    <w:p>
      <w:pPr>
        <w:keepNext w:val="0"/>
        <w:keepLines w:val="0"/>
        <w:pageBreakBefore w:val="0"/>
        <w:widowControl/>
        <w:tabs>
          <w:tab w:val="left" w:pos="2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23" w:hanging="23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ab/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ab/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现场抽样时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产品规定有明示质量指标时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应在抽样单上注明。若产品明示的执行标准为经备案的现行有效的企业标准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则视其企业标准为明示质量指标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并要求企业提供其现行有效的标准文本。</w:t>
      </w:r>
    </w:p>
    <w:p>
      <w:pPr>
        <w:keepNext w:val="0"/>
        <w:keepLines w:val="0"/>
        <w:pageBreakBefore w:val="0"/>
        <w:widowControl/>
        <w:tabs>
          <w:tab w:val="left" w:pos="2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45" w:hanging="45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ab/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ab/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样品抽取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运输和贮存时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避免受到撞击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曝晒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雨淋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抛摔和重压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远离热源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臭氧环境和化学腐蚀环境。</w:t>
      </w:r>
    </w:p>
    <w:p>
      <w:pPr>
        <w:keepNext w:val="0"/>
        <w:keepLines w:val="0"/>
        <w:pageBreakBefore w:val="0"/>
        <w:widowControl/>
        <w:tabs>
          <w:tab w:val="left" w:pos="2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ab/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本次监督抽查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检验样品以购买方式抽取。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43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三、检验依据及判定依据、检验项目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及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判定准则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24" w:firstLine="280" w:firstLineChars="1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检验依据及判定依据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56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检验依据：</w:t>
      </w:r>
    </w:p>
    <w:p>
      <w:pPr>
        <w:pStyle w:val="9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GB/T22864-2020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pStyle w:val="9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GB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18401-2010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</w:p>
    <w:p>
      <w:pPr>
        <w:pStyle w:val="9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GB 31701-2015  </w:t>
      </w:r>
    </w:p>
    <w:p>
      <w:pPr>
        <w:pStyle w:val="9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GB 19342-2013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pStyle w:val="9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GB 39669-2020</w:t>
      </w:r>
    </w:p>
    <w:p>
      <w:pPr>
        <w:pStyle w:val="9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QB/T2858-2007  </w:t>
      </w:r>
    </w:p>
    <w:p>
      <w:pPr>
        <w:pStyle w:val="9"/>
        <w:jc w:val="left"/>
        <w:rPr>
          <w:rFonts w:hint="eastAsia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QB/T1333-2018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/>
        </w:rPr>
        <w:t xml:space="preserve">    </w:t>
      </w:r>
    </w:p>
    <w:p>
      <w:pPr>
        <w:pStyle w:val="9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GB 21027-2020</w:t>
      </w:r>
    </w:p>
    <w:p>
      <w:pPr>
        <w:pStyle w:val="9"/>
        <w:jc w:val="left"/>
        <w:rPr>
          <w:rFonts w:hint="eastAsia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GB/T28846-2022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/>
        </w:rPr>
        <w:t xml:space="preserve"> </w:t>
      </w:r>
    </w:p>
    <w:p>
      <w:pPr>
        <w:pStyle w:val="9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QB/T 1437-2014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pStyle w:val="9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QB/T2857-2007 </w:t>
      </w:r>
    </w:p>
    <w:p>
      <w:pPr>
        <w:pStyle w:val="9"/>
        <w:jc w:val="left"/>
        <w:rPr>
          <w:rFonts w:hint="eastAsia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QB/T1961-2011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840" w:firstLineChars="300"/>
        <w:jc w:val="both"/>
        <w:textAlignment w:val="baseline"/>
        <w:rPr>
          <w:rFonts w:hint="default" w:ascii="仿宋" w:hAnsi="仿宋" w:eastAsia="仿宋" w:cs="仿宋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产品明示企业标准</w:t>
      </w:r>
    </w:p>
    <w:p>
      <w:pPr>
        <w:pStyle w:val="9"/>
        <w:ind w:left="0" w:leftChars="0" w:firstLine="840" w:firstLineChars="3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产品明示质量指标及国家法律、法规、规章的有关规定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56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判定依据：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840" w:firstLineChars="300"/>
        <w:textAlignment w:val="baseline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highlight w:val="none"/>
        </w:rPr>
        <w:t>《2023年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highlight w:val="none"/>
          <w:lang w:val="en-US" w:eastAsia="zh-CN"/>
        </w:rPr>
        <w:t>台州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highlight w:val="none"/>
        </w:rPr>
        <w:t>市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highlight w:val="none"/>
          <w:lang w:val="en-US" w:eastAsia="zh-CN"/>
        </w:rPr>
        <w:t>流通领域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highlight w:val="none"/>
        </w:rPr>
        <w:t>产品质量监督抽查实施细则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highlight w:val="none"/>
          <w:lang w:val="en-US" w:eastAsia="zh-CN"/>
        </w:rPr>
        <w:t>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56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560" w:firstLineChars="200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检验项目</w:t>
      </w:r>
    </w:p>
    <w:tbl>
      <w:tblPr>
        <w:tblStyle w:val="12"/>
        <w:tblW w:w="80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861"/>
        <w:gridCol w:w="2922"/>
        <w:gridCol w:w="3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tblHeader/>
          <w:jc w:val="center"/>
        </w:trPr>
        <w:tc>
          <w:tcPr>
            <w:tcW w:w="49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861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具体产品</w:t>
            </w:r>
          </w:p>
        </w:tc>
        <w:tc>
          <w:tcPr>
            <w:tcW w:w="2922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检验依据</w:t>
            </w:r>
          </w:p>
        </w:tc>
        <w:tc>
          <w:tcPr>
            <w:tcW w:w="3758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检测项目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4" w:hRule="atLeast"/>
          <w:jc w:val="center"/>
        </w:trPr>
        <w:tc>
          <w:tcPr>
            <w:tcW w:w="49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61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毛巾</w:t>
            </w:r>
          </w:p>
        </w:tc>
        <w:tc>
          <w:tcPr>
            <w:tcW w:w="2922" w:type="dxa"/>
            <w:vAlign w:val="center"/>
          </w:tcPr>
          <w:p>
            <w:pPr>
              <w:widowControl w:val="0"/>
              <w:rPr>
                <w:rFonts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检验依据</w:t>
            </w:r>
          </w:p>
          <w:p>
            <w:pPr>
              <w:widowControl w:val="0"/>
              <w:rPr>
                <w:rFonts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GB/T22864-2020   </w:t>
            </w: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产品明示质量指标及国家法律、法规、规章的有关规定</w:t>
            </w:r>
          </w:p>
          <w:p>
            <w:pPr>
              <w:widowControl w:val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58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断裂强力、pH值、甲醛、吸水性、脱毛率、纤维含量、耐皂洗色牢度、耐摩擦色牢度、耐氯漂色牢度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1" w:hRule="atLeast"/>
          <w:jc w:val="center"/>
        </w:trPr>
        <w:tc>
          <w:tcPr>
            <w:tcW w:w="49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61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牙刷</w:t>
            </w:r>
          </w:p>
        </w:tc>
        <w:tc>
          <w:tcPr>
            <w:tcW w:w="2922" w:type="dxa"/>
            <w:vAlign w:val="center"/>
          </w:tcPr>
          <w:p>
            <w:pPr>
              <w:widowControl w:val="0"/>
              <w:rPr>
                <w:rFonts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检验依据</w:t>
            </w:r>
          </w:p>
          <w:p>
            <w:pPr>
              <w:widowControl w:val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GB19342-2013         </w:t>
            </w: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产品明示质量指标及国家法律、法规、规章的有关规定</w:t>
            </w:r>
          </w:p>
        </w:tc>
        <w:tc>
          <w:tcPr>
            <w:tcW w:w="3758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安全要求（锑、砷、钡、镉、铬、铅、汞、硒）、毛束拉力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6" w:hRule="atLeast"/>
          <w:jc w:val="center"/>
        </w:trPr>
        <w:tc>
          <w:tcPr>
            <w:tcW w:w="49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61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书包（学生书袋、背提包）</w:t>
            </w:r>
          </w:p>
        </w:tc>
        <w:tc>
          <w:tcPr>
            <w:tcW w:w="2922" w:type="dxa"/>
            <w:vAlign w:val="center"/>
          </w:tcPr>
          <w:p>
            <w:pPr>
              <w:widowControl w:val="0"/>
              <w:rPr>
                <w:rFonts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检验依据</w:t>
            </w:r>
          </w:p>
          <w:p>
            <w:pPr>
              <w:widowControl w:val="0"/>
              <w:rPr>
                <w:rFonts w:hint="eastAsia" w:ascii="仿宋" w:hAnsi="仿宋" w:eastAsia="仿宋" w:cs="仿宋"/>
                <w:bCs/>
                <w:snapToGrid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QB/T2858-2007  QB/T1333-2018        </w:t>
            </w: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产品明示质量指标及国家法律、法规、规章的有关规定</w:t>
            </w:r>
          </w:p>
        </w:tc>
        <w:tc>
          <w:tcPr>
            <w:tcW w:w="3758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QB/T 2858-2007：负重、缝合强度、电镀配件、拉链耐用度、摩擦色牢度、旅行式拉杆书袋滑轮和拉杆、背带类书袋的性能、可迁移元素的限量、游离甲醛含量、可分解有害芳香胺染料、可触及的塑料件中邻苯二甲酸酯增塑剂的限量</w:t>
            </w:r>
          </w:p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QB/T1333-2018：标志、振荡冲击性能、包锁耐用性能、扣件耐用性能、拉链耐用度、缝合强度、塑料插扣耐用性能、摩擦色牢度、五金配件耐腐蚀性、背带耐折性能、游离甲醛、可分解有害芳香胺染料、可迁移元素的限量、可触及的塑料件中邻苯二甲酸酯增塑剂的限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49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861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红领巾</w:t>
            </w:r>
          </w:p>
        </w:tc>
        <w:tc>
          <w:tcPr>
            <w:tcW w:w="2922" w:type="dxa"/>
            <w:vAlign w:val="center"/>
          </w:tcPr>
          <w:p>
            <w:pPr>
              <w:widowControl w:val="0"/>
              <w:rPr>
                <w:rFonts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检验依据</w:t>
            </w:r>
          </w:p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auto"/>
                <w:kern w:val="2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GB/T28846-2022       </w:t>
            </w: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产品明示质量指标及国家法律、法规、规章的有关规定</w:t>
            </w:r>
          </w:p>
        </w:tc>
        <w:tc>
          <w:tcPr>
            <w:tcW w:w="3758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纤维含量、pH值、甲醛、耐汗渍色牢度、耐摩擦色牢度、耐皂洗色牢度、断裂强力、色差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49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61" w:type="dxa"/>
            <w:vAlign w:val="center"/>
          </w:tcPr>
          <w:p>
            <w:pPr>
              <w:widowControl w:val="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  <w:lang w:val="en-US" w:eastAsia="zh-CN"/>
              </w:rPr>
              <w:t>课业簿册</w:t>
            </w:r>
          </w:p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22" w:type="dxa"/>
            <w:vAlign w:val="center"/>
          </w:tcPr>
          <w:p>
            <w:pPr>
              <w:widowControl w:val="0"/>
              <w:rPr>
                <w:rFonts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检验依据</w:t>
            </w:r>
          </w:p>
          <w:p>
            <w:pPr>
              <w:widowControl w:val="0"/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QB/T 1437-2014    </w:t>
            </w:r>
          </w:p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auto"/>
                <w:kern w:val="2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GB21027-2020         </w:t>
            </w: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产品明示质量指标及国家法律、法规、规章的有关规定</w:t>
            </w:r>
          </w:p>
        </w:tc>
        <w:tc>
          <w:tcPr>
            <w:tcW w:w="3758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标志、标识、装钉质量、破页、脏迹、白页、印划线、张数、断线、偏斜、封面/封底、套印偏差、成品尺寸偏差、装订偏差、危险锐利尖端、亮度（白度）、纸张定量、内芯纸张施胶度、封面的脱色程度、可迁移元素的限量、可触及的塑料件中邻苯二甲酸酯增塑剂的限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493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61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固体胶、办公用胶水</w:t>
            </w:r>
          </w:p>
        </w:tc>
        <w:tc>
          <w:tcPr>
            <w:tcW w:w="2922" w:type="dxa"/>
            <w:vAlign w:val="center"/>
          </w:tcPr>
          <w:p>
            <w:pPr>
              <w:widowControl w:val="0"/>
              <w:rPr>
                <w:rFonts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检验依据</w:t>
            </w:r>
          </w:p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auto"/>
                <w:kern w:val="2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GB21027-2020   QB/T2857-2007  QB/T1961-2011        </w:t>
            </w:r>
            <w:r>
              <w:rPr>
                <w:rFonts w:hint="eastAsia" w:ascii="仿宋" w:hAnsi="仿宋" w:eastAsia="仿宋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产品明示质量指标及国家法律、法规、规章的有关规定</w:t>
            </w:r>
          </w:p>
        </w:tc>
        <w:tc>
          <w:tcPr>
            <w:tcW w:w="3758" w:type="dxa"/>
            <w:vAlign w:val="center"/>
          </w:tcPr>
          <w:p>
            <w:pPr>
              <w:widowControl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可迁移元素的限量、游离甲醛、苯、甲苯+二甲苯、总挥发性有机物、可触及的塑料件中邻苯二甲酸酯增塑剂的限量、标识、粘接性、不挥发物含量</w:t>
            </w:r>
          </w:p>
        </w:tc>
      </w:tr>
    </w:tbl>
    <w:p>
      <w:pPr>
        <w:pStyle w:val="14"/>
        <w:numPr>
          <w:ilvl w:val="0"/>
          <w:numId w:val="0"/>
        </w:numPr>
        <w:rPr>
          <w:rFonts w:hint="eastAsia"/>
        </w:rPr>
      </w:pPr>
    </w:p>
    <w:p>
      <w:pPr>
        <w:pStyle w:val="6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eastAsia="宋体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3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判定原则</w:t>
      </w:r>
    </w:p>
    <w:p>
      <w:pPr>
        <w:keepNext w:val="0"/>
        <w:keepLines w:val="0"/>
        <w:pageBreakBefore w:val="0"/>
        <w:widowControl/>
        <w:tabs>
          <w:tab w:val="left" w:pos="85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判定总则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85" w:right="166" w:firstLine="556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当产品的国家强制性标准(含国家推荐性标准中的强制性条款)和执行的企业标准(含明示质量指标)各技术要求不一致时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应按其中最严要求进行质 量判定。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87" w:right="168" w:firstLine="551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2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当产品执行国家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行业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地方标准时,按国家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行业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地方标准要求进行质量判定。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89" w:right="59" w:firstLine="546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3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当产品执行企业标准(含明示质量指标) 时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按其企业标准要求进行质量判定。</w:t>
      </w:r>
    </w:p>
    <w:p>
      <w:pPr>
        <w:keepNext w:val="0"/>
        <w:keepLines w:val="0"/>
        <w:pageBreakBefore w:val="0"/>
        <w:widowControl/>
        <w:tabs>
          <w:tab w:val="left" w:pos="85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单项质量判定</w:t>
      </w:r>
    </w:p>
    <w:p>
      <w:pPr>
        <w:keepNext w:val="0"/>
        <w:keepLines w:val="0"/>
        <w:pageBreakBefore w:val="0"/>
        <w:widowControl/>
        <w:tabs>
          <w:tab w:val="left" w:pos="1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279" w:firstLine="592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当所检项目的检验结果符合执行标准中该项目要求时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判该项目为符合执行标准要求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否则判该项目为不符合执行标准要求。</w:t>
      </w:r>
    </w:p>
    <w:p>
      <w:pPr>
        <w:keepNext w:val="0"/>
        <w:keepLines w:val="0"/>
        <w:pageBreakBefore w:val="0"/>
        <w:widowControl/>
        <w:tabs>
          <w:tab w:val="left" w:pos="70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综合质量判定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6" w:right="279" w:firstLine="551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检验样本中一个或一个以上项目出现不符合执行要求判定的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则检验结论 为“不合格”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反之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检验结论为“所检项目符合本次监督抽查要求”。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43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四、检验结果报送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2" w:right="281" w:firstLine="559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承检单位应按任务下达部门的要求及时报送检验结果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并按《浙江省产品 质量监督抽查工作实施办法 (试行)》的规定进行文书寄送。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43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五、样品处置及保存期限</w:t>
      </w:r>
    </w:p>
    <w:p>
      <w:pPr>
        <w:keepNext w:val="0"/>
        <w:keepLines w:val="0"/>
        <w:pageBreakBefore w:val="0"/>
        <w:widowControl/>
        <w:tabs>
          <w:tab w:val="left" w:pos="14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279" w:firstLine="592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所抽样品均应贴上加盖抽样单位公章的封条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执法人员 (有需要时)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抽 样人员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受检单位在封条上签字确认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并注明抽样日期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检验样品由检验机构 带回检测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 xml:space="preserve">监督抽查结束之后样品按《浙江省产品质量监督抽查工作实施办法 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ab/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(试行)》第七章“样品处置”规定报送任务下达部门进行处置。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43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六、异议处理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53" w:firstLine="535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按《浙江省产品质量监督抽查工作实施办法 (试行)》第五章“异议处理” 的规定进行处理。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43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七、承检单位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0" w:right="279" w:firstLine="553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本次监督抽查任务由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宁波海关技术中心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承担产品的抽样 和检验工作。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43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八、</w:t>
      </w: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附则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0" w:right="279" w:firstLine="553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:lang w:val="en-US" w:eastAsia="zh-CN"/>
        </w:rPr>
        <w:t>本细则首次发布。</w:t>
      </w:r>
    </w:p>
    <w:p>
      <w:pPr>
        <w:pStyle w:val="2"/>
        <w:rPr>
          <w:rFonts w:hint="eastAsia"/>
        </w:rPr>
      </w:pPr>
      <w:bookmarkStart w:id="0" w:name="_GoBack"/>
      <w:bookmarkEnd w:id="0"/>
    </w:p>
    <w:sectPr>
      <w:footerReference r:id="rId5" w:type="default"/>
      <w:pgSz w:w="11906" w:h="16839"/>
      <w:pgMar w:top="1431" w:right="853" w:bottom="1156" w:left="1121" w:header="0" w:footer="99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18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4FC10"/>
    <w:multiLevelType w:val="singleLevel"/>
    <w:tmpl w:val="15E4FC1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zRmNzQ4MzE2MmFjMTkxMDNmNzM0MjdhNGU2YjVlMGQifQ=="/>
  </w:docVars>
  <w:rsids>
    <w:rsidRoot w:val="00000000"/>
    <w:rsid w:val="01516180"/>
    <w:rsid w:val="01537095"/>
    <w:rsid w:val="05665BF8"/>
    <w:rsid w:val="06BB118B"/>
    <w:rsid w:val="0D477380"/>
    <w:rsid w:val="12C4776A"/>
    <w:rsid w:val="181700F1"/>
    <w:rsid w:val="1A0412E1"/>
    <w:rsid w:val="1A2C5DF4"/>
    <w:rsid w:val="1A5B2D5E"/>
    <w:rsid w:val="1CE80F17"/>
    <w:rsid w:val="24FA2E3E"/>
    <w:rsid w:val="265B7746"/>
    <w:rsid w:val="29B97CD3"/>
    <w:rsid w:val="2B2B75A9"/>
    <w:rsid w:val="3034062C"/>
    <w:rsid w:val="346758F4"/>
    <w:rsid w:val="35D842A1"/>
    <w:rsid w:val="382C4673"/>
    <w:rsid w:val="383A50AF"/>
    <w:rsid w:val="385C6C40"/>
    <w:rsid w:val="385F0CD8"/>
    <w:rsid w:val="39021308"/>
    <w:rsid w:val="39120FD5"/>
    <w:rsid w:val="3DF6341C"/>
    <w:rsid w:val="420B32C0"/>
    <w:rsid w:val="43826417"/>
    <w:rsid w:val="44856212"/>
    <w:rsid w:val="456C7646"/>
    <w:rsid w:val="483F31ED"/>
    <w:rsid w:val="4ADC70EC"/>
    <w:rsid w:val="4C873A05"/>
    <w:rsid w:val="4E4837C9"/>
    <w:rsid w:val="4E9E03C4"/>
    <w:rsid w:val="4F097C70"/>
    <w:rsid w:val="5627570E"/>
    <w:rsid w:val="59945B14"/>
    <w:rsid w:val="5DD917FC"/>
    <w:rsid w:val="5DDF5B1F"/>
    <w:rsid w:val="5E5E5C71"/>
    <w:rsid w:val="5F781DA7"/>
    <w:rsid w:val="61B2276A"/>
    <w:rsid w:val="62A019CE"/>
    <w:rsid w:val="671B1623"/>
    <w:rsid w:val="696B5FFB"/>
    <w:rsid w:val="6AEA2CD1"/>
    <w:rsid w:val="74612F3E"/>
    <w:rsid w:val="74BC379D"/>
    <w:rsid w:val="75A629FF"/>
    <w:rsid w:val="7800055A"/>
    <w:rsid w:val="7FF8238C"/>
    <w:rsid w:val="FDFF42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9"/>
    <w:pPr>
      <w:keepNext/>
      <w:keepLines/>
      <w:tabs>
        <w:tab w:val="left" w:pos="432"/>
      </w:tabs>
      <w:spacing w:before="340" w:after="330" w:line="578" w:lineRule="auto"/>
      <w:ind w:left="432" w:hanging="432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adjustRightInd w:val="0"/>
      <w:snapToGrid w:val="0"/>
      <w:spacing w:before="120" w:after="120" w:line="360" w:lineRule="auto"/>
      <w:jc w:val="center"/>
      <w:textAlignment w:val="baseline"/>
      <w:outlineLvl w:val="1"/>
    </w:pPr>
    <w:rPr>
      <w:rFonts w:ascii="仿宋_GB2312" w:eastAsia="仿宋_GB2312"/>
      <w:b/>
      <w:kern w:val="0"/>
      <w:sz w:val="36"/>
      <w:szCs w:val="2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99"/>
    <w:pPr>
      <w:autoSpaceDE/>
      <w:autoSpaceDN/>
      <w:adjustRightInd/>
      <w:ind w:firstLine="420"/>
      <w:jc w:val="both"/>
      <w:textAlignment w:val="auto"/>
    </w:pPr>
    <w:rPr>
      <w:rFonts w:ascii="Times New Roman"/>
      <w:kern w:val="2"/>
      <w:sz w:val="21"/>
    </w:rPr>
  </w:style>
  <w:style w:type="paragraph" w:styleId="5">
    <w:name w:val="Body Text Indent"/>
    <w:basedOn w:val="1"/>
    <w:next w:val="4"/>
    <w:qFormat/>
    <w:uiPriority w:val="99"/>
    <w:pPr>
      <w:autoSpaceDE/>
      <w:autoSpaceDN/>
      <w:adjustRightInd/>
      <w:ind w:firstLine="900"/>
      <w:jc w:val="both"/>
      <w:textAlignment w:val="auto"/>
    </w:pPr>
    <w:rPr>
      <w:rFonts w:ascii="Times New Roman"/>
      <w:kern w:val="2"/>
      <w:sz w:val="28"/>
    </w:rPr>
  </w:style>
  <w:style w:type="paragraph" w:styleId="6">
    <w:name w:val="Body Text"/>
    <w:basedOn w:val="1"/>
    <w:next w:val="7"/>
    <w:qFormat/>
    <w:uiPriority w:val="0"/>
    <w:pPr>
      <w:spacing w:after="120" w:afterLines="0"/>
    </w:pPr>
    <w:rPr>
      <w:rFonts w:ascii="Calibri"/>
      <w:kern w:val="2"/>
      <w:sz w:val="21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styleId="8">
    <w:name w:val="Plain Text"/>
    <w:basedOn w:val="1"/>
    <w:qFormat/>
    <w:uiPriority w:val="0"/>
    <w:rPr>
      <w:rFonts w:ascii="宋体" w:hAnsi="Courier New"/>
      <w:szCs w:val="21"/>
    </w:rPr>
  </w:style>
  <w:style w:type="paragraph" w:styleId="9">
    <w:name w:val="Body Text First Indent 2"/>
    <w:basedOn w:val="5"/>
    <w:next w:val="10"/>
    <w:qFormat/>
    <w:uiPriority w:val="0"/>
    <w:pPr>
      <w:spacing w:after="120"/>
      <w:ind w:left="420" w:leftChars="200" w:firstLine="420"/>
    </w:pPr>
    <w:rPr>
      <w:rFonts w:cs="宋体"/>
      <w:sz w:val="21"/>
      <w:szCs w:val="21"/>
    </w:rPr>
  </w:style>
  <w:style w:type="paragraph" w:customStyle="1" w:styleId="10">
    <w:name w:val="xl53"/>
    <w:basedOn w:val="1"/>
    <w:next w:val="1"/>
    <w:qFormat/>
    <w:uiPriority w:val="0"/>
    <w:pPr>
      <w:spacing w:before="280" w:after="280" w:line="100" w:lineRule="exact"/>
      <w:jc w:val="center"/>
    </w:pPr>
    <w:rPr>
      <w:b/>
      <w:sz w:val="20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首行缩进"/>
    <w:basedOn w:val="1"/>
    <w:next w:val="6"/>
    <w:qFormat/>
    <w:uiPriority w:val="0"/>
    <w:pPr>
      <w:spacing w:line="360" w:lineRule="auto"/>
      <w:ind w:firstLine="480" w:firstLineChars="200"/>
    </w:pPr>
    <w:rPr>
      <w:rFonts w:ascii="Calibri" w:hAnsi="Calibri"/>
      <w:sz w:val="24"/>
      <w:szCs w:val="22"/>
      <w:lang w:val="zh-CN"/>
    </w:rPr>
  </w:style>
  <w:style w:type="table" w:customStyle="1" w:styleId="1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fontstyle01"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1878</Words>
  <Characters>2168</Characters>
  <TotalTime>1</TotalTime>
  <ScaleCrop>false</ScaleCrop>
  <LinksUpToDate>false</LinksUpToDate>
  <CharactersWithSpaces>2343</CharactersWithSpaces>
  <Application>WPS Office_11.8.2.10458_F1E327BC-269C-435d-A152-05C5408002CA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2022-11-02T17:16:00Z</dcterms:created>
  <dc:creator>雨林木风</dc:creator>
  <cp:lastModifiedBy>user</cp:lastModifiedBy>
  <dcterms:modified xsi:type="dcterms:W3CDTF">2023-06-21T16:33:42Z</dcterms:modified>
  <dc:title>消防产品抽样检验实施方案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2022-11-02T09:16:38Z</vt:filetime>
  </property>
  <property fmtid="{D5CDD505-2E9C-101B-9397-08002B2CF9AE}" pid="4" name="KSOProductBuildVer">
    <vt:lpwstr>2052-11.8.2.10458</vt:lpwstr>
  </property>
  <property fmtid="{D5CDD505-2E9C-101B-9397-08002B2CF9AE}" pid="5" name="ICV">
    <vt:lpwstr>AA6DA9E990044AA990121225984997E4</vt:lpwstr>
  </property>
</Properties>
</file>