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方正小标宋简体" w:cs="方正仿宋简体"/>
          <w:color w:val="000000"/>
          <w:sz w:val="32"/>
          <w:szCs w:val="32"/>
        </w:rPr>
      </w:pPr>
      <w:r>
        <w:rPr>
          <w:rFonts w:hint="eastAsia" w:eastAsia="方正小标宋简体" w:cs="方正仿宋简体"/>
          <w:color w:val="000000"/>
          <w:sz w:val="32"/>
          <w:szCs w:val="32"/>
          <w:lang w:eastAsia="zh-CN"/>
        </w:rPr>
        <w:t>台州市</w:t>
      </w:r>
      <w:r>
        <w:rPr>
          <w:rFonts w:hint="eastAsia" w:eastAsia="方正小标宋简体" w:cs="方正仿宋简体"/>
          <w:color w:val="000000"/>
          <w:sz w:val="32"/>
          <w:szCs w:val="32"/>
        </w:rPr>
        <w:t>玩具产品质量监督抽查实施细则（2023年版）</w:t>
      </w:r>
    </w:p>
    <w:p>
      <w:pPr>
        <w:adjustRightInd w:val="0"/>
        <w:snapToGrid w:val="0"/>
        <w:spacing w:line="440" w:lineRule="exact"/>
        <w:outlineLvl w:val="1"/>
        <w:rPr>
          <w:rFonts w:ascii="宋体" w:hAnsi="宋体" w:cs="黑体"/>
          <w:b/>
          <w:szCs w:val="21"/>
        </w:rPr>
      </w:pPr>
    </w:p>
    <w:p>
      <w:pPr>
        <w:adjustRightInd w:val="0"/>
        <w:snapToGrid w:val="0"/>
        <w:spacing w:line="440" w:lineRule="exact"/>
        <w:outlineLvl w:val="1"/>
        <w:rPr>
          <w:rFonts w:eastAsia="黑体" w:cs="黑体"/>
          <w:szCs w:val="21"/>
        </w:rPr>
      </w:pPr>
      <w:r>
        <w:rPr>
          <w:rFonts w:hint="eastAsia" w:eastAsia="黑体" w:cs="黑体"/>
          <w:szCs w:val="21"/>
        </w:rPr>
        <w:t>1抽样方法</w:t>
      </w:r>
    </w:p>
    <w:p>
      <w:pPr>
        <w:adjustRightInd w:val="0"/>
        <w:snapToGrid w:val="0"/>
        <w:spacing w:line="440" w:lineRule="exact"/>
        <w:ind w:firstLine="420" w:firstLineChars="200"/>
        <w:rPr>
          <w:rFonts w:ascii="宋体" w:hAnsi="宋体"/>
          <w:szCs w:val="21"/>
        </w:rPr>
      </w:pPr>
      <w:r>
        <w:rPr>
          <w:rFonts w:hint="eastAsia" w:ascii="宋体" w:hAnsi="宋体"/>
          <w:szCs w:val="21"/>
        </w:rPr>
        <w:t>以随机抽样的方式在被抽样生产者、销售者的待销产品中抽取。抽样基数满足抽样数量即可。</w:t>
      </w:r>
    </w:p>
    <w:p>
      <w:pPr>
        <w:adjustRightInd w:val="0"/>
        <w:snapToGrid w:val="0"/>
        <w:spacing w:line="440" w:lineRule="exact"/>
        <w:ind w:firstLine="420" w:firstLineChars="200"/>
        <w:rPr>
          <w:rFonts w:ascii="宋体" w:hAnsi="宋体"/>
          <w:szCs w:val="21"/>
        </w:rPr>
      </w:pPr>
      <w:r>
        <w:rPr>
          <w:rFonts w:hint="eastAsia" w:ascii="宋体" w:hAnsi="宋体"/>
          <w:szCs w:val="21"/>
        </w:rPr>
        <w:t>没有功能需要使用电的玩具产品：从同一生产者同一标准生产的同一商标、同一规格型号的产品中随机抽取样品3个，其中2个作为检样，另1个作为备样。</w:t>
      </w:r>
    </w:p>
    <w:p>
      <w:pPr>
        <w:adjustRightInd w:val="0"/>
        <w:snapToGrid w:val="0"/>
        <w:spacing w:line="440" w:lineRule="exact"/>
        <w:ind w:firstLine="420" w:firstLineChars="200"/>
        <w:rPr>
          <w:rFonts w:ascii="宋体" w:hAnsi="宋体"/>
          <w:szCs w:val="21"/>
        </w:rPr>
      </w:pPr>
      <w:r>
        <w:rPr>
          <w:rFonts w:hint="eastAsia" w:ascii="宋体" w:hAnsi="宋体"/>
          <w:szCs w:val="21"/>
        </w:rPr>
        <w:t>至少有一项功能需要使用电的玩具产品：从同一生产者同一标准生产的同一商标、同一规格型号的产品中随机抽取样品4个，其中2个作为检样，另2个作为备样。</w:t>
      </w:r>
    </w:p>
    <w:p>
      <w:pPr>
        <w:adjustRightInd w:val="0"/>
        <w:snapToGrid w:val="0"/>
        <w:spacing w:line="440" w:lineRule="exact"/>
        <w:outlineLvl w:val="1"/>
        <w:rPr>
          <w:rFonts w:eastAsia="黑体" w:cs="黑体"/>
          <w:szCs w:val="21"/>
        </w:rPr>
      </w:pPr>
      <w:r>
        <w:rPr>
          <w:rFonts w:hint="eastAsia" w:eastAsia="黑体" w:cs="黑体"/>
          <w:szCs w:val="21"/>
        </w:rPr>
        <w:t>2检验依据</w:t>
      </w:r>
    </w:p>
    <w:p>
      <w:pPr>
        <w:snapToGrid w:val="0"/>
        <w:spacing w:line="440" w:lineRule="exact"/>
        <w:jc w:val="center"/>
        <w:outlineLvl w:val="0"/>
        <w:rPr>
          <w:rFonts w:ascii="宋体" w:hAnsi="宋体"/>
          <w:color w:val="000000"/>
          <w:szCs w:val="21"/>
        </w:rPr>
      </w:pPr>
      <w:r>
        <w:rPr>
          <w:rFonts w:hint="eastAsia" w:ascii="宋体" w:hAnsi="宋体"/>
          <w:color w:val="000000"/>
          <w:szCs w:val="21"/>
        </w:rPr>
        <w:t>表1 GB 6675-2014检验项目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2"/>
        <w:gridCol w:w="860"/>
        <w:gridCol w:w="1357"/>
        <w:gridCol w:w="2522"/>
        <w:gridCol w:w="1138"/>
        <w:gridCol w:w="90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217" w:type="dxa"/>
            <w:gridSpan w:val="2"/>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522"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标准条款</w:t>
            </w:r>
          </w:p>
        </w:tc>
        <w:tc>
          <w:tcPr>
            <w:tcW w:w="1138" w:type="dxa"/>
            <w:tcBorders>
              <w:top w:val="single" w:color="auto" w:sz="4" w:space="0"/>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复检用样品</w:t>
            </w:r>
          </w:p>
        </w:tc>
        <w:tc>
          <w:tcPr>
            <w:tcW w:w="902" w:type="dxa"/>
            <w:tcBorders>
              <w:top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正常使用</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可预见的合理滥用</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4.2</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材料</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4.3</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小零件</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4.4</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某些特定玩具的形状、尺寸及强度</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4.5</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边缘</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4.6</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尖端</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4.7</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突出部件</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4.8</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金属丝和杆件</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4.9</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用于包装或玩具中的塑料袋或塑料薄膜</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4.10</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11</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绳索和弹性绳</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4.11</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折叠机构</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4.12</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13</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孔、间隙、机械装置的可触及性</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4.13</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14</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弹簧</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4.14</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15</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稳定性及超载要求</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4.15</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16</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封闭式玩具</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4.16</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17</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仿制防护玩具（头盔、帽子、护目镜）</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4.17</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18</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弹射玩具</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4.18</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19</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水上玩具</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4.19</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20</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热源玩具</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4.23</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21</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液体填充玩具</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4.24</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22</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口动玩具</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4.25</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23</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玩具滚轴溜冰鞋、单排滚轴溜冰鞋及玩具滑板</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4.26</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24</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玩具火药帽</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4.27</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25</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声响要求</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4.28</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26</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磁体和磁性部件</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6675.2-2014 4.29</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27</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类似仿真武器玩具</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6675.1-2014 5.1.12</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28</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玩具销售时采用的包装</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6675.1-2014 5.1.4 e)</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29</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易燃性能（一般要求）</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6675.3-2014 4.1</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30</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易燃性能（头戴玩具）</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6675.3-2014 4.2</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31</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易燃性能（化妆服饰）</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6675.3-2014 4.3</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32</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易燃性能（供儿童进入的玩具）</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6675.3-2014 4.4</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33</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易燃性能（具有毛绒或纺织表面的软体填充玩具）</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6675.3-2014 4.5</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71" w:hRule="atLeast"/>
          <w:jc w:val="center"/>
        </w:trPr>
        <w:tc>
          <w:tcPr>
            <w:tcW w:w="712"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34</w:t>
            </w:r>
          </w:p>
        </w:tc>
        <w:tc>
          <w:tcPr>
            <w:tcW w:w="860"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可迁移元素</w:t>
            </w:r>
          </w:p>
        </w:tc>
        <w:tc>
          <w:tcPr>
            <w:tcW w:w="135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锑</w:t>
            </w:r>
          </w:p>
        </w:tc>
        <w:tc>
          <w:tcPr>
            <w:tcW w:w="2522"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6675.1-2014 5.3.3/5.3.5</w:t>
            </w:r>
          </w:p>
          <w:p>
            <w:pPr>
              <w:snapToGrid w:val="0"/>
              <w:spacing w:line="440" w:lineRule="exact"/>
              <w:jc w:val="center"/>
              <w:rPr>
                <w:rFonts w:ascii="宋体" w:hAnsi="宋体"/>
                <w:color w:val="000000"/>
                <w:szCs w:val="21"/>
              </w:rPr>
            </w:pPr>
            <w:r>
              <w:rPr>
                <w:rFonts w:hint="eastAsia" w:ascii="宋体" w:hAnsi="宋体"/>
                <w:color w:val="000000"/>
                <w:szCs w:val="21"/>
              </w:rPr>
              <w:t>GB 6675.4-2014 4.1</w:t>
            </w:r>
          </w:p>
        </w:tc>
        <w:tc>
          <w:tcPr>
            <w:tcW w:w="1138" w:type="dxa"/>
            <w:vMerge w:val="restart"/>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仅做主要材质或高风险部位一组</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jc w:val="center"/>
        </w:trPr>
        <w:tc>
          <w:tcPr>
            <w:tcW w:w="712" w:type="dxa"/>
            <w:vMerge w:val="continue"/>
            <w:vAlign w:val="center"/>
          </w:tcPr>
          <w:p>
            <w:pPr>
              <w:snapToGrid w:val="0"/>
              <w:spacing w:line="440" w:lineRule="exact"/>
              <w:jc w:val="center"/>
              <w:rPr>
                <w:rFonts w:ascii="宋体" w:hAnsi="宋体"/>
                <w:color w:val="000000"/>
                <w:szCs w:val="21"/>
              </w:rPr>
            </w:pPr>
          </w:p>
        </w:tc>
        <w:tc>
          <w:tcPr>
            <w:tcW w:w="860" w:type="dxa"/>
            <w:vMerge w:val="continue"/>
            <w:vAlign w:val="center"/>
          </w:tcPr>
          <w:p>
            <w:pPr>
              <w:snapToGrid w:val="0"/>
              <w:spacing w:line="440" w:lineRule="exact"/>
              <w:jc w:val="center"/>
              <w:rPr>
                <w:rFonts w:ascii="宋体" w:hAnsi="宋体"/>
                <w:color w:val="000000"/>
                <w:szCs w:val="21"/>
              </w:rPr>
            </w:pPr>
          </w:p>
        </w:tc>
        <w:tc>
          <w:tcPr>
            <w:tcW w:w="135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砷</w:t>
            </w:r>
          </w:p>
        </w:tc>
        <w:tc>
          <w:tcPr>
            <w:tcW w:w="2522" w:type="dxa"/>
            <w:vMerge w:val="continue"/>
            <w:vAlign w:val="center"/>
          </w:tcPr>
          <w:p>
            <w:pPr>
              <w:snapToGrid w:val="0"/>
              <w:spacing w:line="440" w:lineRule="exact"/>
              <w:jc w:val="center"/>
              <w:rPr>
                <w:rFonts w:ascii="宋体" w:hAnsi="宋体"/>
                <w:color w:val="000000"/>
                <w:szCs w:val="21"/>
              </w:rPr>
            </w:pPr>
          </w:p>
        </w:tc>
        <w:tc>
          <w:tcPr>
            <w:tcW w:w="1138"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jc w:val="center"/>
        </w:trPr>
        <w:tc>
          <w:tcPr>
            <w:tcW w:w="712" w:type="dxa"/>
            <w:vMerge w:val="continue"/>
            <w:vAlign w:val="center"/>
          </w:tcPr>
          <w:p>
            <w:pPr>
              <w:snapToGrid w:val="0"/>
              <w:spacing w:line="440" w:lineRule="exact"/>
              <w:jc w:val="center"/>
              <w:rPr>
                <w:rFonts w:ascii="宋体" w:hAnsi="宋体"/>
                <w:color w:val="000000"/>
                <w:szCs w:val="21"/>
              </w:rPr>
            </w:pPr>
          </w:p>
        </w:tc>
        <w:tc>
          <w:tcPr>
            <w:tcW w:w="860" w:type="dxa"/>
            <w:vMerge w:val="continue"/>
            <w:vAlign w:val="center"/>
          </w:tcPr>
          <w:p>
            <w:pPr>
              <w:snapToGrid w:val="0"/>
              <w:spacing w:line="440" w:lineRule="exact"/>
              <w:jc w:val="center"/>
              <w:rPr>
                <w:rFonts w:ascii="宋体" w:hAnsi="宋体"/>
                <w:color w:val="000000"/>
                <w:szCs w:val="21"/>
              </w:rPr>
            </w:pPr>
          </w:p>
        </w:tc>
        <w:tc>
          <w:tcPr>
            <w:tcW w:w="135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钡</w:t>
            </w:r>
          </w:p>
        </w:tc>
        <w:tc>
          <w:tcPr>
            <w:tcW w:w="2522" w:type="dxa"/>
            <w:vMerge w:val="continue"/>
            <w:vAlign w:val="center"/>
          </w:tcPr>
          <w:p>
            <w:pPr>
              <w:snapToGrid w:val="0"/>
              <w:spacing w:line="440" w:lineRule="exact"/>
              <w:jc w:val="center"/>
              <w:rPr>
                <w:rFonts w:ascii="宋体" w:hAnsi="宋体"/>
                <w:color w:val="000000"/>
                <w:szCs w:val="21"/>
              </w:rPr>
            </w:pPr>
          </w:p>
        </w:tc>
        <w:tc>
          <w:tcPr>
            <w:tcW w:w="1138"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jc w:val="center"/>
        </w:trPr>
        <w:tc>
          <w:tcPr>
            <w:tcW w:w="712" w:type="dxa"/>
            <w:vMerge w:val="continue"/>
            <w:vAlign w:val="center"/>
          </w:tcPr>
          <w:p>
            <w:pPr>
              <w:snapToGrid w:val="0"/>
              <w:spacing w:line="440" w:lineRule="exact"/>
              <w:jc w:val="center"/>
              <w:rPr>
                <w:rFonts w:ascii="宋体" w:hAnsi="宋体"/>
                <w:color w:val="000000"/>
                <w:szCs w:val="21"/>
              </w:rPr>
            </w:pPr>
          </w:p>
        </w:tc>
        <w:tc>
          <w:tcPr>
            <w:tcW w:w="860" w:type="dxa"/>
            <w:vMerge w:val="continue"/>
            <w:vAlign w:val="center"/>
          </w:tcPr>
          <w:p>
            <w:pPr>
              <w:snapToGrid w:val="0"/>
              <w:spacing w:line="440" w:lineRule="exact"/>
              <w:jc w:val="center"/>
              <w:rPr>
                <w:rFonts w:ascii="宋体" w:hAnsi="宋体"/>
                <w:color w:val="000000"/>
                <w:szCs w:val="21"/>
              </w:rPr>
            </w:pPr>
          </w:p>
        </w:tc>
        <w:tc>
          <w:tcPr>
            <w:tcW w:w="135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镉</w:t>
            </w:r>
          </w:p>
        </w:tc>
        <w:tc>
          <w:tcPr>
            <w:tcW w:w="2522" w:type="dxa"/>
            <w:vMerge w:val="continue"/>
            <w:vAlign w:val="center"/>
          </w:tcPr>
          <w:p>
            <w:pPr>
              <w:snapToGrid w:val="0"/>
              <w:spacing w:line="440" w:lineRule="exact"/>
              <w:jc w:val="center"/>
              <w:rPr>
                <w:rFonts w:ascii="宋体" w:hAnsi="宋体"/>
                <w:color w:val="000000"/>
                <w:szCs w:val="21"/>
              </w:rPr>
            </w:pPr>
          </w:p>
        </w:tc>
        <w:tc>
          <w:tcPr>
            <w:tcW w:w="1138"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jc w:val="center"/>
        </w:trPr>
        <w:tc>
          <w:tcPr>
            <w:tcW w:w="712" w:type="dxa"/>
            <w:vMerge w:val="continue"/>
            <w:vAlign w:val="center"/>
          </w:tcPr>
          <w:p>
            <w:pPr>
              <w:snapToGrid w:val="0"/>
              <w:spacing w:line="440" w:lineRule="exact"/>
              <w:jc w:val="center"/>
              <w:rPr>
                <w:rFonts w:ascii="宋体" w:hAnsi="宋体"/>
                <w:color w:val="000000"/>
                <w:szCs w:val="21"/>
              </w:rPr>
            </w:pPr>
          </w:p>
        </w:tc>
        <w:tc>
          <w:tcPr>
            <w:tcW w:w="860" w:type="dxa"/>
            <w:vMerge w:val="continue"/>
            <w:vAlign w:val="center"/>
          </w:tcPr>
          <w:p>
            <w:pPr>
              <w:snapToGrid w:val="0"/>
              <w:spacing w:line="440" w:lineRule="exact"/>
              <w:jc w:val="center"/>
              <w:rPr>
                <w:rFonts w:ascii="宋体" w:hAnsi="宋体"/>
                <w:color w:val="000000"/>
                <w:szCs w:val="21"/>
              </w:rPr>
            </w:pPr>
          </w:p>
        </w:tc>
        <w:tc>
          <w:tcPr>
            <w:tcW w:w="135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铬</w:t>
            </w:r>
          </w:p>
        </w:tc>
        <w:tc>
          <w:tcPr>
            <w:tcW w:w="2522" w:type="dxa"/>
            <w:vMerge w:val="continue"/>
            <w:vAlign w:val="center"/>
          </w:tcPr>
          <w:p>
            <w:pPr>
              <w:snapToGrid w:val="0"/>
              <w:spacing w:line="440" w:lineRule="exact"/>
              <w:jc w:val="center"/>
              <w:rPr>
                <w:rFonts w:ascii="宋体" w:hAnsi="宋体"/>
                <w:color w:val="000000"/>
                <w:szCs w:val="21"/>
              </w:rPr>
            </w:pPr>
          </w:p>
        </w:tc>
        <w:tc>
          <w:tcPr>
            <w:tcW w:w="1138"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jc w:val="center"/>
        </w:trPr>
        <w:tc>
          <w:tcPr>
            <w:tcW w:w="712" w:type="dxa"/>
            <w:vMerge w:val="continue"/>
            <w:vAlign w:val="center"/>
          </w:tcPr>
          <w:p>
            <w:pPr>
              <w:snapToGrid w:val="0"/>
              <w:spacing w:line="440" w:lineRule="exact"/>
              <w:jc w:val="center"/>
              <w:rPr>
                <w:rFonts w:ascii="宋体" w:hAnsi="宋体"/>
                <w:color w:val="000000"/>
                <w:szCs w:val="21"/>
              </w:rPr>
            </w:pPr>
          </w:p>
        </w:tc>
        <w:tc>
          <w:tcPr>
            <w:tcW w:w="860" w:type="dxa"/>
            <w:vMerge w:val="continue"/>
            <w:vAlign w:val="center"/>
          </w:tcPr>
          <w:p>
            <w:pPr>
              <w:snapToGrid w:val="0"/>
              <w:spacing w:line="440" w:lineRule="exact"/>
              <w:jc w:val="center"/>
              <w:rPr>
                <w:rFonts w:ascii="宋体" w:hAnsi="宋体"/>
                <w:color w:val="000000"/>
                <w:szCs w:val="21"/>
              </w:rPr>
            </w:pPr>
          </w:p>
        </w:tc>
        <w:tc>
          <w:tcPr>
            <w:tcW w:w="135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铅</w:t>
            </w:r>
          </w:p>
        </w:tc>
        <w:tc>
          <w:tcPr>
            <w:tcW w:w="2522" w:type="dxa"/>
            <w:vMerge w:val="continue"/>
            <w:vAlign w:val="center"/>
          </w:tcPr>
          <w:p>
            <w:pPr>
              <w:snapToGrid w:val="0"/>
              <w:spacing w:line="440" w:lineRule="exact"/>
              <w:jc w:val="center"/>
              <w:rPr>
                <w:rFonts w:ascii="宋体" w:hAnsi="宋体"/>
                <w:color w:val="000000"/>
                <w:szCs w:val="21"/>
              </w:rPr>
            </w:pPr>
          </w:p>
        </w:tc>
        <w:tc>
          <w:tcPr>
            <w:tcW w:w="1138"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jc w:val="center"/>
        </w:trPr>
        <w:tc>
          <w:tcPr>
            <w:tcW w:w="712" w:type="dxa"/>
            <w:vMerge w:val="continue"/>
            <w:vAlign w:val="center"/>
          </w:tcPr>
          <w:p>
            <w:pPr>
              <w:snapToGrid w:val="0"/>
              <w:spacing w:line="440" w:lineRule="exact"/>
              <w:jc w:val="center"/>
              <w:rPr>
                <w:rFonts w:ascii="宋体" w:hAnsi="宋体"/>
                <w:color w:val="000000"/>
                <w:szCs w:val="21"/>
              </w:rPr>
            </w:pPr>
          </w:p>
        </w:tc>
        <w:tc>
          <w:tcPr>
            <w:tcW w:w="860" w:type="dxa"/>
            <w:vMerge w:val="continue"/>
            <w:vAlign w:val="center"/>
          </w:tcPr>
          <w:p>
            <w:pPr>
              <w:snapToGrid w:val="0"/>
              <w:spacing w:line="440" w:lineRule="exact"/>
              <w:jc w:val="center"/>
              <w:rPr>
                <w:rFonts w:ascii="宋体" w:hAnsi="宋体"/>
                <w:color w:val="000000"/>
                <w:szCs w:val="21"/>
              </w:rPr>
            </w:pPr>
          </w:p>
        </w:tc>
        <w:tc>
          <w:tcPr>
            <w:tcW w:w="135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汞</w:t>
            </w:r>
          </w:p>
        </w:tc>
        <w:tc>
          <w:tcPr>
            <w:tcW w:w="2522" w:type="dxa"/>
            <w:vMerge w:val="continue"/>
            <w:vAlign w:val="center"/>
          </w:tcPr>
          <w:p>
            <w:pPr>
              <w:snapToGrid w:val="0"/>
              <w:spacing w:line="440" w:lineRule="exact"/>
              <w:jc w:val="center"/>
              <w:rPr>
                <w:rFonts w:ascii="宋体" w:hAnsi="宋体"/>
                <w:color w:val="000000"/>
                <w:szCs w:val="21"/>
              </w:rPr>
            </w:pPr>
          </w:p>
        </w:tc>
        <w:tc>
          <w:tcPr>
            <w:tcW w:w="1138"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jc w:val="center"/>
        </w:trPr>
        <w:tc>
          <w:tcPr>
            <w:tcW w:w="712" w:type="dxa"/>
            <w:vMerge w:val="continue"/>
            <w:vAlign w:val="center"/>
          </w:tcPr>
          <w:p>
            <w:pPr>
              <w:snapToGrid w:val="0"/>
              <w:spacing w:line="440" w:lineRule="exact"/>
              <w:jc w:val="center"/>
              <w:rPr>
                <w:rFonts w:ascii="宋体" w:hAnsi="宋体"/>
                <w:color w:val="000000"/>
                <w:szCs w:val="21"/>
              </w:rPr>
            </w:pPr>
          </w:p>
        </w:tc>
        <w:tc>
          <w:tcPr>
            <w:tcW w:w="860" w:type="dxa"/>
            <w:vMerge w:val="continue"/>
            <w:vAlign w:val="center"/>
          </w:tcPr>
          <w:p>
            <w:pPr>
              <w:snapToGrid w:val="0"/>
              <w:spacing w:line="440" w:lineRule="exact"/>
              <w:jc w:val="center"/>
              <w:rPr>
                <w:rFonts w:ascii="宋体" w:hAnsi="宋体"/>
                <w:color w:val="000000"/>
                <w:szCs w:val="21"/>
              </w:rPr>
            </w:pPr>
          </w:p>
        </w:tc>
        <w:tc>
          <w:tcPr>
            <w:tcW w:w="1357"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硒</w:t>
            </w:r>
          </w:p>
        </w:tc>
        <w:tc>
          <w:tcPr>
            <w:tcW w:w="2522" w:type="dxa"/>
            <w:vMerge w:val="continue"/>
            <w:vAlign w:val="center"/>
          </w:tcPr>
          <w:p>
            <w:pPr>
              <w:snapToGrid w:val="0"/>
              <w:spacing w:line="440" w:lineRule="exact"/>
              <w:jc w:val="center"/>
              <w:rPr>
                <w:rFonts w:ascii="宋体" w:hAnsi="宋体"/>
                <w:color w:val="000000"/>
                <w:szCs w:val="21"/>
              </w:rPr>
            </w:pPr>
          </w:p>
        </w:tc>
        <w:tc>
          <w:tcPr>
            <w:tcW w:w="1138" w:type="dxa"/>
            <w:vMerge w:val="continue"/>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67"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35</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增塑剂</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6675.1-2014 5.3.7</w:t>
            </w:r>
          </w:p>
          <w:p>
            <w:pPr>
              <w:snapToGrid w:val="0"/>
              <w:spacing w:line="440" w:lineRule="exact"/>
              <w:jc w:val="center"/>
              <w:rPr>
                <w:rFonts w:ascii="宋体" w:hAnsi="宋体"/>
                <w:color w:val="000000"/>
                <w:szCs w:val="21"/>
              </w:rPr>
            </w:pPr>
            <w:r>
              <w:rPr>
                <w:rFonts w:hint="eastAsia" w:ascii="宋体" w:hAnsi="宋体"/>
                <w:color w:val="000000"/>
                <w:szCs w:val="21"/>
              </w:rPr>
              <w:t>测试方法:</w:t>
            </w:r>
          </w:p>
          <w:p>
            <w:pPr>
              <w:snapToGrid w:val="0"/>
              <w:spacing w:line="440" w:lineRule="exact"/>
              <w:jc w:val="center"/>
              <w:rPr>
                <w:rFonts w:ascii="宋体" w:hAnsi="宋体"/>
                <w:color w:val="000000"/>
                <w:szCs w:val="21"/>
              </w:rPr>
            </w:pPr>
            <w:r>
              <w:rPr>
                <w:rFonts w:hint="eastAsia" w:ascii="宋体" w:hAnsi="宋体"/>
                <w:color w:val="000000"/>
                <w:szCs w:val="21"/>
              </w:rPr>
              <w:t xml:space="preserve">GB/T 22048-2015 </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仅做主要材质或高风险部位一组</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36</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产品名称</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5296.5-2006 5.1</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37</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产品标准编号</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5296.5-2006 5.3</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38</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安全警示</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5296.5-2006 5.5</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39</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安全使用期限</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5296.5-2006 5.9</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40</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生产者或经销者的名称和地址</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5296.5-2006 5.10</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90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41</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标识和说明</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7</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902"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仅适用于具备电功能的玩具产品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42</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输入功率</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8</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43</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发热和非正常工作</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9</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44</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工作温度下的电气强度</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10</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45</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耐潮湿</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11</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46</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室温下的电气强度</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12</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47</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机械强度</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13</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48</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结构</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14</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49</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软线和电线的保护</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15</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50</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元件</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16</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51</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螺钉和连接</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17</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52</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电气间隙和爬电距离</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18</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53</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耐热和耐燃</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19865-2005 19</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54</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静态强度</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4.1.1</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restart"/>
            <w:vAlign w:val="center"/>
          </w:tcPr>
          <w:p>
            <w:pPr>
              <w:snapToGrid w:val="0"/>
              <w:spacing w:line="440" w:lineRule="exact"/>
              <w:jc w:val="center"/>
              <w:rPr>
                <w:rFonts w:ascii="宋体" w:hAnsi="宋体"/>
                <w:color w:val="000000"/>
                <w:szCs w:val="21"/>
              </w:rPr>
            </w:pPr>
            <w:r>
              <w:rPr>
                <w:rFonts w:hint="eastAsia" w:ascii="宋体" w:hAnsi="宋体"/>
                <w:color w:val="000000"/>
                <w:szCs w:val="21"/>
              </w:rPr>
              <w:t>仅适用于活动玩具产品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55</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最大高度</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4.1.2</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56</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角和边缘</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4.1.3</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57</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突出部件</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4.1.4</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58</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攀爬和摆动绳索、链条和缆绳</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4.1.5</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59</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外露的开口管子</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4.1.6</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60</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围栏</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4.2</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61</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横档梯、台阶梯和楼梯</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4.3</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62</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头部和颈部挤夹</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4.4.1</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63</w:t>
            </w:r>
          </w:p>
        </w:tc>
        <w:tc>
          <w:tcPr>
            <w:tcW w:w="2217" w:type="dxa"/>
            <w:gridSpan w:val="2"/>
            <w:vAlign w:val="center"/>
          </w:tcPr>
          <w:p>
            <w:pPr>
              <w:snapToGrid w:val="0"/>
              <w:spacing w:line="440" w:lineRule="exact"/>
              <w:jc w:val="center"/>
              <w:rPr>
                <w:rFonts w:ascii="宋体" w:hAnsi="宋体"/>
                <w:color w:val="000000"/>
                <w:szCs w:val="21"/>
              </w:rPr>
            </w:pPr>
            <w:bookmarkStart w:id="0" w:name="_Toc203038322"/>
            <w:r>
              <w:rPr>
                <w:rFonts w:hint="eastAsia" w:ascii="宋体" w:hAnsi="宋体"/>
                <w:color w:val="000000"/>
                <w:szCs w:val="21"/>
              </w:rPr>
              <w:t>衣物和头发勾挂</w:t>
            </w:r>
            <w:bookmarkEnd w:id="0"/>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4.4.2</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64</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脚部挤夹</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4.4.3</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65</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手指挤夹</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4.4.4</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66</w:t>
            </w:r>
          </w:p>
        </w:tc>
        <w:tc>
          <w:tcPr>
            <w:tcW w:w="2217" w:type="dxa"/>
            <w:gridSpan w:val="2"/>
            <w:vAlign w:val="center"/>
          </w:tcPr>
          <w:p>
            <w:pPr>
              <w:snapToGrid w:val="0"/>
              <w:spacing w:line="440" w:lineRule="exact"/>
              <w:jc w:val="center"/>
              <w:rPr>
                <w:rFonts w:ascii="宋体" w:hAnsi="宋体"/>
                <w:color w:val="000000"/>
                <w:szCs w:val="21"/>
              </w:rPr>
            </w:pPr>
            <w:bookmarkStart w:id="1" w:name="_Toc203038325"/>
            <w:r>
              <w:rPr>
                <w:rFonts w:hint="eastAsia" w:ascii="宋体" w:hAnsi="宋体"/>
                <w:color w:val="000000"/>
                <w:szCs w:val="21"/>
              </w:rPr>
              <w:t>除滑梯、秋千和带有横梁的玩具外其它活动玩具的稳定性</w:t>
            </w:r>
            <w:bookmarkEnd w:id="1"/>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4.5</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67</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滑梯的稳定性</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4.6.1</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68</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滑梯的侧挡板</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4.6.2</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69</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滑梯的起始段、滑行段和滑出段</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4.6.3</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70</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滚轴滑梯</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4.6.4</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71</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秋千和其他带有横梁的活动玩具的稳定性</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4.7.1</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72</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横梁、摆动装置、悬挂连接器和悬挂接头的强度</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4.7.2</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73</w:t>
            </w:r>
          </w:p>
        </w:tc>
        <w:tc>
          <w:tcPr>
            <w:tcW w:w="2217" w:type="dxa"/>
            <w:gridSpan w:val="2"/>
            <w:vAlign w:val="center"/>
          </w:tcPr>
          <w:p>
            <w:pPr>
              <w:snapToGrid w:val="0"/>
              <w:spacing w:line="440" w:lineRule="exact"/>
              <w:jc w:val="center"/>
              <w:rPr>
                <w:rFonts w:ascii="宋体" w:hAnsi="宋体"/>
                <w:color w:val="000000"/>
                <w:szCs w:val="21"/>
              </w:rPr>
            </w:pPr>
            <w:bookmarkStart w:id="2" w:name="_Toc203038337"/>
            <w:r>
              <w:rPr>
                <w:rFonts w:hint="eastAsia" w:ascii="宋体" w:hAnsi="宋体"/>
                <w:color w:val="000000"/>
                <w:szCs w:val="21"/>
              </w:rPr>
              <w:t>预定供36个月及以下儿童使用的秋千</w:t>
            </w:r>
            <w:bookmarkEnd w:id="2"/>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4.7.3</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74</w:t>
            </w:r>
          </w:p>
        </w:tc>
        <w:tc>
          <w:tcPr>
            <w:tcW w:w="2217" w:type="dxa"/>
            <w:gridSpan w:val="2"/>
            <w:vAlign w:val="center"/>
          </w:tcPr>
          <w:p>
            <w:pPr>
              <w:snapToGrid w:val="0"/>
              <w:spacing w:line="440" w:lineRule="exact"/>
              <w:jc w:val="center"/>
              <w:rPr>
                <w:rFonts w:ascii="宋体" w:hAnsi="宋体"/>
                <w:color w:val="000000"/>
                <w:szCs w:val="21"/>
              </w:rPr>
            </w:pPr>
            <w:bookmarkStart w:id="3" w:name="_Toc203038338"/>
            <w:r>
              <w:rPr>
                <w:rFonts w:hint="eastAsia" w:ascii="宋体" w:hAnsi="宋体"/>
                <w:color w:val="000000"/>
                <w:szCs w:val="21"/>
              </w:rPr>
              <w:t>摆动元件的撞击</w:t>
            </w:r>
            <w:bookmarkEnd w:id="3"/>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4.7.4</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75</w:t>
            </w:r>
          </w:p>
        </w:tc>
        <w:tc>
          <w:tcPr>
            <w:tcW w:w="2217" w:type="dxa"/>
            <w:gridSpan w:val="2"/>
            <w:vAlign w:val="center"/>
          </w:tcPr>
          <w:p>
            <w:pPr>
              <w:snapToGrid w:val="0"/>
              <w:spacing w:line="440" w:lineRule="exact"/>
              <w:jc w:val="center"/>
              <w:rPr>
                <w:rFonts w:ascii="宋体" w:hAnsi="宋体"/>
                <w:color w:val="000000"/>
                <w:szCs w:val="21"/>
              </w:rPr>
            </w:pPr>
            <w:bookmarkStart w:id="4" w:name="_Toc203038339"/>
            <w:r>
              <w:rPr>
                <w:rFonts w:hint="eastAsia" w:ascii="宋体" w:hAnsi="宋体"/>
                <w:color w:val="000000"/>
                <w:szCs w:val="21"/>
              </w:rPr>
              <w:t>摆动元件、类似装置与相邻结构间的最小间距</w:t>
            </w:r>
            <w:bookmarkEnd w:id="4"/>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4.7.5</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76</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摆动元件的侧向稳定性</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4.7.6</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77</w:t>
            </w:r>
          </w:p>
        </w:tc>
        <w:tc>
          <w:tcPr>
            <w:tcW w:w="2217" w:type="dxa"/>
            <w:gridSpan w:val="2"/>
            <w:vAlign w:val="center"/>
          </w:tcPr>
          <w:p>
            <w:pPr>
              <w:snapToGrid w:val="0"/>
              <w:spacing w:line="440" w:lineRule="exact"/>
              <w:jc w:val="center"/>
              <w:rPr>
                <w:rFonts w:ascii="宋体" w:hAnsi="宋体"/>
                <w:color w:val="000000"/>
                <w:szCs w:val="21"/>
              </w:rPr>
            </w:pPr>
            <w:bookmarkStart w:id="5" w:name="_Toc203038341"/>
            <w:r>
              <w:rPr>
                <w:rFonts w:hint="eastAsia" w:ascii="宋体" w:hAnsi="宋体"/>
                <w:color w:val="000000"/>
                <w:szCs w:val="21"/>
              </w:rPr>
              <w:t>摆动元件与地面之间的最小间距</w:t>
            </w:r>
            <w:bookmarkEnd w:id="5"/>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4.7.7</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78</w:t>
            </w:r>
          </w:p>
        </w:tc>
        <w:tc>
          <w:tcPr>
            <w:tcW w:w="2217" w:type="dxa"/>
            <w:gridSpan w:val="2"/>
            <w:vAlign w:val="center"/>
          </w:tcPr>
          <w:p>
            <w:pPr>
              <w:snapToGrid w:val="0"/>
              <w:spacing w:line="440" w:lineRule="exact"/>
              <w:jc w:val="center"/>
              <w:rPr>
                <w:rFonts w:ascii="宋体" w:hAnsi="宋体"/>
                <w:color w:val="000000"/>
                <w:szCs w:val="21"/>
              </w:rPr>
            </w:pPr>
            <w:bookmarkStart w:id="6" w:name="_Toc203038342"/>
            <w:r>
              <w:rPr>
                <w:rFonts w:hint="eastAsia" w:ascii="宋体" w:hAnsi="宋体"/>
                <w:color w:val="000000"/>
                <w:szCs w:val="21"/>
              </w:rPr>
              <w:t>悬挂连接器和悬挂装置</w:t>
            </w:r>
            <w:bookmarkEnd w:id="6"/>
            <w:r>
              <w:rPr>
                <w:rFonts w:hint="eastAsia" w:ascii="宋体" w:hAnsi="宋体"/>
                <w:color w:val="000000"/>
                <w:szCs w:val="21"/>
              </w:rPr>
              <w:t>注1</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4.7.8</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79</w:t>
            </w:r>
          </w:p>
        </w:tc>
        <w:tc>
          <w:tcPr>
            <w:tcW w:w="2217" w:type="dxa"/>
            <w:gridSpan w:val="2"/>
            <w:vAlign w:val="center"/>
          </w:tcPr>
          <w:p>
            <w:pPr>
              <w:snapToGrid w:val="0"/>
              <w:spacing w:line="440" w:lineRule="exact"/>
              <w:jc w:val="center"/>
              <w:rPr>
                <w:rFonts w:ascii="宋体" w:hAnsi="宋体"/>
                <w:color w:val="000000"/>
                <w:szCs w:val="21"/>
              </w:rPr>
            </w:pPr>
            <w:bookmarkStart w:id="7" w:name="_Toc203038343"/>
            <w:r>
              <w:rPr>
                <w:rFonts w:hint="eastAsia" w:ascii="宋体" w:hAnsi="宋体"/>
                <w:color w:val="000000"/>
                <w:szCs w:val="21"/>
              </w:rPr>
              <w:t>跷跷板</w:t>
            </w:r>
            <w:bookmarkEnd w:id="7"/>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4.8</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80</w:t>
            </w:r>
          </w:p>
        </w:tc>
        <w:tc>
          <w:tcPr>
            <w:tcW w:w="2217" w:type="dxa"/>
            <w:gridSpan w:val="2"/>
            <w:vAlign w:val="center"/>
          </w:tcPr>
          <w:p>
            <w:pPr>
              <w:snapToGrid w:val="0"/>
              <w:spacing w:line="440" w:lineRule="exact"/>
              <w:jc w:val="center"/>
              <w:rPr>
                <w:rFonts w:ascii="宋体" w:hAnsi="宋体"/>
                <w:color w:val="000000"/>
                <w:szCs w:val="21"/>
              </w:rPr>
            </w:pPr>
            <w:bookmarkStart w:id="8" w:name="_Toc203038344"/>
            <w:r>
              <w:rPr>
                <w:rFonts w:hint="eastAsia" w:ascii="宋体" w:hAnsi="宋体"/>
                <w:color w:val="000000"/>
                <w:szCs w:val="21"/>
              </w:rPr>
              <w:t>旋转木马和摇摆玩具</w:t>
            </w:r>
            <w:bookmarkEnd w:id="8"/>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4.9</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备样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81</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标识</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5.1</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82</w:t>
            </w:r>
          </w:p>
        </w:tc>
        <w:tc>
          <w:tcPr>
            <w:tcW w:w="2217" w:type="dxa"/>
            <w:gridSpan w:val="2"/>
            <w:vAlign w:val="center"/>
          </w:tcPr>
          <w:p>
            <w:pPr>
              <w:snapToGrid w:val="0"/>
              <w:spacing w:line="440" w:lineRule="exact"/>
              <w:jc w:val="center"/>
              <w:rPr>
                <w:rFonts w:ascii="宋体" w:hAnsi="宋体"/>
                <w:color w:val="000000"/>
                <w:szCs w:val="21"/>
              </w:rPr>
            </w:pPr>
            <w:r>
              <w:rPr>
                <w:rFonts w:hint="eastAsia" w:ascii="宋体" w:hAnsi="宋体"/>
                <w:color w:val="000000"/>
                <w:szCs w:val="21"/>
              </w:rPr>
              <w:t>组装和安装说明</w:t>
            </w:r>
          </w:p>
        </w:tc>
        <w:tc>
          <w:tcPr>
            <w:tcW w:w="252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5.2</w:t>
            </w:r>
          </w:p>
        </w:tc>
        <w:tc>
          <w:tcPr>
            <w:tcW w:w="1138" w:type="dxa"/>
            <w:tcBorders>
              <w:left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902" w:type="dxa"/>
            <w:vMerge w:val="continue"/>
            <w:vAlign w:val="center"/>
          </w:tcPr>
          <w:p>
            <w:pPr>
              <w:snapToGrid w:val="0"/>
              <w:spacing w:line="4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83</w:t>
            </w:r>
          </w:p>
        </w:tc>
        <w:tc>
          <w:tcPr>
            <w:tcW w:w="2217" w:type="dxa"/>
            <w:gridSpan w:val="2"/>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维护说明</w:t>
            </w:r>
          </w:p>
        </w:tc>
        <w:tc>
          <w:tcPr>
            <w:tcW w:w="2522" w:type="dxa"/>
            <w:tcBorders>
              <w:bottom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GB 6675.11-2014 5.3</w:t>
            </w:r>
          </w:p>
        </w:tc>
        <w:tc>
          <w:tcPr>
            <w:tcW w:w="1138" w:type="dxa"/>
            <w:tcBorders>
              <w:left w:val="single" w:color="auto" w:sz="4" w:space="0"/>
              <w:bottom w:val="single" w:color="auto" w:sz="4" w:space="0"/>
              <w:right w:val="single" w:color="auto" w:sz="4" w:space="0"/>
            </w:tcBorders>
            <w:vAlign w:val="center"/>
          </w:tcPr>
          <w:p>
            <w:pPr>
              <w:snapToGrid w:val="0"/>
              <w:spacing w:line="440" w:lineRule="exact"/>
              <w:jc w:val="center"/>
              <w:rPr>
                <w:rFonts w:ascii="宋体" w:hAnsi="宋体"/>
                <w:color w:val="000000"/>
                <w:szCs w:val="21"/>
              </w:rPr>
            </w:pPr>
            <w:r>
              <w:rPr>
                <w:rFonts w:hint="eastAsia" w:ascii="宋体" w:hAnsi="宋体"/>
                <w:color w:val="000000"/>
                <w:szCs w:val="21"/>
              </w:rPr>
              <w:t>原样</w:t>
            </w:r>
          </w:p>
        </w:tc>
        <w:tc>
          <w:tcPr>
            <w:tcW w:w="902" w:type="dxa"/>
            <w:vMerge w:val="continue"/>
            <w:tcBorders>
              <w:bottom w:val="single" w:color="auto" w:sz="4" w:space="0"/>
            </w:tcBorders>
            <w:vAlign w:val="center"/>
          </w:tcPr>
          <w:p>
            <w:pPr>
              <w:snapToGrid w:val="0"/>
              <w:spacing w:line="440" w:lineRule="exact"/>
              <w:jc w:val="center"/>
              <w:rPr>
                <w:rFonts w:ascii="宋体" w:hAnsi="宋体"/>
                <w:color w:val="000000"/>
                <w:szCs w:val="21"/>
              </w:rPr>
            </w:pPr>
          </w:p>
        </w:tc>
      </w:tr>
    </w:tbl>
    <w:p>
      <w:pPr>
        <w:adjustRightInd w:val="0"/>
        <w:snapToGrid w:val="0"/>
        <w:spacing w:line="440" w:lineRule="exact"/>
        <w:rPr>
          <w:rFonts w:ascii="宋体" w:hAnsi="宋体" w:cs="仿宋_GB2312"/>
          <w:szCs w:val="21"/>
        </w:rPr>
      </w:pPr>
      <w:r>
        <w:rPr>
          <w:rFonts w:hint="eastAsia" w:ascii="宋体" w:hAnsi="宋体"/>
          <w:szCs w:val="21"/>
        </w:rPr>
        <w:t>注1：不测GB 6675.11-2014 4.7.8 f）悬挂连接器和悬挂装置的耐久性测试项目。</w:t>
      </w:r>
    </w:p>
    <w:p>
      <w:pPr>
        <w:adjustRightInd w:val="0"/>
        <w:snapToGrid w:val="0"/>
        <w:spacing w:line="440" w:lineRule="exact"/>
        <w:ind w:firstLine="420" w:firstLineChars="200"/>
        <w:rPr>
          <w:rFonts w:ascii="宋体" w:hAnsi="宋体"/>
          <w:szCs w:val="21"/>
        </w:rPr>
      </w:pPr>
      <w:r>
        <w:rPr>
          <w:rFonts w:hint="eastAsia" w:ascii="宋体" w:hAnsi="宋体"/>
          <w:szCs w:val="21"/>
        </w:rPr>
        <w:t>执行其他标准的产品，检验项目参照上述内容执行。</w:t>
      </w:r>
    </w:p>
    <w:p>
      <w:pPr>
        <w:adjustRightInd w:val="0"/>
        <w:snapToGrid w:val="0"/>
        <w:spacing w:line="440" w:lineRule="exact"/>
        <w:ind w:firstLine="420" w:firstLineChars="200"/>
        <w:rPr>
          <w:rFonts w:ascii="宋体" w:hAnsi="宋体"/>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outlineLvl w:val="1"/>
        <w:rPr>
          <w:rFonts w:eastAsia="黑体" w:cs="黑体"/>
          <w:szCs w:val="21"/>
        </w:rPr>
      </w:pPr>
      <w:r>
        <w:rPr>
          <w:rFonts w:hint="eastAsia" w:eastAsia="黑体" w:cs="黑体"/>
          <w:szCs w:val="21"/>
        </w:rPr>
        <w:t>3 判定规则</w:t>
      </w:r>
    </w:p>
    <w:p>
      <w:pPr>
        <w:adjustRightInd w:val="0"/>
        <w:snapToGrid w:val="0"/>
        <w:spacing w:line="440" w:lineRule="exact"/>
        <w:outlineLvl w:val="1"/>
        <w:rPr>
          <w:rFonts w:eastAsia="黑体" w:cs="黑体"/>
          <w:szCs w:val="21"/>
        </w:rPr>
      </w:pPr>
      <w:r>
        <w:rPr>
          <w:rFonts w:hint="eastAsia" w:eastAsia="黑体" w:cs="黑体"/>
          <w:szCs w:val="21"/>
        </w:rPr>
        <w:t>3.1依据标准</w:t>
      </w:r>
    </w:p>
    <w:p>
      <w:pPr>
        <w:adjustRightInd w:val="0"/>
        <w:snapToGrid w:val="0"/>
        <w:spacing w:line="440" w:lineRule="exact"/>
        <w:ind w:firstLine="420" w:firstLineChars="200"/>
        <w:rPr>
          <w:rFonts w:ascii="宋体" w:hAnsi="宋体"/>
          <w:szCs w:val="21"/>
        </w:rPr>
      </w:pPr>
      <w:r>
        <w:rPr>
          <w:rFonts w:hint="eastAsia" w:ascii="宋体" w:hAnsi="宋体"/>
          <w:szCs w:val="21"/>
        </w:rPr>
        <w:t>GB 6675.1-2014  玩具安全第1部分：基本规范</w:t>
      </w:r>
    </w:p>
    <w:p>
      <w:pPr>
        <w:adjustRightInd w:val="0"/>
        <w:snapToGrid w:val="0"/>
        <w:spacing w:line="440" w:lineRule="exact"/>
        <w:ind w:firstLine="420" w:firstLineChars="200"/>
        <w:rPr>
          <w:rFonts w:ascii="宋体" w:hAnsi="宋体"/>
          <w:szCs w:val="21"/>
        </w:rPr>
      </w:pPr>
      <w:r>
        <w:rPr>
          <w:rFonts w:hint="eastAsia" w:ascii="宋体" w:hAnsi="宋体"/>
          <w:szCs w:val="21"/>
        </w:rPr>
        <w:t>GB 6675.2-2014  玩具安全第2部分：机械与物理性能</w:t>
      </w:r>
    </w:p>
    <w:p>
      <w:pPr>
        <w:adjustRightInd w:val="0"/>
        <w:snapToGrid w:val="0"/>
        <w:spacing w:line="440" w:lineRule="exact"/>
        <w:ind w:firstLine="420" w:firstLineChars="200"/>
        <w:rPr>
          <w:rFonts w:ascii="宋体" w:hAnsi="宋体"/>
          <w:szCs w:val="21"/>
        </w:rPr>
      </w:pPr>
      <w:r>
        <w:rPr>
          <w:rFonts w:hint="eastAsia" w:ascii="宋体" w:hAnsi="宋体"/>
          <w:szCs w:val="21"/>
        </w:rPr>
        <w:t>GB 6675.3-2014  玩具安全第3部分：易燃性能</w:t>
      </w:r>
    </w:p>
    <w:p>
      <w:pPr>
        <w:adjustRightInd w:val="0"/>
        <w:snapToGrid w:val="0"/>
        <w:spacing w:line="440" w:lineRule="exact"/>
        <w:ind w:firstLine="420" w:firstLineChars="200"/>
        <w:rPr>
          <w:rFonts w:ascii="宋体" w:hAnsi="宋体"/>
          <w:szCs w:val="21"/>
        </w:rPr>
      </w:pPr>
      <w:r>
        <w:rPr>
          <w:rFonts w:hint="eastAsia" w:ascii="宋体" w:hAnsi="宋体"/>
          <w:szCs w:val="21"/>
        </w:rPr>
        <w:t>GB 6675.4-2014  玩具安全第4部分：特定元素的迁移</w:t>
      </w:r>
    </w:p>
    <w:p>
      <w:pPr>
        <w:adjustRightInd w:val="0"/>
        <w:snapToGrid w:val="0"/>
        <w:spacing w:line="440" w:lineRule="exact"/>
        <w:ind w:firstLine="420" w:firstLineChars="200"/>
        <w:rPr>
          <w:rFonts w:ascii="宋体" w:hAnsi="宋体"/>
          <w:szCs w:val="21"/>
        </w:rPr>
      </w:pPr>
      <w:r>
        <w:rPr>
          <w:rFonts w:hint="eastAsia" w:ascii="宋体" w:hAnsi="宋体"/>
          <w:szCs w:val="21"/>
        </w:rPr>
        <w:t>GB 6675.11-2014玩具安全第11部分：家用秋千、滑梯及类似用途室内、室外活动玩具</w:t>
      </w:r>
    </w:p>
    <w:p>
      <w:pPr>
        <w:adjustRightInd w:val="0"/>
        <w:snapToGrid w:val="0"/>
        <w:spacing w:line="440" w:lineRule="exact"/>
        <w:ind w:firstLine="420" w:firstLineChars="200"/>
        <w:jc w:val="left"/>
        <w:rPr>
          <w:rFonts w:ascii="宋体" w:hAnsi="宋体"/>
          <w:szCs w:val="21"/>
        </w:rPr>
      </w:pPr>
      <w:r>
        <w:rPr>
          <w:rFonts w:hint="eastAsia" w:ascii="宋体" w:hAnsi="宋体"/>
          <w:szCs w:val="21"/>
        </w:rPr>
        <w:t>GB 19865-2005电玩具的安全</w:t>
      </w:r>
    </w:p>
    <w:p>
      <w:pPr>
        <w:adjustRightInd w:val="0"/>
        <w:snapToGrid w:val="0"/>
        <w:spacing w:line="440" w:lineRule="exact"/>
        <w:ind w:firstLine="420" w:firstLineChars="200"/>
        <w:rPr>
          <w:rFonts w:ascii="宋体" w:hAnsi="宋体"/>
          <w:szCs w:val="21"/>
        </w:rPr>
      </w:pPr>
      <w:r>
        <w:rPr>
          <w:rFonts w:hint="eastAsia" w:ascii="宋体" w:hAnsi="宋体"/>
          <w:szCs w:val="21"/>
        </w:rPr>
        <w:t>现行有效的其他国家标准、行业标准、企业标准、团体标准、地方标准及产品明示质量要求。</w:t>
      </w:r>
    </w:p>
    <w:p>
      <w:pPr>
        <w:adjustRightInd w:val="0"/>
        <w:snapToGrid w:val="0"/>
        <w:spacing w:line="440" w:lineRule="exact"/>
        <w:outlineLvl w:val="1"/>
        <w:rPr>
          <w:rFonts w:eastAsia="黑体" w:cs="黑体"/>
          <w:szCs w:val="21"/>
        </w:rPr>
      </w:pPr>
      <w:r>
        <w:rPr>
          <w:rFonts w:hint="eastAsia" w:eastAsia="黑体" w:cs="黑体"/>
          <w:szCs w:val="21"/>
        </w:rPr>
        <w:t>3.2判定原则</w:t>
      </w:r>
    </w:p>
    <w:p>
      <w:pPr>
        <w:adjustRightInd w:val="0"/>
        <w:snapToGrid w:val="0"/>
        <w:spacing w:line="440" w:lineRule="exact"/>
        <w:ind w:firstLine="420" w:firstLineChars="200"/>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20" w:firstLineChars="200"/>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20" w:firstLineChars="200"/>
        <w:rPr>
          <w:color w:val="000000"/>
          <w:szCs w:val="21"/>
        </w:rPr>
      </w:pPr>
      <w:r>
        <w:rPr>
          <w:rFonts w:hint="eastAsia"/>
          <w:color w:val="000000"/>
          <w:szCs w:val="21"/>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20" w:firstLineChars="200"/>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20" w:firstLineChars="200"/>
        <w:rPr>
          <w:color w:val="000000"/>
          <w:szCs w:val="21"/>
        </w:rPr>
      </w:pPr>
      <w:r>
        <w:rPr>
          <w:rFonts w:hint="eastAsia"/>
          <w:color w:val="000000"/>
          <w:szCs w:val="21"/>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outlineLvl w:val="1"/>
        <w:rPr>
          <w:rFonts w:eastAsia="黑体" w:cs="黑体"/>
          <w:szCs w:val="21"/>
        </w:rPr>
      </w:pPr>
      <w:r>
        <w:rPr>
          <w:rFonts w:hint="eastAsia" w:eastAsia="黑体" w:cs="黑体"/>
          <w:szCs w:val="21"/>
        </w:rPr>
        <w:t>3.3单项质量判定</w:t>
      </w:r>
    </w:p>
    <w:p>
      <w:pPr>
        <w:adjustRightInd w:val="0"/>
        <w:snapToGrid w:val="0"/>
        <w:spacing w:line="440" w:lineRule="exact"/>
        <w:ind w:firstLine="420" w:firstLineChars="200"/>
        <w:rPr>
          <w:rFonts w:ascii="宋体" w:hAnsi="宋体"/>
          <w:szCs w:val="21"/>
        </w:rPr>
      </w:pPr>
      <w:r>
        <w:rPr>
          <w:rFonts w:hint="eastAsia" w:ascii="宋体" w:hAnsi="宋体"/>
          <w:szCs w:val="21"/>
        </w:rPr>
        <w:t>当所检项目的检验结果符合执行标准中该项目要求时，判该项目为符合执行标准要求，否则判该项目为不符合执行标准要求。</w:t>
      </w:r>
    </w:p>
    <w:p>
      <w:pPr>
        <w:adjustRightInd w:val="0"/>
        <w:snapToGrid w:val="0"/>
        <w:spacing w:line="440" w:lineRule="exact"/>
        <w:outlineLvl w:val="1"/>
        <w:rPr>
          <w:rFonts w:eastAsia="黑体" w:cs="黑体"/>
          <w:szCs w:val="21"/>
        </w:rPr>
      </w:pPr>
      <w:r>
        <w:rPr>
          <w:rFonts w:hint="eastAsia" w:eastAsia="黑体" w:cs="黑体"/>
          <w:szCs w:val="21"/>
        </w:rPr>
        <w:t>3.4综合质量判定</w:t>
      </w:r>
    </w:p>
    <w:p>
      <w:pPr>
        <w:snapToGrid w:val="0"/>
        <w:spacing w:line="440" w:lineRule="exact"/>
        <w:ind w:firstLine="420" w:firstLineChars="200"/>
        <w:rPr>
          <w:color w:val="000000"/>
          <w:szCs w:val="21"/>
        </w:rPr>
      </w:pPr>
      <w:r>
        <w:rPr>
          <w:color w:val="000000"/>
          <w:szCs w:val="21"/>
        </w:rPr>
        <w:t>经检验，检验项目中任一项或一项以上不合格，判定被抽查产品为</w:t>
      </w:r>
      <w:r>
        <w:rPr>
          <w:rFonts w:hint="eastAsia"/>
          <w:color w:val="000000"/>
          <w:szCs w:val="21"/>
        </w:rPr>
        <w:t>“</w:t>
      </w:r>
      <w:r>
        <w:rPr>
          <w:color w:val="000000"/>
          <w:szCs w:val="21"/>
        </w:rPr>
        <w:t>不合格</w:t>
      </w:r>
      <w:r>
        <w:rPr>
          <w:rFonts w:hint="eastAsia"/>
          <w:color w:val="000000"/>
          <w:szCs w:val="21"/>
        </w:rPr>
        <w:t>”；</w:t>
      </w:r>
    </w:p>
    <w:p>
      <w:pPr>
        <w:snapToGrid w:val="0"/>
        <w:spacing w:line="440" w:lineRule="exact"/>
        <w:ind w:firstLine="420" w:firstLineChars="200"/>
        <w:rPr>
          <w:rFonts w:hAnsi="宋体"/>
        </w:rPr>
      </w:pPr>
      <w:r>
        <w:rPr>
          <w:color w:val="000000"/>
          <w:szCs w:val="21"/>
        </w:rPr>
        <w:t>检验项目全部</w:t>
      </w:r>
      <w:r>
        <w:rPr>
          <w:rFonts w:hint="eastAsia"/>
          <w:color w:val="000000"/>
          <w:szCs w:val="21"/>
        </w:rPr>
        <w:t>符合明示质量要求</w:t>
      </w:r>
      <w:r>
        <w:rPr>
          <w:color w:val="000000"/>
          <w:szCs w:val="21"/>
        </w:rPr>
        <w:t>，</w:t>
      </w:r>
      <w:r>
        <w:rPr>
          <w:rFonts w:hint="eastAsia"/>
          <w:color w:val="000000"/>
          <w:szCs w:val="21"/>
        </w:rPr>
        <w:t>但不符合本细则检验项目依据的推荐性标准，</w:t>
      </w:r>
      <w:r>
        <w:rPr>
          <w:color w:val="000000"/>
          <w:szCs w:val="21"/>
        </w:rPr>
        <w:t>判定被抽查产品</w:t>
      </w:r>
      <w:r>
        <w:rPr>
          <w:rFonts w:hint="eastAsia"/>
          <w:color w:val="000000"/>
          <w:szCs w:val="21"/>
        </w:rPr>
        <w:t>“</w:t>
      </w:r>
      <w:r>
        <w:rPr>
          <w:rFonts w:hint="eastAsia" w:hAnsi="宋体"/>
        </w:rPr>
        <w:t>所检项目符合企业标准，未达到国家、行业、地方标准规定”；</w:t>
      </w:r>
    </w:p>
    <w:p>
      <w:pPr>
        <w:snapToGrid w:val="0"/>
        <w:spacing w:line="440" w:lineRule="exact"/>
        <w:ind w:firstLine="420" w:firstLineChars="200"/>
        <w:rPr>
          <w:rFonts w:hint="eastAsia"/>
          <w:color w:val="000000"/>
          <w:szCs w:val="21"/>
        </w:rPr>
      </w:pPr>
      <w:r>
        <w:rPr>
          <w:color w:val="000000"/>
          <w:szCs w:val="21"/>
        </w:rPr>
        <w:t>检验项目全部</w:t>
      </w:r>
      <w:r>
        <w:rPr>
          <w:rFonts w:hint="eastAsia"/>
          <w:color w:val="000000"/>
          <w:szCs w:val="21"/>
        </w:rPr>
        <w:t>符合明示质量要求</w:t>
      </w:r>
      <w:r>
        <w:rPr>
          <w:color w:val="000000"/>
          <w:szCs w:val="21"/>
        </w:rPr>
        <w:t>，</w:t>
      </w:r>
      <w:r>
        <w:rPr>
          <w:rFonts w:hint="eastAsia"/>
          <w:color w:val="000000"/>
          <w:szCs w:val="21"/>
        </w:rPr>
        <w:t>且符合本细则检验项目依据的推荐性标准，</w:t>
      </w:r>
      <w:r>
        <w:rPr>
          <w:rFonts w:hint="eastAsia" w:hAnsi="宋体"/>
        </w:rPr>
        <w:t>判定被抽查产品为</w:t>
      </w:r>
      <w:r>
        <w:rPr>
          <w:rFonts w:hint="eastAsia"/>
          <w:color w:val="000000"/>
          <w:szCs w:val="21"/>
        </w:rPr>
        <w:t>“所检项目符合本次监督抽查要求”。</w:t>
      </w: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r>
        <w:rPr>
          <w:rFonts w:hint="eastAsia" w:eastAsia="黑体"/>
          <w:color w:val="000000"/>
          <w:szCs w:val="21"/>
        </w:rPr>
        <w:t>4 附则</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color w:val="000000"/>
          <w:szCs w:val="21"/>
        </w:rPr>
      </w:pPr>
      <w:r>
        <w:rPr>
          <w:rFonts w:hint="eastAsia"/>
          <w:color w:val="000000"/>
          <w:szCs w:val="21"/>
        </w:rPr>
        <w:t>本细则首次发布。</w:t>
      </w:r>
    </w:p>
    <w:p>
      <w:pPr>
        <w:snapToGrid w:val="0"/>
        <w:spacing w:line="440" w:lineRule="exact"/>
        <w:ind w:firstLine="420" w:firstLineChars="200"/>
        <w:rPr>
          <w:rFonts w:hint="eastAsia"/>
          <w:color w:val="000000"/>
          <w:szCs w:val="21"/>
        </w:rPr>
      </w:pPr>
      <w:bookmarkStart w:id="9" w:name="_GoBack"/>
      <w:bookmarkEnd w:id="9"/>
    </w:p>
    <w:p>
      <w:pPr>
        <w:adjustRightInd w:val="0"/>
        <w:snapToGrid w:val="0"/>
        <w:spacing w:line="440" w:lineRule="exact"/>
        <w:ind w:firstLine="420" w:firstLineChars="200"/>
        <w:rPr>
          <w:rFonts w:ascii="宋体" w:hAnsi="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方正仿宋简体">
    <w:altName w:val="方正仿宋_GBK"/>
    <w:panose1 w:val="00000000000000000000"/>
    <w:charset w:val="00"/>
    <w:family w:val="script"/>
    <w:pitch w:val="default"/>
    <w:sig w:usb0="00000000" w:usb1="00000000" w:usb2="00000012" w:usb3="00000000" w:csb0="00040001" w:csb1="00000000"/>
  </w:font>
  <w:font w:name="仿宋_GB2312">
    <w:altName w:val="方正仿宋_GBK"/>
    <w:panose1 w:val="00000000000000000000"/>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2OGVkZjVlNzBkYjMyNzIyYzNhMGFkZmRkZGUzYjkifQ=="/>
  </w:docVars>
  <w:rsids>
    <w:rsidRoot w:val="00AE6FD4"/>
    <w:rsid w:val="00010747"/>
    <w:rsid w:val="00024C5B"/>
    <w:rsid w:val="000642F4"/>
    <w:rsid w:val="00085A8A"/>
    <w:rsid w:val="000C6E8F"/>
    <w:rsid w:val="00106CEE"/>
    <w:rsid w:val="00126844"/>
    <w:rsid w:val="00172B02"/>
    <w:rsid w:val="001E343D"/>
    <w:rsid w:val="00223D82"/>
    <w:rsid w:val="002370EC"/>
    <w:rsid w:val="00245865"/>
    <w:rsid w:val="00250BAF"/>
    <w:rsid w:val="002779E7"/>
    <w:rsid w:val="00285D13"/>
    <w:rsid w:val="002A019C"/>
    <w:rsid w:val="002A5361"/>
    <w:rsid w:val="002C2964"/>
    <w:rsid w:val="0030160D"/>
    <w:rsid w:val="0033701E"/>
    <w:rsid w:val="00364F8D"/>
    <w:rsid w:val="00371598"/>
    <w:rsid w:val="003723FA"/>
    <w:rsid w:val="003736E0"/>
    <w:rsid w:val="003A0939"/>
    <w:rsid w:val="003B700B"/>
    <w:rsid w:val="003E0BC5"/>
    <w:rsid w:val="00442DA7"/>
    <w:rsid w:val="004433FF"/>
    <w:rsid w:val="00463945"/>
    <w:rsid w:val="00473EB7"/>
    <w:rsid w:val="00485815"/>
    <w:rsid w:val="004F452F"/>
    <w:rsid w:val="004F6960"/>
    <w:rsid w:val="00536EAA"/>
    <w:rsid w:val="00553941"/>
    <w:rsid w:val="00557927"/>
    <w:rsid w:val="00570D8B"/>
    <w:rsid w:val="00584005"/>
    <w:rsid w:val="0058414B"/>
    <w:rsid w:val="005B1DC8"/>
    <w:rsid w:val="005E0AB2"/>
    <w:rsid w:val="005F40B8"/>
    <w:rsid w:val="0060462B"/>
    <w:rsid w:val="00606275"/>
    <w:rsid w:val="00652504"/>
    <w:rsid w:val="006858D4"/>
    <w:rsid w:val="006B3D76"/>
    <w:rsid w:val="006E6009"/>
    <w:rsid w:val="00705634"/>
    <w:rsid w:val="00720FF1"/>
    <w:rsid w:val="007E4EB7"/>
    <w:rsid w:val="00805D40"/>
    <w:rsid w:val="00831D62"/>
    <w:rsid w:val="00842A31"/>
    <w:rsid w:val="00861895"/>
    <w:rsid w:val="008726DE"/>
    <w:rsid w:val="008838F5"/>
    <w:rsid w:val="008C4ECE"/>
    <w:rsid w:val="008E3201"/>
    <w:rsid w:val="008E3B93"/>
    <w:rsid w:val="008F0CF7"/>
    <w:rsid w:val="008F18B8"/>
    <w:rsid w:val="009541C8"/>
    <w:rsid w:val="009772E3"/>
    <w:rsid w:val="009851A3"/>
    <w:rsid w:val="00997D27"/>
    <w:rsid w:val="009E5416"/>
    <w:rsid w:val="009F2DDD"/>
    <w:rsid w:val="00A0556B"/>
    <w:rsid w:val="00A22E20"/>
    <w:rsid w:val="00A2588D"/>
    <w:rsid w:val="00A515C8"/>
    <w:rsid w:val="00A66C79"/>
    <w:rsid w:val="00A66FCA"/>
    <w:rsid w:val="00A942C2"/>
    <w:rsid w:val="00AA286D"/>
    <w:rsid w:val="00AD6BF0"/>
    <w:rsid w:val="00AE3E8F"/>
    <w:rsid w:val="00AE6FD4"/>
    <w:rsid w:val="00AE71D4"/>
    <w:rsid w:val="00AF2ED3"/>
    <w:rsid w:val="00B1657B"/>
    <w:rsid w:val="00B57C6E"/>
    <w:rsid w:val="00BA264F"/>
    <w:rsid w:val="00BF6229"/>
    <w:rsid w:val="00C13CEF"/>
    <w:rsid w:val="00C21E69"/>
    <w:rsid w:val="00C36E40"/>
    <w:rsid w:val="00C87BC3"/>
    <w:rsid w:val="00CB0EF4"/>
    <w:rsid w:val="00D15C87"/>
    <w:rsid w:val="00D30ECB"/>
    <w:rsid w:val="00D36293"/>
    <w:rsid w:val="00D37DD3"/>
    <w:rsid w:val="00D54A74"/>
    <w:rsid w:val="00D969FC"/>
    <w:rsid w:val="00DD6F66"/>
    <w:rsid w:val="00E004B8"/>
    <w:rsid w:val="00E009A0"/>
    <w:rsid w:val="00E300DC"/>
    <w:rsid w:val="00E308B7"/>
    <w:rsid w:val="00E44666"/>
    <w:rsid w:val="00E45896"/>
    <w:rsid w:val="00E73622"/>
    <w:rsid w:val="00EA5A7F"/>
    <w:rsid w:val="00F05481"/>
    <w:rsid w:val="00F2097B"/>
    <w:rsid w:val="00F43EA2"/>
    <w:rsid w:val="00F503E9"/>
    <w:rsid w:val="00F6292B"/>
    <w:rsid w:val="00F64491"/>
    <w:rsid w:val="00F65D9E"/>
    <w:rsid w:val="00F8637C"/>
    <w:rsid w:val="01AE1224"/>
    <w:rsid w:val="04A8310F"/>
    <w:rsid w:val="07AF619E"/>
    <w:rsid w:val="090B2300"/>
    <w:rsid w:val="13766346"/>
    <w:rsid w:val="198C4D59"/>
    <w:rsid w:val="1B6F0C9B"/>
    <w:rsid w:val="1E306696"/>
    <w:rsid w:val="1ED53A57"/>
    <w:rsid w:val="26EB22CB"/>
    <w:rsid w:val="274661BD"/>
    <w:rsid w:val="29277112"/>
    <w:rsid w:val="2B81715E"/>
    <w:rsid w:val="2BA4453E"/>
    <w:rsid w:val="2E7D137F"/>
    <w:rsid w:val="30F86C51"/>
    <w:rsid w:val="32D01755"/>
    <w:rsid w:val="334D14FE"/>
    <w:rsid w:val="33775227"/>
    <w:rsid w:val="349249DB"/>
    <w:rsid w:val="35C33A9F"/>
    <w:rsid w:val="37CF130A"/>
    <w:rsid w:val="3ECB4124"/>
    <w:rsid w:val="3F065B5E"/>
    <w:rsid w:val="46364CA7"/>
    <w:rsid w:val="46AD761C"/>
    <w:rsid w:val="4C572D14"/>
    <w:rsid w:val="4CC947A7"/>
    <w:rsid w:val="4FA24F4A"/>
    <w:rsid w:val="50673854"/>
    <w:rsid w:val="52AC3C34"/>
    <w:rsid w:val="547B2D90"/>
    <w:rsid w:val="558B53AF"/>
    <w:rsid w:val="576606C4"/>
    <w:rsid w:val="5AF33995"/>
    <w:rsid w:val="5BB619CA"/>
    <w:rsid w:val="5D91082D"/>
    <w:rsid w:val="5EB075CD"/>
    <w:rsid w:val="5F204888"/>
    <w:rsid w:val="601F3C31"/>
    <w:rsid w:val="62D63CBF"/>
    <w:rsid w:val="63D4748F"/>
    <w:rsid w:val="664B3B04"/>
    <w:rsid w:val="66F913E6"/>
    <w:rsid w:val="68E72554"/>
    <w:rsid w:val="6B1B1DE3"/>
    <w:rsid w:val="6BED0DFC"/>
    <w:rsid w:val="71132EB0"/>
    <w:rsid w:val="7439758C"/>
    <w:rsid w:val="75AD10AB"/>
    <w:rsid w:val="7D0143CA"/>
    <w:rsid w:val="7E451EB5"/>
    <w:rsid w:val="DDE2C6C9"/>
    <w:rsid w:val="DFDDC857"/>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rPr>
      <w:rFonts w:ascii="宋体" w:hAnsi="Courier New"/>
      <w:szCs w:val="22"/>
    </w:rPr>
  </w:style>
  <w:style w:type="paragraph" w:styleId="3">
    <w:name w:val="footer"/>
    <w:basedOn w:val="1"/>
    <w:link w:val="10"/>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7">
    <w:name w:val="Strong"/>
    <w:basedOn w:val="6"/>
    <w:qFormat/>
    <w:uiPriority w:val="99"/>
    <w:rPr>
      <w:rFonts w:cs="Times New Roman"/>
      <w:b/>
    </w:rPr>
  </w:style>
  <w:style w:type="character" w:styleId="8">
    <w:name w:val="page number"/>
    <w:basedOn w:val="6"/>
    <w:qFormat/>
    <w:uiPriority w:val="99"/>
    <w:rPr>
      <w:rFonts w:cs="Times New Roman"/>
    </w:rPr>
  </w:style>
  <w:style w:type="character" w:customStyle="1" w:styleId="9">
    <w:name w:val="纯文本 Char"/>
    <w:basedOn w:val="6"/>
    <w:link w:val="2"/>
    <w:qFormat/>
    <w:locked/>
    <w:uiPriority w:val="0"/>
    <w:rPr>
      <w:rFonts w:ascii="宋体" w:hAnsi="Courier New" w:eastAsia="宋体" w:cs="Courier New"/>
      <w:sz w:val="21"/>
      <w:szCs w:val="21"/>
    </w:rPr>
  </w:style>
  <w:style w:type="character" w:customStyle="1" w:styleId="10">
    <w:name w:val="页脚 Char"/>
    <w:basedOn w:val="6"/>
    <w:link w:val="3"/>
    <w:semiHidden/>
    <w:qFormat/>
    <w:locked/>
    <w:uiPriority w:val="99"/>
    <w:rPr>
      <w:rFonts w:cs="Times New Roman"/>
      <w:sz w:val="18"/>
      <w:szCs w:val="18"/>
    </w:rPr>
  </w:style>
  <w:style w:type="character" w:customStyle="1" w:styleId="11">
    <w:name w:val="页眉 Char"/>
    <w:basedOn w:val="6"/>
    <w:link w:val="4"/>
    <w:semiHidden/>
    <w:qFormat/>
    <w:locked/>
    <w:uiPriority w:val="99"/>
    <w:rPr>
      <w:rFonts w:cs="Times New Roman"/>
      <w:sz w:val="18"/>
      <w:szCs w:val="18"/>
    </w:rPr>
  </w:style>
  <w:style w:type="character" w:customStyle="1" w:styleId="12">
    <w:name w:val="纯文本 Char1"/>
    <w:basedOn w:val="6"/>
    <w:qFormat/>
    <w:uiPriority w:val="99"/>
    <w:rPr>
      <w:rFonts w:ascii="宋体" w:hAnsi="Courier New" w:eastAsia="宋体" w:cs="Times New Roman"/>
    </w:rPr>
  </w:style>
  <w:style w:type="character" w:customStyle="1" w:styleId="13">
    <w:name w:val="个人撰写风格"/>
    <w:qFormat/>
    <w:uiPriority w:val="99"/>
    <w:rPr>
      <w:rFonts w:ascii="Arial" w:hAnsi="Arial" w:eastAsia="宋体"/>
      <w:color w:val="auto"/>
      <w:sz w:val="20"/>
    </w:rPr>
  </w:style>
  <w:style w:type="character" w:customStyle="1" w:styleId="14">
    <w:name w:val="Char Char"/>
    <w:qFormat/>
    <w:uiPriority w:val="99"/>
    <w:rPr>
      <w:rFonts w:ascii="宋体" w:hAnsi="Courier New" w:eastAsia="宋体"/>
      <w:kern w:val="2"/>
      <w:sz w:val="21"/>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SkyUN.Org</Company>
  <Pages>6</Pages>
  <Words>2294</Words>
  <Characters>3665</Characters>
  <Lines>32</Lines>
  <Paragraphs>9</Paragraphs>
  <TotalTime>0</TotalTime>
  <ScaleCrop>false</ScaleCrop>
  <LinksUpToDate>false</LinksUpToDate>
  <CharactersWithSpaces>3856</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2023-02-10T14:43:00Z</dcterms:created>
  <dc:creator>ASUS</dc:creator>
  <cp:lastModifiedBy>user</cp:lastModifiedBy>
  <dcterms:modified xsi:type="dcterms:W3CDTF">2023-06-21T16:15:12Z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0035F5DFA68D4C408B8BF2740CAFF0C8_13</vt:lpwstr>
  </property>
</Properties>
</file>