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方正小标宋_GBK" w:hAnsi="方正小标宋_GBK" w:eastAsia="方正小标宋_GBK" w:cs="方正小标宋_GBK"/>
          <w:b w:val="0"/>
          <w:bCs/>
        </w:rPr>
      </w:pPr>
      <w:r>
        <w:rPr>
          <w:rFonts w:hint="eastAsia" w:ascii="方正小标宋_GBK" w:hAnsi="方正小标宋_GBK" w:eastAsia="方正小标宋_GBK" w:cs="方正小标宋_GBK"/>
          <w:b w:val="0"/>
          <w:bCs/>
        </w:rPr>
        <w:t>2023年台州市</w:t>
      </w:r>
      <w:r>
        <w:rPr>
          <w:rFonts w:hint="eastAsia" w:ascii="方正小标宋_GBK" w:hAnsi="方正小标宋_GBK" w:eastAsia="方正小标宋_GBK" w:cs="方正小标宋_GBK"/>
          <w:b w:val="0"/>
          <w:bCs/>
          <w:lang w:val="en-US" w:eastAsia="zh-CN"/>
        </w:rPr>
        <w:t>生产</w:t>
      </w:r>
      <w:r>
        <w:rPr>
          <w:rFonts w:hint="eastAsia" w:ascii="方正小标宋_GBK" w:hAnsi="方正小标宋_GBK" w:eastAsia="方正小标宋_GBK" w:cs="方正小标宋_GBK"/>
          <w:b w:val="0"/>
          <w:bCs/>
        </w:rPr>
        <w:t>领域</w:t>
      </w:r>
      <w:r>
        <w:rPr>
          <w:rFonts w:hint="eastAsia" w:ascii="方正小标宋_GBK" w:hAnsi="方正小标宋_GBK" w:eastAsia="方正小标宋_GBK" w:cs="方正小标宋_GBK"/>
          <w:b w:val="0"/>
          <w:bCs/>
          <w:lang w:val="en-US" w:eastAsia="zh-CN"/>
        </w:rPr>
        <w:t>书包类</w:t>
      </w:r>
      <w:r>
        <w:rPr>
          <w:rFonts w:hint="eastAsia" w:ascii="方正小标宋_GBK" w:hAnsi="方正小标宋_GBK" w:eastAsia="方正小标宋_GBK" w:cs="方正小标宋_GBK"/>
          <w:b w:val="0"/>
          <w:bCs/>
        </w:rPr>
        <w:t>产品质量</w:t>
      </w:r>
      <w:r>
        <w:rPr>
          <w:rFonts w:hint="eastAsia" w:ascii="方正小标宋_GBK" w:hAnsi="方正小标宋_GBK" w:eastAsia="方正小标宋_GBK" w:cs="方正小标宋_GBK"/>
          <w:b w:val="0"/>
          <w:bCs/>
          <w:lang w:val="en-US" w:eastAsia="zh-CN"/>
        </w:rPr>
        <w:t xml:space="preserve"> </w:t>
      </w:r>
      <w:r>
        <w:rPr>
          <w:rFonts w:hint="eastAsia" w:ascii="方正小标宋_GBK" w:hAnsi="方正小标宋_GBK" w:eastAsia="方正小标宋_GBK" w:cs="方正小标宋_GBK"/>
          <w:b w:val="0"/>
          <w:bCs/>
        </w:rPr>
        <w:t>监督抽查实施细则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43"/>
        <w:textAlignment w:val="baseline"/>
        <w:outlineLvl w:val="0"/>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一、概述</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240" w:lineRule="auto"/>
        <w:ind w:right="279" w:firstLine="592"/>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本细则适用于</w:t>
      </w:r>
      <w:r>
        <w:rPr>
          <w:rFonts w:hint="eastAsia" w:ascii="仿宋" w:hAnsi="仿宋" w:eastAsia="仿宋" w:cs="仿宋"/>
          <w:spacing w:val="0"/>
          <w:position w:val="0"/>
          <w:sz w:val="28"/>
          <w:szCs w:val="28"/>
          <w:lang w:val="en-US" w:eastAsia="zh-CN"/>
        </w:rPr>
        <w:t>台州市生产</w:t>
      </w:r>
      <w:r>
        <w:rPr>
          <w:rFonts w:hint="eastAsia" w:ascii="仿宋" w:hAnsi="仿宋" w:eastAsia="仿宋" w:cs="仿宋"/>
          <w:spacing w:val="0"/>
          <w:position w:val="0"/>
          <w:sz w:val="28"/>
          <w:szCs w:val="28"/>
        </w:rPr>
        <w:t>领域</w:t>
      </w:r>
      <w:r>
        <w:rPr>
          <w:rFonts w:hint="eastAsia" w:ascii="仿宋" w:hAnsi="仿宋" w:eastAsia="仿宋" w:cs="仿宋"/>
          <w:spacing w:val="0"/>
          <w:position w:val="0"/>
          <w:sz w:val="28"/>
          <w:szCs w:val="28"/>
          <w:lang w:val="en-US" w:eastAsia="zh-CN"/>
        </w:rPr>
        <w:t>产品的抽样检验。</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9"/>
        <w:textAlignment w:val="baseline"/>
        <w:outlineLvl w:val="0"/>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二、抽样方法及注意事项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24"/>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1、抽样方法及地点</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240" w:lineRule="auto"/>
        <w:ind w:right="279" w:firstLine="59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样品应当由抽样人员在受检单位的工厂等合格待销产品中随机抽样生产领域商品类产品，抽样基数满足抽样数量即可。备用样品由受检单位先行无偿提供，封存于受检单位处，</w:t>
      </w:r>
      <w:r>
        <w:rPr>
          <w:rFonts w:hint="eastAsia" w:ascii="仿宋" w:hAnsi="仿宋" w:eastAsia="仿宋" w:cs="仿宋"/>
          <w:spacing w:val="0"/>
          <w:position w:val="0"/>
          <w:sz w:val="28"/>
          <w:szCs w:val="28"/>
        </w:rPr>
        <w:t>抽样数量见 表 1。</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7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表 1 抽取样品数量</w:t>
      </w:r>
    </w:p>
    <w:tbl>
      <w:tblPr>
        <w:tblStyle w:val="15"/>
        <w:tblW w:w="90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1"/>
        <w:gridCol w:w="2042"/>
        <w:gridCol w:w="2067"/>
        <w:gridCol w:w="2165"/>
        <w:gridCol w:w="19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jc w:val="center"/>
        </w:trPr>
        <w:tc>
          <w:tcPr>
            <w:tcW w:w="79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序号</w:t>
            </w:r>
          </w:p>
        </w:tc>
        <w:tc>
          <w:tcPr>
            <w:tcW w:w="2042"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产品品种</w:t>
            </w:r>
          </w:p>
        </w:tc>
        <w:tc>
          <w:tcPr>
            <w:tcW w:w="2067"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抽样数量</w:t>
            </w:r>
          </w:p>
        </w:tc>
        <w:tc>
          <w:tcPr>
            <w:tcW w:w="216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检验样品数量</w:t>
            </w:r>
          </w:p>
        </w:tc>
        <w:tc>
          <w:tcPr>
            <w:tcW w:w="196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4"/>
                <w:szCs w:val="24"/>
              </w:rPr>
            </w:pPr>
            <w:r>
              <w:rPr>
                <w:rFonts w:hint="eastAsia" w:ascii="仿宋" w:hAnsi="仿宋" w:eastAsia="仿宋" w:cs="仿宋"/>
                <w:spacing w:val="0"/>
                <w:position w:val="0"/>
                <w:sz w:val="24"/>
                <w:szCs w:val="24"/>
              </w:rPr>
              <w:t>备用样品数量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79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4"/>
                <w:szCs w:val="24"/>
                <w:lang w:val="en-US" w:eastAsia="zh-CN"/>
              </w:rPr>
            </w:pPr>
            <w:r>
              <w:rPr>
                <w:rFonts w:hint="eastAsia" w:ascii="仿宋" w:hAnsi="仿宋" w:eastAsia="仿宋" w:cs="仿宋"/>
                <w:spacing w:val="0"/>
                <w:position w:val="0"/>
                <w:sz w:val="24"/>
                <w:szCs w:val="24"/>
                <w:lang w:val="en-US" w:eastAsia="zh-CN"/>
              </w:rPr>
              <w:t>1</w:t>
            </w:r>
          </w:p>
        </w:tc>
        <w:tc>
          <w:tcPr>
            <w:tcW w:w="2042" w:type="dxa"/>
            <w:vAlign w:val="center"/>
          </w:tcPr>
          <w:p>
            <w:pPr>
              <w:jc w:val="center"/>
              <w:rPr>
                <w:rFonts w:hint="eastAsia" w:ascii="仿宋" w:hAnsi="仿宋" w:eastAsia="仿宋" w:cs="仿宋"/>
                <w:spacing w:val="0"/>
                <w:position w:val="0"/>
                <w:sz w:val="24"/>
                <w:szCs w:val="24"/>
              </w:rPr>
            </w:pPr>
            <w:r>
              <w:rPr>
                <w:rFonts w:hint="eastAsia" w:ascii="仿宋" w:hAnsi="仿宋" w:eastAsia="仿宋"/>
                <w:sz w:val="24"/>
                <w:lang w:val="en-US" w:eastAsia="zh-CN"/>
              </w:rPr>
              <w:t>书包（学生书袋、背提包）</w:t>
            </w:r>
          </w:p>
        </w:tc>
        <w:tc>
          <w:tcPr>
            <w:tcW w:w="2067" w:type="dxa"/>
            <w:vAlign w:val="center"/>
          </w:tcPr>
          <w:p>
            <w:pPr>
              <w:pStyle w:val="9"/>
              <w:ind w:left="0" w:leftChars="0" w:firstLine="0" w:firstLineChars="0"/>
              <w:jc w:val="center"/>
              <w:rPr>
                <w:rFonts w:hint="eastAsia" w:ascii="仿宋" w:hAnsi="仿宋" w:eastAsia="仿宋" w:cs="仿宋"/>
                <w:b w:val="0"/>
                <w:bCs w:val="0"/>
                <w:sz w:val="24"/>
                <w:szCs w:val="24"/>
                <w:lang w:val="en-US" w:eastAsia="zh-CN"/>
              </w:rPr>
            </w:pPr>
            <w:r>
              <w:rPr>
                <w:rFonts w:hint="eastAsia" w:ascii="仿宋" w:hAnsi="仿宋" w:eastAsia="仿宋" w:cs="仿宋"/>
                <w:spacing w:val="0"/>
                <w:position w:val="0"/>
                <w:sz w:val="24"/>
                <w:szCs w:val="24"/>
                <w:lang w:val="en-US" w:eastAsia="zh-CN"/>
              </w:rPr>
              <w:t>3只</w:t>
            </w:r>
          </w:p>
        </w:tc>
        <w:tc>
          <w:tcPr>
            <w:tcW w:w="2165" w:type="dxa"/>
            <w:vAlign w:val="center"/>
          </w:tcPr>
          <w:p>
            <w:pPr>
              <w:pStyle w:val="9"/>
              <w:ind w:left="0" w:leftChars="0" w:firstLine="0" w:firstLineChars="0"/>
              <w:jc w:val="center"/>
              <w:rPr>
                <w:rFonts w:hint="eastAsia" w:ascii="仿宋" w:hAnsi="仿宋" w:eastAsia="仿宋" w:cs="仿宋"/>
                <w:b w:val="0"/>
                <w:bCs w:val="0"/>
                <w:sz w:val="24"/>
                <w:szCs w:val="24"/>
                <w:lang w:val="en-US" w:eastAsia="zh-CN"/>
              </w:rPr>
            </w:pPr>
            <w:r>
              <w:rPr>
                <w:rFonts w:hint="eastAsia" w:ascii="仿宋" w:hAnsi="仿宋" w:eastAsia="仿宋" w:cs="仿宋"/>
                <w:spacing w:val="0"/>
                <w:position w:val="0"/>
                <w:sz w:val="24"/>
                <w:szCs w:val="24"/>
                <w:lang w:val="en-US" w:eastAsia="zh-CN"/>
              </w:rPr>
              <w:t>2只</w:t>
            </w:r>
          </w:p>
        </w:tc>
        <w:tc>
          <w:tcPr>
            <w:tcW w:w="1965" w:type="dxa"/>
            <w:vAlign w:val="center"/>
          </w:tcPr>
          <w:p>
            <w:pPr>
              <w:pStyle w:val="9"/>
              <w:ind w:left="0" w:leftChars="0" w:firstLine="0" w:firstLineChars="0"/>
              <w:jc w:val="center"/>
              <w:rPr>
                <w:rFonts w:hint="default"/>
                <w:lang w:val="en-US" w:eastAsia="zh-CN"/>
              </w:rPr>
            </w:pPr>
            <w:r>
              <w:rPr>
                <w:rFonts w:hint="eastAsia" w:ascii="仿宋" w:hAnsi="仿宋" w:eastAsia="仿宋" w:cs="仿宋"/>
                <w:spacing w:val="0"/>
                <w:position w:val="0"/>
                <w:sz w:val="24"/>
                <w:szCs w:val="24"/>
                <w:lang w:val="en-US" w:eastAsia="zh-CN"/>
              </w:rPr>
              <w:t>1只</w:t>
            </w:r>
          </w:p>
        </w:tc>
      </w:tr>
    </w:tbl>
    <w:p>
      <w:pPr>
        <w:keepNext w:val="0"/>
        <w:keepLines w:val="0"/>
        <w:pageBreakBefore w:val="0"/>
        <w:widowControl/>
        <w:tabs>
          <w:tab w:val="left" w:pos="140"/>
        </w:tabs>
        <w:kinsoku w:val="0"/>
        <w:wordWrap/>
        <w:overflowPunct/>
        <w:topLinePunct w:val="0"/>
        <w:autoSpaceDE w:val="0"/>
        <w:autoSpaceDN w:val="0"/>
        <w:bidi w:val="0"/>
        <w:adjustRightInd w:val="0"/>
        <w:snapToGrid w:val="0"/>
        <w:spacing w:line="240" w:lineRule="auto"/>
        <w:ind w:right="279" w:firstLine="592"/>
        <w:textAlignment w:val="baseline"/>
        <w:rPr>
          <w:rFonts w:hint="eastAsia" w:ascii="仿宋" w:hAnsi="仿宋" w:eastAsia="仿宋" w:cs="仿宋"/>
          <w:spacing w:val="0"/>
          <w:position w:val="0"/>
          <w:sz w:val="28"/>
          <w:szCs w:val="28"/>
          <w:lang w:val="en-US" w:eastAsia="zh-CN"/>
        </w:rPr>
      </w:pP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240" w:lineRule="auto"/>
        <w:ind w:right="279" w:firstLine="592"/>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具体抽样数量以满足实验情况可适当增减。</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2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2、注意事项：</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240" w:lineRule="auto"/>
        <w:ind w:left="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样品应经被抽样销售者对其有效性进行确认。</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240" w:lineRule="auto"/>
        <w:ind w:left="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2</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检样</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备样应分别封样</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并加以标注。</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240" w:lineRule="auto"/>
        <w:ind w:left="123" w:hanging="2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现场抽样时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产品规定有明示质量指标时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应在抽样单上注明。若产品明示的执行标准为经备案的现行有效的企业标准</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则视其企业标准为明示质量指标</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并要求企业提供其现行有效的标准文本。</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240" w:lineRule="auto"/>
        <w:ind w:left="145" w:hanging="45"/>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4</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样品抽取</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运输和贮存时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避免受到撞击</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曝晒</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雨淋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抛摔和重压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远离热源</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臭氧环境和化学腐蚀环境。</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240" w:lineRule="auto"/>
        <w:ind w:left="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5</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本次监督抽查</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检验样品以购买方式抽取。</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43"/>
        <w:textAlignment w:val="baseline"/>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三、检验依据及判定依据、检验项目</w:t>
      </w:r>
      <w:r>
        <w:rPr>
          <w:rFonts w:hint="eastAsia" w:ascii="仿宋" w:hAnsi="仿宋" w:eastAsia="仿宋" w:cs="仿宋"/>
          <w:spacing w:val="0"/>
          <w:position w:val="0"/>
          <w:sz w:val="28"/>
          <w:szCs w:val="28"/>
          <w:lang w:val="en-US" w:eastAsia="zh-CN"/>
          <w14:textOutline w14:w="5103" w14:cap="sq" w14:cmpd="sng">
            <w14:solidFill>
              <w14:srgbClr w14:val="000000"/>
            </w14:solidFill>
            <w14:prstDash w14:val="solid"/>
            <w14:bevel/>
          </w14:textOutline>
        </w:rPr>
        <w:t>及</w:t>
      </w: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判定准则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24" w:firstLine="280" w:firstLineChars="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检验依据及判定依据</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60" w:firstLineChars="2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检验依据：</w:t>
      </w:r>
    </w:p>
    <w:p>
      <w:pPr>
        <w:pStyle w:val="9"/>
        <w:jc w:val="left"/>
        <w:rPr>
          <w:rFonts w:hint="eastAsia" w:ascii="仿宋" w:hAnsi="仿宋" w:eastAsia="仿宋" w:cs="仿宋"/>
          <w:sz w:val="28"/>
          <w:szCs w:val="28"/>
        </w:rPr>
      </w:pPr>
      <w:r>
        <w:rPr>
          <w:rFonts w:hint="eastAsia" w:ascii="仿宋" w:hAnsi="仿宋" w:eastAsia="仿宋" w:cs="仿宋"/>
          <w:sz w:val="28"/>
          <w:szCs w:val="28"/>
        </w:rPr>
        <w:t xml:space="preserve">GB </w:t>
      </w:r>
      <w:r>
        <w:rPr>
          <w:rFonts w:hint="eastAsia" w:ascii="仿宋" w:hAnsi="仿宋" w:eastAsia="仿宋" w:cs="仿宋"/>
          <w:sz w:val="28"/>
          <w:szCs w:val="28"/>
          <w:lang w:val="en-US" w:eastAsia="zh-CN"/>
        </w:rPr>
        <w:t>18401-2010</w:t>
      </w:r>
      <w:r>
        <w:rPr>
          <w:rFonts w:hint="eastAsia" w:ascii="仿宋" w:hAnsi="仿宋" w:eastAsia="仿宋" w:cs="仿宋"/>
          <w:sz w:val="28"/>
          <w:szCs w:val="28"/>
        </w:rPr>
        <w:t xml:space="preserve">   </w:t>
      </w:r>
    </w:p>
    <w:p>
      <w:pPr>
        <w:pStyle w:val="9"/>
        <w:jc w:val="left"/>
        <w:rPr>
          <w:rFonts w:hint="eastAsia" w:ascii="仿宋" w:hAnsi="仿宋" w:eastAsia="仿宋" w:cs="仿宋"/>
          <w:sz w:val="28"/>
          <w:szCs w:val="28"/>
        </w:rPr>
      </w:pPr>
      <w:r>
        <w:rPr>
          <w:rFonts w:hint="eastAsia" w:ascii="仿宋" w:hAnsi="仿宋" w:eastAsia="仿宋" w:cs="仿宋"/>
          <w:sz w:val="28"/>
          <w:szCs w:val="28"/>
        </w:rPr>
        <w:t xml:space="preserve">GB 31701-2015  </w:t>
      </w:r>
    </w:p>
    <w:p>
      <w:pPr>
        <w:pStyle w:val="9"/>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QB/T2858-2007  </w:t>
      </w:r>
    </w:p>
    <w:p>
      <w:pPr>
        <w:pStyle w:val="9"/>
        <w:jc w:val="left"/>
        <w:rPr>
          <w:rFonts w:hint="eastAsia"/>
        </w:rPr>
      </w:pPr>
      <w:r>
        <w:rPr>
          <w:rFonts w:hint="eastAsia" w:ascii="仿宋" w:hAnsi="仿宋" w:eastAsia="仿宋" w:cs="仿宋"/>
          <w:sz w:val="28"/>
          <w:szCs w:val="28"/>
          <w:lang w:val="en-US" w:eastAsia="zh-CN"/>
        </w:rPr>
        <w:t>QB/T1333-2018</w:t>
      </w:r>
      <w:r>
        <w:rPr>
          <w:rFonts w:hint="eastAsia" w:ascii="仿宋" w:hAnsi="仿宋" w:eastAsia="仿宋" w:cs="仿宋"/>
          <w:sz w:val="28"/>
          <w:szCs w:val="28"/>
        </w:rPr>
        <w:t xml:space="preserve">  </w:t>
      </w:r>
      <w:r>
        <w:rPr>
          <w:rFonts w:hint="eastAsia"/>
        </w:rPr>
        <w:t xml:space="preserve">    </w:t>
      </w:r>
    </w:p>
    <w:p>
      <w:pPr>
        <w:pStyle w:val="9"/>
        <w:jc w:val="left"/>
        <w:rPr>
          <w:rFonts w:hint="eastAsia"/>
        </w:rPr>
      </w:pPr>
      <w:r>
        <w:rPr>
          <w:rFonts w:hint="eastAsia" w:ascii="仿宋" w:hAnsi="仿宋" w:eastAsia="仿宋" w:cs="仿宋"/>
          <w:sz w:val="28"/>
          <w:szCs w:val="28"/>
          <w:lang w:val="en-US" w:eastAsia="zh-CN"/>
        </w:rPr>
        <w:t>GB 21027-2020</w:t>
      </w:r>
      <w:r>
        <w:rPr>
          <w:rFonts w:hint="eastAsia" w:ascii="仿宋" w:hAnsi="仿宋" w:eastAsia="仿宋" w:cs="仿宋"/>
          <w:sz w:val="28"/>
          <w:szCs w:val="28"/>
        </w:rPr>
        <w:t xml:space="preserve"> </w:t>
      </w:r>
      <w:r>
        <w:rPr>
          <w:rFonts w:hint="eastAsia"/>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840" w:firstLineChars="300"/>
        <w:jc w:val="both"/>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产品明示企业标准</w:t>
      </w:r>
    </w:p>
    <w:p>
      <w:pPr>
        <w:pStyle w:val="9"/>
        <w:ind w:left="0" w:leftChars="0" w:firstLine="840" w:firstLineChars="300"/>
        <w:jc w:val="both"/>
        <w:rPr>
          <w:rFonts w:hint="eastAsia" w:ascii="仿宋" w:hAnsi="仿宋" w:eastAsia="仿宋" w:cs="仿宋"/>
          <w:sz w:val="28"/>
          <w:szCs w:val="28"/>
        </w:rPr>
      </w:pPr>
      <w:r>
        <w:rPr>
          <w:rFonts w:hint="eastAsia" w:ascii="仿宋" w:hAnsi="仿宋" w:eastAsia="仿宋" w:cs="仿宋"/>
          <w:sz w:val="28"/>
          <w:szCs w:val="28"/>
        </w:rPr>
        <w:t>产品明示质量指标及国家法律、法规、规章的有关规定</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60" w:firstLineChars="2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判定依据：</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840" w:firstLineChars="300"/>
        <w:textAlignment w:val="baseline"/>
        <w:rPr>
          <w:rFonts w:hint="eastAsia" w:ascii="方正仿宋_GBK" w:hAnsi="方正仿宋_GBK" w:eastAsia="方正仿宋_GBK" w:cs="方正仿宋_GBK"/>
          <w:b w:val="0"/>
          <w:bCs w:val="0"/>
          <w:sz w:val="28"/>
          <w:szCs w:val="28"/>
          <w:highlight w:val="none"/>
          <w:lang w:val="en-US" w:eastAsia="zh-CN"/>
        </w:rPr>
      </w:pPr>
      <w:r>
        <w:rPr>
          <w:rFonts w:hint="eastAsia" w:ascii="方正仿宋_GBK" w:hAnsi="方正仿宋_GBK" w:eastAsia="方正仿宋_GBK" w:cs="方正仿宋_GBK"/>
          <w:b w:val="0"/>
          <w:bCs w:val="0"/>
          <w:sz w:val="28"/>
          <w:szCs w:val="28"/>
          <w:highlight w:val="none"/>
        </w:rPr>
        <w:t>《2023年</w:t>
      </w:r>
      <w:r>
        <w:rPr>
          <w:rFonts w:hint="eastAsia" w:ascii="方正仿宋_GBK" w:hAnsi="方正仿宋_GBK" w:eastAsia="方正仿宋_GBK" w:cs="方正仿宋_GBK"/>
          <w:b w:val="0"/>
          <w:bCs w:val="0"/>
          <w:sz w:val="28"/>
          <w:szCs w:val="28"/>
          <w:highlight w:val="none"/>
          <w:lang w:val="en-US" w:eastAsia="zh-CN"/>
        </w:rPr>
        <w:t>台州</w:t>
      </w:r>
      <w:r>
        <w:rPr>
          <w:rFonts w:hint="eastAsia" w:ascii="方正仿宋_GBK" w:hAnsi="方正仿宋_GBK" w:eastAsia="方正仿宋_GBK" w:cs="方正仿宋_GBK"/>
          <w:b w:val="0"/>
          <w:bCs w:val="0"/>
          <w:sz w:val="28"/>
          <w:szCs w:val="28"/>
          <w:highlight w:val="none"/>
        </w:rPr>
        <w:t>市</w:t>
      </w:r>
      <w:r>
        <w:rPr>
          <w:rFonts w:hint="eastAsia" w:ascii="方正仿宋_GBK" w:hAnsi="方正仿宋_GBK" w:eastAsia="方正仿宋_GBK" w:cs="方正仿宋_GBK"/>
          <w:b w:val="0"/>
          <w:bCs w:val="0"/>
          <w:sz w:val="28"/>
          <w:szCs w:val="28"/>
          <w:highlight w:val="none"/>
          <w:lang w:val="en-US" w:eastAsia="zh-CN"/>
        </w:rPr>
        <w:t>生产领域书包类</w:t>
      </w:r>
      <w:r>
        <w:rPr>
          <w:rFonts w:hint="eastAsia" w:ascii="方正仿宋_GBK" w:hAnsi="方正仿宋_GBK" w:eastAsia="方正仿宋_GBK" w:cs="方正仿宋_GBK"/>
          <w:b w:val="0"/>
          <w:bCs w:val="0"/>
          <w:sz w:val="28"/>
          <w:szCs w:val="28"/>
          <w:highlight w:val="none"/>
        </w:rPr>
        <w:t>产品质量监督抽查实施细则</w:t>
      </w:r>
      <w:r>
        <w:rPr>
          <w:rFonts w:hint="eastAsia" w:ascii="方正仿宋_GBK" w:hAnsi="方正仿宋_GBK" w:eastAsia="方正仿宋_GBK" w:cs="方正仿宋_GBK"/>
          <w:b w:val="0"/>
          <w:bCs w:val="0"/>
          <w:sz w:val="28"/>
          <w:szCs w:val="28"/>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560" w:firstLineChars="200"/>
        <w:textAlignment w:val="baseline"/>
        <w:rPr>
          <w:rFonts w:hint="eastAsia" w:ascii="仿宋" w:hAnsi="仿宋" w:eastAsia="仿宋" w:cs="仿宋"/>
          <w:spacing w:val="0"/>
          <w:position w:val="0"/>
          <w:sz w:val="28"/>
          <w:szCs w:val="28"/>
        </w:rPr>
      </w:pP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240" w:lineRule="auto"/>
        <w:ind w:firstLine="560" w:firstLineChars="2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检验项目</w:t>
      </w:r>
    </w:p>
    <w:tbl>
      <w:tblPr>
        <w:tblStyle w:val="12"/>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
        <w:gridCol w:w="861"/>
        <w:gridCol w:w="2922"/>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blHeader/>
          <w:jc w:val="center"/>
        </w:trPr>
        <w:tc>
          <w:tcPr>
            <w:tcW w:w="493" w:type="dxa"/>
            <w:vAlign w:val="center"/>
          </w:tcPr>
          <w:p>
            <w:pPr>
              <w:widowControl w:val="0"/>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861" w:type="dxa"/>
            <w:vAlign w:val="center"/>
          </w:tcPr>
          <w:p>
            <w:pPr>
              <w:widowControl w:val="0"/>
              <w:jc w:val="center"/>
              <w:rPr>
                <w:rFonts w:hint="eastAsia" w:ascii="仿宋" w:hAnsi="仿宋" w:eastAsia="仿宋" w:cs="仿宋"/>
                <w:b/>
                <w:sz w:val="24"/>
                <w:szCs w:val="24"/>
              </w:rPr>
            </w:pPr>
            <w:r>
              <w:rPr>
                <w:rFonts w:hint="eastAsia" w:ascii="仿宋" w:hAnsi="仿宋" w:eastAsia="仿宋" w:cs="仿宋"/>
                <w:b/>
                <w:sz w:val="24"/>
                <w:szCs w:val="24"/>
              </w:rPr>
              <w:t>具体产品</w:t>
            </w:r>
          </w:p>
        </w:tc>
        <w:tc>
          <w:tcPr>
            <w:tcW w:w="2922" w:type="dxa"/>
            <w:vAlign w:val="center"/>
          </w:tcPr>
          <w:p>
            <w:pPr>
              <w:widowControl w:val="0"/>
              <w:jc w:val="center"/>
              <w:rPr>
                <w:rFonts w:hint="eastAsia" w:ascii="仿宋" w:hAnsi="仿宋" w:eastAsia="仿宋" w:cs="仿宋"/>
                <w:b/>
                <w:sz w:val="24"/>
                <w:szCs w:val="24"/>
              </w:rPr>
            </w:pPr>
            <w:r>
              <w:rPr>
                <w:rFonts w:hint="eastAsia" w:ascii="仿宋" w:hAnsi="仿宋" w:eastAsia="仿宋" w:cs="仿宋"/>
                <w:b/>
                <w:sz w:val="24"/>
                <w:szCs w:val="24"/>
              </w:rPr>
              <w:t>检验依据</w:t>
            </w:r>
          </w:p>
        </w:tc>
        <w:tc>
          <w:tcPr>
            <w:tcW w:w="3758" w:type="dxa"/>
            <w:vAlign w:val="center"/>
          </w:tcPr>
          <w:p>
            <w:pPr>
              <w:widowControl w:val="0"/>
              <w:jc w:val="center"/>
              <w:rPr>
                <w:rFonts w:hint="eastAsia" w:ascii="仿宋" w:hAnsi="仿宋" w:eastAsia="仿宋" w:cs="仿宋"/>
                <w:b/>
                <w:sz w:val="24"/>
                <w:szCs w:val="24"/>
              </w:rPr>
            </w:pPr>
            <w:r>
              <w:rPr>
                <w:rFonts w:hint="eastAsia" w:ascii="仿宋" w:hAnsi="仿宋" w:eastAsia="仿宋" w:cs="仿宋"/>
                <w:b/>
                <w:sz w:val="24"/>
                <w:szCs w:val="24"/>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6" w:hRule="atLeast"/>
          <w:jc w:val="center"/>
        </w:trPr>
        <w:tc>
          <w:tcPr>
            <w:tcW w:w="493" w:type="dxa"/>
            <w:vAlign w:val="center"/>
          </w:tcPr>
          <w:p>
            <w:pPr>
              <w:widowControl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861" w:type="dxa"/>
            <w:vAlign w:val="center"/>
          </w:tcPr>
          <w:p>
            <w:pPr>
              <w:widowControl w:val="0"/>
              <w:rPr>
                <w:rFonts w:hint="eastAsia" w:ascii="仿宋" w:hAnsi="仿宋" w:eastAsia="仿宋" w:cs="仿宋"/>
                <w:snapToGrid w:val="0"/>
                <w:color w:val="000000"/>
                <w:kern w:val="0"/>
                <w:sz w:val="24"/>
                <w:szCs w:val="24"/>
                <w:lang w:eastAsia="zh-CN"/>
              </w:rPr>
            </w:pPr>
            <w:r>
              <w:rPr>
                <w:rFonts w:hint="eastAsia" w:ascii="仿宋" w:hAnsi="仿宋" w:eastAsia="仿宋"/>
                <w:sz w:val="24"/>
                <w:lang w:val="en-US" w:eastAsia="zh-CN"/>
              </w:rPr>
              <w:t>书包（学生书袋、背提包）</w:t>
            </w:r>
          </w:p>
        </w:tc>
        <w:tc>
          <w:tcPr>
            <w:tcW w:w="2922" w:type="dxa"/>
            <w:vAlign w:val="center"/>
          </w:tcPr>
          <w:p>
            <w:pPr>
              <w:widowControl w:val="0"/>
              <w:rPr>
                <w:rFonts w:ascii="仿宋" w:hAnsi="仿宋" w:eastAsia="仿宋" w:cs="宋体"/>
                <w:bCs/>
                <w:color w:val="000000" w:themeColor="text1"/>
                <w:sz w:val="24"/>
                <w14:textFill>
                  <w14:solidFill>
                    <w14:schemeClr w14:val="tx1"/>
                  </w14:solidFill>
                </w14:textFill>
              </w:rPr>
            </w:pPr>
            <w:r>
              <w:rPr>
                <w:rFonts w:hint="eastAsia" w:ascii="仿宋" w:hAnsi="仿宋" w:eastAsia="仿宋" w:cs="宋体"/>
                <w:bCs/>
                <w:color w:val="000000" w:themeColor="text1"/>
                <w:sz w:val="24"/>
                <w14:textFill>
                  <w14:solidFill>
                    <w14:schemeClr w14:val="tx1"/>
                  </w14:solidFill>
                </w14:textFill>
              </w:rPr>
              <w:t>检验依据</w:t>
            </w:r>
          </w:p>
          <w:p>
            <w:pPr>
              <w:widowControl w:val="0"/>
              <w:rPr>
                <w:rFonts w:hint="eastAsia" w:ascii="仿宋" w:hAnsi="仿宋" w:eastAsia="仿宋" w:cs="仿宋"/>
                <w:bCs/>
                <w:snapToGrid w:val="0"/>
                <w:color w:val="000000"/>
                <w:kern w:val="2"/>
                <w:sz w:val="24"/>
                <w:szCs w:val="24"/>
              </w:rPr>
            </w:pPr>
            <w:r>
              <w:rPr>
                <w:rFonts w:hint="eastAsia" w:ascii="仿宋" w:hAnsi="仿宋" w:eastAsia="仿宋" w:cs="宋体"/>
                <w:bCs/>
                <w:color w:val="000000" w:themeColor="text1"/>
                <w:sz w:val="24"/>
                <w:lang w:val="en-US" w:eastAsia="zh-CN"/>
                <w14:textFill>
                  <w14:solidFill>
                    <w14:schemeClr w14:val="tx1"/>
                  </w14:solidFill>
                </w14:textFill>
              </w:rPr>
              <w:t xml:space="preserve">QB/T2858-2007  QB/T1333-2018        </w:t>
            </w:r>
            <w:r>
              <w:rPr>
                <w:rFonts w:hint="eastAsia" w:ascii="仿宋" w:hAnsi="仿宋" w:eastAsia="仿宋" w:cs="宋体"/>
                <w:bCs/>
                <w:color w:val="000000" w:themeColor="text1"/>
                <w:sz w:val="24"/>
                <w14:textFill>
                  <w14:solidFill>
                    <w14:schemeClr w14:val="tx1"/>
                  </w14:solidFill>
                </w14:textFill>
              </w:rPr>
              <w:t>产品明示质量指标及国家法律、法规、规章的有关规定</w:t>
            </w:r>
          </w:p>
        </w:tc>
        <w:tc>
          <w:tcPr>
            <w:tcW w:w="3758" w:type="dxa"/>
            <w:vAlign w:val="center"/>
          </w:tcPr>
          <w:p>
            <w:pPr>
              <w:widowControl w:val="0"/>
              <w:rPr>
                <w:rFonts w:hint="eastAsia" w:ascii="仿宋" w:hAnsi="仿宋" w:eastAsia="仿宋" w:cs="宋体"/>
                <w:bCs/>
                <w:color w:val="000000" w:themeColor="text1"/>
                <w:sz w:val="24"/>
                <w:lang w:val="en-US" w:eastAsia="zh-CN"/>
                <w14:textFill>
                  <w14:solidFill>
                    <w14:schemeClr w14:val="tx1"/>
                  </w14:solidFill>
                </w14:textFill>
              </w:rPr>
            </w:pPr>
            <w:r>
              <w:rPr>
                <w:rFonts w:hint="eastAsia" w:ascii="仿宋" w:hAnsi="仿宋" w:eastAsia="仿宋" w:cs="宋体"/>
                <w:bCs/>
                <w:color w:val="000000" w:themeColor="text1"/>
                <w:sz w:val="24"/>
                <w:lang w:val="en-US" w:eastAsia="zh-CN"/>
                <w14:textFill>
                  <w14:solidFill>
                    <w14:schemeClr w14:val="tx1"/>
                  </w14:solidFill>
                </w14:textFill>
              </w:rPr>
              <w:t>QB/T 2858-2007：负重、缝合强度、电镀配件、拉链耐用度、摩擦色牢度、旅行式拉杆书袋滑轮和拉杆、背带类书袋的性能、可迁移元素的限量、游离甲醛含量、可分解有害芳香胺染料、可触及的塑料件中邻苯二甲酸酯增塑剂的限量</w:t>
            </w:r>
          </w:p>
          <w:p>
            <w:pPr>
              <w:widowControl w:val="0"/>
              <w:rPr>
                <w:rFonts w:hint="eastAsia" w:ascii="仿宋" w:hAnsi="仿宋" w:eastAsia="仿宋" w:cs="仿宋"/>
                <w:snapToGrid w:val="0"/>
                <w:color w:val="000000"/>
                <w:kern w:val="0"/>
                <w:sz w:val="24"/>
                <w:szCs w:val="24"/>
              </w:rPr>
            </w:pPr>
            <w:r>
              <w:rPr>
                <w:rFonts w:hint="eastAsia" w:ascii="仿宋" w:hAnsi="仿宋" w:eastAsia="仿宋" w:cs="宋体"/>
                <w:bCs/>
                <w:color w:val="000000" w:themeColor="text1"/>
                <w:sz w:val="24"/>
                <w:lang w:val="en-US" w:eastAsia="zh-CN"/>
                <w14:textFill>
                  <w14:solidFill>
                    <w14:schemeClr w14:val="tx1"/>
                  </w14:solidFill>
                </w14:textFill>
              </w:rPr>
              <w:t>QB/T1333-2018：标志、振荡冲击性能、包锁耐用性能、扣件耐用性能、拉链耐用度、缝合强度、塑料插扣耐用性能、摩擦色牢度、五金配件耐腐蚀性、背带耐折性能、游离甲醛、可分解有害芳香胺染料、可迁移元素的限量、可触及的塑料件中邻苯二甲酸酯增塑剂的限量</w:t>
            </w:r>
          </w:p>
        </w:tc>
      </w:tr>
    </w:tbl>
    <w:p>
      <w:pPr>
        <w:pStyle w:val="14"/>
        <w:numPr>
          <w:ilvl w:val="0"/>
          <w:numId w:val="0"/>
        </w:numPr>
        <w:rPr>
          <w:rFonts w:hint="eastAsia"/>
        </w:rPr>
      </w:pPr>
    </w:p>
    <w:p>
      <w:pPr>
        <w:pStyle w:val="6"/>
        <w:rPr>
          <w:rFonts w:hint="eastAsia" w:ascii="仿宋" w:hAnsi="仿宋" w:eastAsia="仿宋" w:cs="仿宋"/>
          <w:spacing w:val="0"/>
          <w:position w:val="0"/>
          <w:sz w:val="28"/>
          <w:szCs w:val="28"/>
        </w:rPr>
      </w:pPr>
      <w:r>
        <w:rPr>
          <w:rFonts w:hint="eastAsia" w:eastAsia="宋体"/>
          <w:lang w:val="en-US" w:eastAsia="zh-CN"/>
        </w:rPr>
        <w:t xml:space="preserve">  </w:t>
      </w:r>
      <w:r>
        <w:rPr>
          <w:rFonts w:hint="eastAsia" w:ascii="仿宋" w:hAnsi="仿宋" w:eastAsia="仿宋" w:cs="仿宋"/>
          <w:spacing w:val="0"/>
          <w:position w:val="0"/>
          <w:sz w:val="28"/>
          <w:szCs w:val="28"/>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判定原则</w:t>
      </w:r>
    </w:p>
    <w:p>
      <w:pPr>
        <w:keepNext w:val="0"/>
        <w:keepLines w:val="0"/>
        <w:pageBreakBefore w:val="0"/>
        <w:widowControl/>
        <w:tabs>
          <w:tab w:val="left" w:pos="855"/>
        </w:tabs>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判定总则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5" w:right="166" w:firstLine="556"/>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当产品的国家强制性标准(含国家推荐性标准中的强制性条款)和执行的企业标准(含明示质量指标)各技术要求不一致时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应按其中最严要求进行质 量判定。</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7" w:right="168" w:firstLine="551"/>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当产品执行国家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行业</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地方标准时,按国家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行业</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地方标准要求进行质量判定。</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9" w:right="59" w:firstLine="546"/>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当产品执行企业标准(含明示质量指标) 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按其企业标准要求进行质量判定。</w:t>
      </w:r>
    </w:p>
    <w:p>
      <w:pPr>
        <w:keepNext w:val="0"/>
        <w:keepLines w:val="0"/>
        <w:pageBreakBefore w:val="0"/>
        <w:widowControl/>
        <w:tabs>
          <w:tab w:val="left" w:pos="855"/>
        </w:tabs>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2</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单项质量判定</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240" w:lineRule="auto"/>
        <w:ind w:right="279" w:firstLine="59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当所检项目的检验结果符合执行标准中该项目要求时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判该项目为符合执行标准要求</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否则判该项目为不符合执行标准要求。</w:t>
      </w:r>
    </w:p>
    <w:p>
      <w:pPr>
        <w:keepNext w:val="0"/>
        <w:keepLines w:val="0"/>
        <w:pageBreakBefore w:val="0"/>
        <w:widowControl/>
        <w:tabs>
          <w:tab w:val="left" w:pos="700"/>
        </w:tabs>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综合质量判定</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279" w:firstLine="551"/>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检验样本中一个或一个以上项目出现不符合执行要求判定的</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则检验结论 为“不合格”</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反之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检验结论为“所检项目符合本次监督抽查要求”。</w:t>
      </w:r>
    </w:p>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pacing w:val="0"/>
          <w:position w:val="0"/>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四、检验结果报送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281" w:firstLine="559"/>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承检单位应按任务下达部门的要求及时报送检验结果</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并按《浙江省产品 质量监督抽查工作实施办法 (试行)》的规定进行文书寄送。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五、样品处置及保存期限</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240" w:lineRule="auto"/>
        <w:ind w:right="279" w:firstLine="59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所抽样品均应贴上加盖抽样单位公章的封条</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执法人员 (有需要时)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抽 样人员</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受检单位在封条上签字确认</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并注明抽样日期</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检验样品由检验机构 带回检测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 xml:space="preserve">监督抽查结束之后样品按《浙江省产品质量监督抽查工作实施办法 </w:t>
      </w: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rPr>
        <w:t>(试行)》第七章“样品处置”规定报送任务下达部门进行处置。</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六、异议处理</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3" w:firstLine="535"/>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按《浙江省产品质量监督抽查工作实施办法 (试行)》第五章“异议处理” 的规定进行处理。</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七、承检单位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279" w:firstLine="55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本次监督抽查任务由</w:t>
      </w:r>
      <w:r>
        <w:rPr>
          <w:rFonts w:hint="eastAsia" w:ascii="仿宋" w:hAnsi="仿宋" w:eastAsia="仿宋" w:cs="仿宋"/>
          <w:spacing w:val="0"/>
          <w:position w:val="0"/>
          <w:sz w:val="28"/>
          <w:szCs w:val="28"/>
          <w:lang w:val="en-US" w:eastAsia="zh-CN"/>
        </w:rPr>
        <w:t>宁波海关技术中心</w:t>
      </w:r>
      <w:r>
        <w:rPr>
          <w:rFonts w:hint="eastAsia" w:ascii="仿宋" w:hAnsi="仿宋" w:eastAsia="仿宋" w:cs="仿宋"/>
          <w:spacing w:val="0"/>
          <w:position w:val="0"/>
          <w:sz w:val="28"/>
          <w:szCs w:val="28"/>
        </w:rPr>
        <w:t>承担产品的抽样和检验工作。</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81" w:firstLineChars="100"/>
        <w:jc w:val="both"/>
        <w:textAlignment w:val="baseline"/>
        <w:rPr>
          <w:rFonts w:hint="eastAsia" w:ascii="仿宋" w:hAnsi="仿宋" w:eastAsia="仿宋" w:cs="仿宋"/>
          <w:b/>
          <w:bCs/>
          <w:spacing w:val="0"/>
          <w:position w:val="0"/>
          <w:sz w:val="28"/>
          <w:szCs w:val="28"/>
        </w:rPr>
      </w:pPr>
      <w:r>
        <w:rPr>
          <w:rFonts w:hint="eastAsia" w:ascii="仿宋" w:hAnsi="仿宋" w:eastAsia="仿宋" w:cs="仿宋"/>
          <w:b/>
          <w:bCs/>
          <w:spacing w:val="0"/>
          <w:position w:val="0"/>
          <w:sz w:val="28"/>
          <w:szCs w:val="28"/>
          <w:lang w:eastAsia="zh-CN"/>
        </w:rPr>
        <w:t>八、</w:t>
      </w:r>
      <w:r>
        <w:rPr>
          <w:rFonts w:hint="eastAsia" w:ascii="仿宋" w:hAnsi="仿宋" w:eastAsia="仿宋" w:cs="仿宋"/>
          <w:b/>
          <w:bCs/>
          <w:spacing w:val="0"/>
          <w:position w:val="0"/>
          <w:sz w:val="28"/>
          <w:szCs w:val="28"/>
        </w:rPr>
        <w:t xml:space="preserve"> 附则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3" w:firstLine="535"/>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本细则首次发布。</w:t>
      </w:r>
      <w:bookmarkStart w:id="0" w:name="_GoBack"/>
      <w:bookmarkEnd w:id="0"/>
    </w:p>
    <w:p>
      <w:pPr>
        <w:pStyle w:val="2"/>
        <w:rPr>
          <w:rFonts w:hint="eastAsia"/>
        </w:rPr>
      </w:pPr>
    </w:p>
    <w:sectPr>
      <w:footerReference r:id="rId5" w:type="default"/>
      <w:pgSz w:w="11906" w:h="16839"/>
      <w:pgMar w:top="1431" w:right="853" w:bottom="1156" w:left="1121" w:header="0" w:footer="9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18"/>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E4FC10"/>
    <w:multiLevelType w:val="singleLevel"/>
    <w:tmpl w:val="15E4FC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zRmNzQ4MzE2MmFjMTkxMDNmNzM0MjdhNGU2YjVlMGQifQ=="/>
  </w:docVars>
  <w:rsids>
    <w:rsidRoot w:val="00000000"/>
    <w:rsid w:val="01516180"/>
    <w:rsid w:val="01537095"/>
    <w:rsid w:val="06BB118B"/>
    <w:rsid w:val="06F96E2C"/>
    <w:rsid w:val="0D477380"/>
    <w:rsid w:val="12C4776A"/>
    <w:rsid w:val="181700F1"/>
    <w:rsid w:val="1A0412E1"/>
    <w:rsid w:val="1A2C5DF4"/>
    <w:rsid w:val="1A5B2D5E"/>
    <w:rsid w:val="1CE80F17"/>
    <w:rsid w:val="24FA2E3E"/>
    <w:rsid w:val="265B7746"/>
    <w:rsid w:val="29B97CD3"/>
    <w:rsid w:val="2B2B75A9"/>
    <w:rsid w:val="3034062C"/>
    <w:rsid w:val="346758F4"/>
    <w:rsid w:val="35D842A1"/>
    <w:rsid w:val="382C4673"/>
    <w:rsid w:val="383A50AF"/>
    <w:rsid w:val="385C6C40"/>
    <w:rsid w:val="385F0CD8"/>
    <w:rsid w:val="39021308"/>
    <w:rsid w:val="39120FD5"/>
    <w:rsid w:val="3DF6341C"/>
    <w:rsid w:val="420B32C0"/>
    <w:rsid w:val="43826417"/>
    <w:rsid w:val="456C7646"/>
    <w:rsid w:val="483F31ED"/>
    <w:rsid w:val="4ADC70EC"/>
    <w:rsid w:val="4C873A05"/>
    <w:rsid w:val="4E4837C9"/>
    <w:rsid w:val="4E9E03C4"/>
    <w:rsid w:val="4F097C70"/>
    <w:rsid w:val="5627570E"/>
    <w:rsid w:val="59945B14"/>
    <w:rsid w:val="5DD917FC"/>
    <w:rsid w:val="5DDF5B1F"/>
    <w:rsid w:val="5E5E5C71"/>
    <w:rsid w:val="5F781DA7"/>
    <w:rsid w:val="61B2276A"/>
    <w:rsid w:val="62A019CE"/>
    <w:rsid w:val="636A4EA1"/>
    <w:rsid w:val="671B1623"/>
    <w:rsid w:val="696B5FFB"/>
    <w:rsid w:val="6AEA2CD1"/>
    <w:rsid w:val="74612F3E"/>
    <w:rsid w:val="74BC379D"/>
    <w:rsid w:val="75A629FF"/>
    <w:rsid w:val="7800055A"/>
    <w:rsid w:val="7FF8238C"/>
    <w:rsid w:val="BEDD762D"/>
    <w:rsid w:val="D75B46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3">
    <w:name w:val="heading 2"/>
    <w:basedOn w:val="1"/>
    <w:next w:val="1"/>
    <w:qFormat/>
    <w:uiPriority w:val="0"/>
    <w:pPr>
      <w:keepNext/>
      <w:adjustRightInd w:val="0"/>
      <w:snapToGrid w:val="0"/>
      <w:spacing w:before="120" w:after="120" w:line="360" w:lineRule="auto"/>
      <w:jc w:val="center"/>
      <w:textAlignment w:val="baseline"/>
      <w:outlineLvl w:val="1"/>
    </w:pPr>
    <w:rPr>
      <w:rFonts w:ascii="仿宋_GB2312" w:eastAsia="仿宋_GB2312"/>
      <w:b/>
      <w:kern w:val="0"/>
      <w:sz w:val="36"/>
      <w:szCs w:val="20"/>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autoSpaceDE/>
      <w:autoSpaceDN/>
      <w:adjustRightInd/>
      <w:ind w:firstLine="420"/>
      <w:jc w:val="both"/>
      <w:textAlignment w:val="auto"/>
    </w:pPr>
    <w:rPr>
      <w:rFonts w:ascii="Times New Roman"/>
      <w:kern w:val="2"/>
      <w:sz w:val="21"/>
    </w:rPr>
  </w:style>
  <w:style w:type="paragraph" w:styleId="5">
    <w:name w:val="Body Text Indent"/>
    <w:basedOn w:val="1"/>
    <w:next w:val="4"/>
    <w:qFormat/>
    <w:uiPriority w:val="99"/>
    <w:pPr>
      <w:autoSpaceDE/>
      <w:autoSpaceDN/>
      <w:adjustRightInd/>
      <w:ind w:firstLine="900"/>
      <w:jc w:val="both"/>
      <w:textAlignment w:val="auto"/>
    </w:pPr>
    <w:rPr>
      <w:rFonts w:ascii="Times New Roman"/>
      <w:kern w:val="2"/>
      <w:sz w:val="28"/>
    </w:rPr>
  </w:style>
  <w:style w:type="paragraph" w:styleId="6">
    <w:name w:val="Body Text"/>
    <w:basedOn w:val="1"/>
    <w:next w:val="7"/>
    <w:qFormat/>
    <w:uiPriority w:val="0"/>
    <w:pPr>
      <w:spacing w:after="120" w:afterLines="0"/>
    </w:pPr>
    <w:rPr>
      <w:rFonts w:ascii="Calibri"/>
      <w:kern w:val="2"/>
      <w:sz w:val="21"/>
    </w:rPr>
  </w:style>
  <w:style w:type="paragraph" w:customStyle="1" w:styleId="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8">
    <w:name w:val="Plain Text"/>
    <w:basedOn w:val="1"/>
    <w:qFormat/>
    <w:uiPriority w:val="0"/>
    <w:rPr>
      <w:rFonts w:ascii="宋体" w:hAnsi="Courier New"/>
      <w:szCs w:val="21"/>
    </w:rPr>
  </w:style>
  <w:style w:type="paragraph" w:styleId="9">
    <w:name w:val="Body Text First Indent 2"/>
    <w:basedOn w:val="5"/>
    <w:next w:val="10"/>
    <w:qFormat/>
    <w:uiPriority w:val="0"/>
    <w:pPr>
      <w:spacing w:after="120"/>
      <w:ind w:left="420" w:leftChars="200" w:firstLine="420"/>
    </w:pPr>
    <w:rPr>
      <w:rFonts w:cs="宋体"/>
      <w:sz w:val="21"/>
      <w:szCs w:val="21"/>
    </w:rPr>
  </w:style>
  <w:style w:type="paragraph" w:customStyle="1" w:styleId="10">
    <w:name w:val="xl53"/>
    <w:basedOn w:val="1"/>
    <w:next w:val="1"/>
    <w:qFormat/>
    <w:uiPriority w:val="0"/>
    <w:pPr>
      <w:spacing w:before="280" w:after="280" w:line="100" w:lineRule="exact"/>
      <w:jc w:val="center"/>
    </w:pPr>
    <w:rPr>
      <w:b/>
      <w:sz w:val="2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首行缩进"/>
    <w:basedOn w:val="1"/>
    <w:next w:val="6"/>
    <w:qFormat/>
    <w:uiPriority w:val="0"/>
    <w:pPr>
      <w:spacing w:line="360" w:lineRule="auto"/>
      <w:ind w:firstLine="480" w:firstLineChars="200"/>
    </w:pPr>
    <w:rPr>
      <w:rFonts w:ascii="Calibri" w:hAnsi="Calibri"/>
      <w:sz w:val="24"/>
      <w:szCs w:val="22"/>
      <w:lang w:val="zh-CN"/>
    </w:rPr>
  </w:style>
  <w:style w:type="table" w:customStyle="1" w:styleId="15">
    <w:name w:val="Table Normal"/>
    <w:semiHidden/>
    <w:unhideWhenUsed/>
    <w:qFormat/>
    <w:uiPriority w:val="0"/>
    <w:tblPr>
      <w:tblCellMar>
        <w:top w:w="0" w:type="dxa"/>
        <w:left w:w="0" w:type="dxa"/>
        <w:bottom w:w="0" w:type="dxa"/>
        <w:right w:w="0" w:type="dxa"/>
      </w:tblCellMar>
    </w:tblPr>
  </w:style>
  <w:style w:type="character" w:customStyle="1" w:styleId="16">
    <w:name w:val="fontstyle01"/>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1397</Words>
  <Characters>1504</Characters>
  <TotalTime>0</TotalTime>
  <ScaleCrop>false</ScaleCrop>
  <LinksUpToDate>false</LinksUpToDate>
  <CharactersWithSpaces>1623</CharactersWithSpaces>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2022-11-02T17:16:00Z</dcterms:created>
  <dc:creator>雨林木风</dc:creator>
  <cp:lastModifiedBy>user</cp:lastModifiedBy>
  <dcterms:modified xsi:type="dcterms:W3CDTF">2023-06-21T16:31:54Z</dcterms:modified>
  <dc:title>消防产品抽样检验实施方案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2022-11-02T09:16:38Z</vt:filetime>
  </property>
  <property fmtid="{D5CDD505-2E9C-101B-9397-08002B2CF9AE}" pid="4" name="KSOProductBuildVer">
    <vt:lpwstr>2052-11.8.2.10458</vt:lpwstr>
  </property>
  <property fmtid="{D5CDD505-2E9C-101B-9397-08002B2CF9AE}" pid="5" name="ICV">
    <vt:lpwstr>AA6DA9E990044AA990121225984997E4</vt:lpwstr>
  </property>
</Properties>
</file>