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_GBK" w:hAnsi="黑体" w:eastAsia="方正小标宋_GBK" w:cs="方正仿宋简体"/>
          <w:b w:val="0"/>
          <w:bCs w:val="0"/>
          <w:color w:val="000000"/>
          <w:sz w:val="36"/>
          <w:szCs w:val="36"/>
          <w:lang w:eastAsia="zh-CN"/>
        </w:rPr>
      </w:pPr>
      <w:r>
        <w:rPr>
          <w:rFonts w:hint="eastAsia" w:ascii="方正小标宋_GBK" w:hAnsi="黑体" w:eastAsia="方正小标宋_GBK" w:cs="方正仿宋简体"/>
          <w:b w:val="0"/>
          <w:bCs w:val="0"/>
          <w:color w:val="000000"/>
          <w:sz w:val="36"/>
          <w:szCs w:val="36"/>
        </w:rPr>
        <w:t>2023年台州</w:t>
      </w:r>
      <w:r>
        <w:rPr>
          <w:rFonts w:hint="eastAsia" w:ascii="方正小标宋_GBK" w:hAnsi="黑体" w:eastAsia="方正小标宋_GBK" w:cs="方正仿宋简体"/>
          <w:b w:val="0"/>
          <w:bCs w:val="0"/>
          <w:color w:val="000000"/>
          <w:sz w:val="36"/>
          <w:szCs w:val="36"/>
          <w:lang w:eastAsia="zh-CN"/>
        </w:rPr>
        <w:t>市</w:t>
      </w:r>
    </w:p>
    <w:p>
      <w:pPr>
        <w:widowControl/>
        <w:jc w:val="center"/>
        <w:rPr>
          <w:rFonts w:ascii="方正小标宋_GBK" w:hAnsi="黑体" w:eastAsia="方正小标宋_GBK" w:cs="方正仿宋简体"/>
          <w:b w:val="0"/>
          <w:bCs w:val="0"/>
          <w:color w:val="000000"/>
          <w:sz w:val="36"/>
          <w:szCs w:val="36"/>
        </w:rPr>
      </w:pPr>
      <w:r>
        <w:rPr>
          <w:rFonts w:hint="eastAsia" w:ascii="方正小标宋_GBK" w:hAnsi="黑体" w:eastAsia="方正小标宋_GBK" w:cs="方正仿宋简体"/>
          <w:b w:val="0"/>
          <w:bCs w:val="0"/>
          <w:color w:val="000000"/>
          <w:sz w:val="36"/>
          <w:szCs w:val="36"/>
        </w:rPr>
        <w:t>陶瓷片密封水嘴产品质量监督抽查实施细则</w:t>
      </w:r>
    </w:p>
    <w:p>
      <w:pPr>
        <w:numPr>
          <w:ilvl w:val="0"/>
          <w:numId w:val="1"/>
        </w:numPr>
        <w:adjustRightInd w:val="0"/>
        <w:snapToGrid w:val="0"/>
        <w:spacing w:line="360" w:lineRule="auto"/>
        <w:jc w:val="left"/>
        <w:rPr>
          <w:rFonts w:ascii="仿宋" w:hAnsi="仿宋" w:eastAsia="仿宋"/>
          <w:b/>
          <w:bCs/>
          <w:color w:val="000000"/>
          <w:sz w:val="24"/>
        </w:rPr>
      </w:pPr>
      <w:bookmarkStart w:id="0" w:name="_Hlk95300558"/>
      <w:r>
        <w:rPr>
          <w:rFonts w:hint="eastAsia" w:ascii="仿宋" w:hAnsi="仿宋" w:eastAsia="仿宋"/>
          <w:b/>
          <w:bCs/>
          <w:color w:val="000000"/>
          <w:sz w:val="24"/>
        </w:rPr>
        <w:t>适用范围</w:t>
      </w:r>
    </w:p>
    <w:p>
      <w:pPr>
        <w:adjustRightInd w:val="0"/>
        <w:snapToGrid w:val="0"/>
        <w:spacing w:line="360" w:lineRule="auto"/>
        <w:ind w:firstLine="495"/>
        <w:jc w:val="left"/>
        <w:rPr>
          <w:rFonts w:ascii="仿宋" w:hAnsi="仿宋" w:eastAsia="仿宋"/>
          <w:color w:val="000000"/>
          <w:sz w:val="24"/>
        </w:rPr>
      </w:pPr>
      <w:r>
        <w:rPr>
          <w:rFonts w:hint="eastAsia" w:ascii="仿宋" w:hAnsi="仿宋" w:eastAsia="仿宋"/>
          <w:color w:val="000000"/>
          <w:sz w:val="24"/>
        </w:rPr>
        <w:t>本实施细则适用于在XXX地区内陶瓷片密封水嘴产品质量的监督抽查。</w:t>
      </w:r>
    </w:p>
    <w:bookmarkEnd w:id="0"/>
    <w:p>
      <w:pPr>
        <w:adjustRightInd w:val="0"/>
        <w:snapToGrid w:val="0"/>
        <w:spacing w:line="360" w:lineRule="auto"/>
        <w:jc w:val="left"/>
        <w:rPr>
          <w:rFonts w:ascii="仿宋" w:hAnsi="仿宋" w:eastAsia="仿宋"/>
          <w:color w:val="000000"/>
          <w:sz w:val="24"/>
        </w:rPr>
      </w:pPr>
      <w:bookmarkStart w:id="1" w:name="_Hlk95300595"/>
      <w:r>
        <w:rPr>
          <w:rFonts w:hint="eastAsia" w:ascii="仿宋" w:hAnsi="仿宋" w:eastAsia="仿宋"/>
          <w:b/>
          <w:bCs/>
          <w:color w:val="000000"/>
          <w:sz w:val="24"/>
        </w:rPr>
        <w:t>二</w:t>
      </w:r>
      <w:r>
        <w:rPr>
          <w:rFonts w:hint="eastAsia" w:ascii="仿宋" w:hAnsi="仿宋" w:eastAsia="仿宋"/>
          <w:color w:val="000000"/>
          <w:sz w:val="24"/>
        </w:rPr>
        <w:t xml:space="preserve">、 </w:t>
      </w:r>
      <w:r>
        <w:rPr>
          <w:rFonts w:ascii="仿宋" w:hAnsi="仿宋" w:eastAsia="仿宋"/>
          <w:color w:val="000000"/>
          <w:sz w:val="24"/>
        </w:rPr>
        <w:t xml:space="preserve"> </w:t>
      </w:r>
      <w:r>
        <w:rPr>
          <w:rFonts w:hint="eastAsia" w:ascii="仿宋" w:hAnsi="仿宋" w:eastAsia="仿宋"/>
          <w:b/>
          <w:bCs/>
          <w:color w:val="000000"/>
          <w:sz w:val="24"/>
        </w:rPr>
        <w:t>检验</w:t>
      </w:r>
      <w:r>
        <w:rPr>
          <w:rFonts w:ascii="仿宋" w:hAnsi="仿宋" w:eastAsia="仿宋"/>
          <w:b/>
          <w:bCs/>
          <w:color w:val="000000"/>
          <w:sz w:val="24"/>
        </w:rPr>
        <w:t>依据</w:t>
      </w:r>
    </w:p>
    <w:bookmarkEnd w:id="1"/>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 18145-2014 陶瓷片密封水嘴</w:t>
      </w:r>
    </w:p>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 25501-201</w:t>
      </w:r>
      <w:r>
        <w:rPr>
          <w:rFonts w:hint="eastAsia" w:ascii="仿宋" w:hAnsi="仿宋" w:eastAsia="仿宋"/>
          <w:color w:val="000000"/>
          <w:sz w:val="24"/>
        </w:rPr>
        <w:t>9</w:t>
      </w:r>
      <w:r>
        <w:rPr>
          <w:rFonts w:ascii="仿宋" w:hAnsi="仿宋" w:eastAsia="仿宋"/>
          <w:color w:val="000000"/>
          <w:sz w:val="24"/>
        </w:rPr>
        <w:t>水嘴水效限定值及水效等级</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现行有效的企业标准、团体标准、地方标准及产品明示质量要求</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三、 </w:t>
      </w:r>
      <w:r>
        <w:rPr>
          <w:rFonts w:ascii="仿宋" w:hAnsi="仿宋" w:eastAsia="仿宋"/>
          <w:b/>
          <w:bCs/>
          <w:color w:val="000000"/>
          <w:sz w:val="24"/>
        </w:rPr>
        <w:t xml:space="preserve"> 抽样方法</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以随机抽样的方式在被抽样销售者的待销产品中抽取。</w:t>
      </w:r>
    </w:p>
    <w:p>
      <w:pPr>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随机数一般可使用随机数表等方法产生。</w:t>
      </w:r>
    </w:p>
    <w:p>
      <w:pPr>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每批次抽取样品6件，其中3件为检验样品，3件为备用样品。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四、 </w:t>
      </w:r>
      <w:r>
        <w:rPr>
          <w:rFonts w:ascii="仿宋" w:hAnsi="仿宋" w:eastAsia="仿宋"/>
          <w:b/>
          <w:bCs/>
          <w:color w:val="000000"/>
          <w:sz w:val="24"/>
        </w:rPr>
        <w:t>检验</w:t>
      </w:r>
      <w:r>
        <w:rPr>
          <w:rFonts w:hint="eastAsia" w:ascii="仿宋" w:hAnsi="仿宋" w:eastAsia="仿宋"/>
          <w:b/>
          <w:bCs/>
          <w:color w:val="000000"/>
          <w:sz w:val="24"/>
        </w:rPr>
        <w:t>项目</w:t>
      </w:r>
    </w:p>
    <w:tbl>
      <w:tblPr>
        <w:tblStyle w:val="7"/>
        <w:tblW w:w="42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2324"/>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序</w:t>
            </w:r>
            <w:r>
              <w:rPr>
                <w:rFonts w:hint="eastAsia" w:ascii="仿宋" w:hAnsi="仿宋" w:eastAsia="仿宋"/>
                <w:color w:val="000000"/>
                <w:sz w:val="24"/>
              </w:rPr>
              <w:t>号</w:t>
            </w:r>
          </w:p>
        </w:tc>
        <w:tc>
          <w:tcPr>
            <w:tcW w:w="1594"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检验项目</w:t>
            </w:r>
          </w:p>
        </w:tc>
        <w:tc>
          <w:tcPr>
            <w:tcW w:w="237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1</w:t>
            </w:r>
          </w:p>
        </w:tc>
        <w:tc>
          <w:tcPr>
            <w:tcW w:w="1594"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管螺纹精度</w:t>
            </w:r>
          </w:p>
        </w:tc>
        <w:tc>
          <w:tcPr>
            <w:tcW w:w="237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2</w:t>
            </w:r>
          </w:p>
        </w:tc>
        <w:tc>
          <w:tcPr>
            <w:tcW w:w="1594" w:type="pct"/>
            <w:vAlign w:val="center"/>
          </w:tcPr>
          <w:p>
            <w:pPr>
              <w:snapToGrid w:val="0"/>
              <w:spacing w:line="440" w:lineRule="exact"/>
              <w:jc w:val="center"/>
              <w:rPr>
                <w:rFonts w:ascii="仿宋" w:hAnsi="仿宋" w:eastAsia="仿宋"/>
                <w:color w:val="000000"/>
                <w:sz w:val="24"/>
              </w:rPr>
            </w:pPr>
            <w:r>
              <w:rPr>
                <w:rFonts w:hint="eastAsia" w:ascii="仿宋" w:hAnsi="仿宋" w:eastAsia="仿宋"/>
                <w:color w:val="000000"/>
                <w:sz w:val="24"/>
              </w:rPr>
              <w:t>装配</w:t>
            </w:r>
          </w:p>
        </w:tc>
        <w:tc>
          <w:tcPr>
            <w:tcW w:w="237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3</w:t>
            </w:r>
          </w:p>
        </w:tc>
        <w:tc>
          <w:tcPr>
            <w:tcW w:w="1594"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抗水压机械性能</w:t>
            </w:r>
          </w:p>
        </w:tc>
        <w:tc>
          <w:tcPr>
            <w:tcW w:w="237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4</w:t>
            </w:r>
          </w:p>
        </w:tc>
        <w:tc>
          <w:tcPr>
            <w:tcW w:w="1594"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密封性能</w:t>
            </w:r>
          </w:p>
        </w:tc>
        <w:tc>
          <w:tcPr>
            <w:tcW w:w="237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5</w:t>
            </w:r>
          </w:p>
        </w:tc>
        <w:tc>
          <w:tcPr>
            <w:tcW w:w="1594"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流量</w:t>
            </w:r>
          </w:p>
        </w:tc>
        <w:tc>
          <w:tcPr>
            <w:tcW w:w="237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6</w:t>
            </w:r>
          </w:p>
        </w:tc>
        <w:tc>
          <w:tcPr>
            <w:tcW w:w="1594"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表面耐腐蚀性能</w:t>
            </w:r>
          </w:p>
        </w:tc>
        <w:tc>
          <w:tcPr>
            <w:tcW w:w="237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7</w:t>
            </w:r>
          </w:p>
        </w:tc>
        <w:tc>
          <w:tcPr>
            <w:tcW w:w="1594"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流量均匀性</w:t>
            </w:r>
          </w:p>
        </w:tc>
        <w:tc>
          <w:tcPr>
            <w:tcW w:w="237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 25501-201</w:t>
            </w:r>
            <w:r>
              <w:rPr>
                <w:rFonts w:hint="eastAsia" w:ascii="仿宋" w:hAnsi="仿宋" w:eastAsia="仿宋"/>
                <w:color w:val="00000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jc w:val="center"/>
        </w:trPr>
        <w:tc>
          <w:tcPr>
            <w:tcW w:w="1033" w:type="pct"/>
            <w:vAlign w:val="center"/>
          </w:tcPr>
          <w:p>
            <w:pPr>
              <w:snapToGrid w:val="0"/>
              <w:spacing w:line="440" w:lineRule="exact"/>
              <w:ind w:firstLine="480" w:firstLineChars="200"/>
              <w:rPr>
                <w:rFonts w:ascii="仿宋" w:hAnsi="仿宋" w:eastAsia="仿宋"/>
                <w:color w:val="000000"/>
                <w:sz w:val="24"/>
              </w:rPr>
            </w:pPr>
            <w:r>
              <w:rPr>
                <w:rFonts w:hint="eastAsia" w:ascii="仿宋" w:hAnsi="仿宋" w:eastAsia="仿宋"/>
                <w:color w:val="000000"/>
                <w:sz w:val="24"/>
              </w:rPr>
              <w:t>8</w:t>
            </w:r>
          </w:p>
        </w:tc>
        <w:tc>
          <w:tcPr>
            <w:tcW w:w="1594" w:type="pct"/>
            <w:vAlign w:val="center"/>
          </w:tcPr>
          <w:p>
            <w:pPr>
              <w:snapToGrid w:val="0"/>
              <w:spacing w:line="440" w:lineRule="exact"/>
              <w:jc w:val="center"/>
              <w:rPr>
                <w:rFonts w:ascii="仿宋" w:hAnsi="仿宋" w:eastAsia="仿宋"/>
                <w:color w:val="000000"/>
                <w:sz w:val="24"/>
              </w:rPr>
            </w:pPr>
            <w:r>
              <w:rPr>
                <w:rFonts w:ascii="仿宋" w:hAnsi="仿宋" w:eastAsia="仿宋"/>
                <w:color w:val="000000"/>
                <w:sz w:val="24"/>
              </w:rPr>
              <w:t>水效等级</w:t>
            </w:r>
          </w:p>
        </w:tc>
        <w:tc>
          <w:tcPr>
            <w:tcW w:w="2373" w:type="pct"/>
            <w:vAlign w:val="center"/>
          </w:tcPr>
          <w:p>
            <w:pPr>
              <w:snapToGrid w:val="0"/>
              <w:spacing w:line="440" w:lineRule="exact"/>
              <w:ind w:firstLine="480" w:firstLineChars="200"/>
              <w:rPr>
                <w:rFonts w:ascii="仿宋" w:hAnsi="仿宋" w:eastAsia="仿宋"/>
                <w:color w:val="000000"/>
                <w:sz w:val="24"/>
              </w:rPr>
            </w:pPr>
            <w:r>
              <w:rPr>
                <w:rFonts w:ascii="仿宋" w:hAnsi="仿宋" w:eastAsia="仿宋"/>
                <w:color w:val="000000"/>
                <w:sz w:val="24"/>
              </w:rPr>
              <w:t>GB 25501-201</w:t>
            </w:r>
            <w:r>
              <w:rPr>
                <w:rFonts w:hint="eastAsia" w:ascii="仿宋" w:hAnsi="仿宋" w:eastAsia="仿宋"/>
                <w:color w:val="000000"/>
                <w:sz w:val="24"/>
              </w:rPr>
              <w:t>9</w:t>
            </w:r>
          </w:p>
        </w:tc>
      </w:tr>
    </w:tbl>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执行</w:t>
      </w:r>
      <w:r>
        <w:rPr>
          <w:rFonts w:hint="eastAsia" w:ascii="仿宋" w:hAnsi="仿宋" w:eastAsia="仿宋"/>
          <w:color w:val="000000"/>
          <w:sz w:val="24"/>
        </w:rPr>
        <w:t>其他标准</w:t>
      </w:r>
      <w:r>
        <w:rPr>
          <w:rFonts w:ascii="仿宋" w:hAnsi="仿宋" w:eastAsia="仿宋"/>
          <w:color w:val="000000"/>
          <w:sz w:val="24"/>
        </w:rPr>
        <w:t>的产品，检验项目参照上述内容执行。</w:t>
      </w:r>
    </w:p>
    <w:p>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复检时所检测的样品为备用样品。</w:t>
      </w:r>
    </w:p>
    <w:p>
      <w:pPr>
        <w:adjustRightInd w:val="0"/>
        <w:snapToGrid w:val="0"/>
        <w:spacing w:line="360" w:lineRule="auto"/>
        <w:jc w:val="left"/>
        <w:rPr>
          <w:rFonts w:ascii="仿宋" w:hAnsi="仿宋" w:eastAsia="仿宋"/>
          <w:b/>
          <w:bCs/>
          <w:color w:val="000000"/>
          <w:sz w:val="24"/>
        </w:rPr>
      </w:pPr>
      <w:r>
        <w:rPr>
          <w:rFonts w:hint="eastAsia" w:ascii="仿宋" w:hAnsi="仿宋" w:eastAsia="仿宋"/>
          <w:b/>
          <w:bCs/>
          <w:color w:val="000000"/>
          <w:sz w:val="24"/>
        </w:rPr>
        <w:t xml:space="preserve">五、 </w:t>
      </w:r>
      <w:r>
        <w:rPr>
          <w:rFonts w:ascii="仿宋" w:hAnsi="仿宋" w:eastAsia="仿宋"/>
          <w:b/>
          <w:bCs/>
          <w:color w:val="000000"/>
          <w:sz w:val="24"/>
        </w:rPr>
        <w:t>判定规则</w:t>
      </w:r>
    </w:p>
    <w:p>
      <w:pPr>
        <w:adjustRightInd w:val="0"/>
        <w:snapToGrid w:val="0"/>
        <w:spacing w:line="440" w:lineRule="exact"/>
        <w:jc w:val="left"/>
        <w:rPr>
          <w:rFonts w:ascii="仿宋" w:hAnsi="仿宋" w:eastAsia="仿宋"/>
          <w:sz w:val="24"/>
        </w:rPr>
      </w:pPr>
      <w:r>
        <w:rPr>
          <w:rFonts w:hint="eastAsia" w:ascii="仿宋" w:hAnsi="仿宋" w:eastAsia="仿宋"/>
          <w:sz w:val="24"/>
        </w:rPr>
        <w:t>5.1 判定原则</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pPr>
        <w:adjustRightInd w:val="0"/>
        <w:snapToGrid w:val="0"/>
        <w:spacing w:line="440" w:lineRule="exact"/>
        <w:ind w:firstLine="480" w:firstLineChars="200"/>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rPr>
          <w:rFonts w:ascii="仿宋" w:hAnsi="仿宋" w:eastAsia="仿宋"/>
          <w:sz w:val="24"/>
        </w:rPr>
      </w:pPr>
      <w:r>
        <w:rPr>
          <w:rFonts w:hint="eastAsia" w:ascii="仿宋" w:hAnsi="仿宋" w:eastAsia="仿宋"/>
          <w:sz w:val="24"/>
        </w:rPr>
        <w:t>5.2</w:t>
      </w:r>
      <w:r>
        <w:rPr>
          <w:rFonts w:ascii="仿宋" w:hAnsi="仿宋" w:eastAsia="仿宋"/>
          <w:sz w:val="24"/>
        </w:rPr>
        <w:t xml:space="preserve"> </w:t>
      </w:r>
      <w:r>
        <w:rPr>
          <w:rFonts w:hint="eastAsia" w:ascii="仿宋" w:hAnsi="仿宋" w:eastAsia="仿宋"/>
          <w:sz w:val="24"/>
        </w:rPr>
        <w:t>综合结论判定</w:t>
      </w:r>
    </w:p>
    <w:p>
      <w:pPr>
        <w:snapToGrid w:val="0"/>
        <w:spacing w:line="440" w:lineRule="exact"/>
        <w:ind w:firstLine="480" w:firstLineChars="200"/>
        <w:rPr>
          <w:rFonts w:ascii="仿宋" w:hAnsi="仿宋" w:eastAsia="仿宋"/>
          <w:sz w:val="24"/>
        </w:rPr>
      </w:pPr>
      <w:r>
        <w:rPr>
          <w:rFonts w:ascii="仿宋" w:hAnsi="仿宋" w:eastAsia="仿宋"/>
          <w:sz w:val="24"/>
        </w:rPr>
        <w:t>经检验，检验项目中任一项或一项以上不合格，判定被抽查产品为</w:t>
      </w:r>
      <w:r>
        <w:rPr>
          <w:rFonts w:hint="eastAsia" w:ascii="仿宋" w:hAnsi="仿宋" w:eastAsia="仿宋"/>
          <w:sz w:val="24"/>
        </w:rPr>
        <w:t>“</w:t>
      </w:r>
      <w:r>
        <w:rPr>
          <w:rFonts w:ascii="仿宋" w:hAnsi="仿宋" w:eastAsia="仿宋"/>
          <w:sz w:val="24"/>
        </w:rPr>
        <w:t>不合格</w:t>
      </w:r>
      <w:r>
        <w:rPr>
          <w:rFonts w:hint="eastAsia" w:ascii="仿宋" w:hAnsi="仿宋" w:eastAsia="仿宋"/>
          <w:sz w:val="24"/>
        </w:rPr>
        <w:t>”；</w:t>
      </w:r>
    </w:p>
    <w:p>
      <w:pPr>
        <w:snapToGrid w:val="0"/>
        <w:spacing w:line="440" w:lineRule="exact"/>
        <w:ind w:firstLine="480" w:firstLineChars="200"/>
        <w:rPr>
          <w:rFonts w:hint="eastAsia" w:ascii="仿宋" w:hAnsi="仿宋" w:eastAsia="仿宋"/>
          <w:sz w:val="24"/>
          <w:lang w:eastAsia="zh-CN"/>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但不符合本细则检验项目依据的推荐性标准，</w:t>
      </w:r>
      <w:r>
        <w:rPr>
          <w:rFonts w:ascii="仿宋" w:hAnsi="仿宋" w:eastAsia="仿宋"/>
          <w:sz w:val="24"/>
        </w:rPr>
        <w:t>判定被抽查产品</w:t>
      </w:r>
      <w:r>
        <w:rPr>
          <w:rFonts w:hint="eastAsia" w:ascii="仿宋" w:hAnsi="仿宋" w:eastAsia="仿宋"/>
          <w:sz w:val="24"/>
        </w:rPr>
        <w:t>“所检项目符合企业标准，未达到国家、行业、地方标准规定”</w:t>
      </w:r>
      <w:r>
        <w:rPr>
          <w:rFonts w:hint="eastAsia" w:ascii="仿宋" w:hAnsi="仿宋" w:eastAsia="仿宋"/>
          <w:sz w:val="24"/>
          <w:lang w:eastAsia="zh-CN"/>
        </w:rPr>
        <w:t>。</w:t>
      </w:r>
    </w:p>
    <w:p>
      <w:pPr>
        <w:adjustRightInd w:val="0"/>
        <w:snapToGrid w:val="0"/>
        <w:spacing w:line="264" w:lineRule="auto"/>
        <w:ind w:firstLine="360" w:firstLineChars="150"/>
        <w:jc w:val="left"/>
        <w:rPr>
          <w:rFonts w:hint="eastAsia" w:ascii="仿宋" w:hAnsi="仿宋" w:eastAsia="仿宋"/>
          <w:sz w:val="24"/>
        </w:rPr>
      </w:pPr>
      <w:r>
        <w:rPr>
          <w:rFonts w:ascii="仿宋" w:hAnsi="仿宋" w:eastAsia="仿宋"/>
          <w:sz w:val="24"/>
        </w:rPr>
        <w:t>检验项目全部</w:t>
      </w:r>
      <w:r>
        <w:rPr>
          <w:rFonts w:hint="eastAsia" w:ascii="仿宋" w:hAnsi="仿宋" w:eastAsia="仿宋"/>
          <w:sz w:val="24"/>
        </w:rPr>
        <w:t>符合明示质量要求</w:t>
      </w:r>
      <w:r>
        <w:rPr>
          <w:rFonts w:ascii="仿宋" w:hAnsi="仿宋" w:eastAsia="仿宋"/>
          <w:sz w:val="24"/>
        </w:rPr>
        <w:t>，</w:t>
      </w:r>
      <w:r>
        <w:rPr>
          <w:rFonts w:hint="eastAsia" w:ascii="仿宋" w:hAnsi="仿宋" w:eastAsia="仿宋"/>
          <w:sz w:val="24"/>
        </w:rPr>
        <w:t>且符合本细则检验项目依据的推荐性标准，判定被抽查产品为“所检项目符合本次监督抽查要求”。</w:t>
      </w:r>
    </w:p>
    <w:p>
      <w:pPr>
        <w:snapToGrid w:val="0"/>
        <w:spacing w:line="440" w:lineRule="exact"/>
        <w:rPr>
          <w:rFonts w:hint="eastAsia" w:ascii="仿宋" w:hAnsi="仿宋" w:eastAsia="仿宋"/>
          <w:b/>
          <w:bCs/>
          <w:sz w:val="24"/>
        </w:rPr>
      </w:pPr>
      <w:bookmarkStart w:id="2" w:name="_GoBack"/>
      <w:r>
        <w:rPr>
          <w:rFonts w:hint="eastAsia" w:ascii="仿宋" w:hAnsi="仿宋" w:eastAsia="仿宋"/>
          <w:b/>
          <w:bCs/>
          <w:sz w:val="24"/>
          <w:lang w:eastAsia="zh-CN"/>
        </w:rPr>
        <w:t>六、</w:t>
      </w:r>
      <w:r>
        <w:rPr>
          <w:rFonts w:hint="eastAsia" w:ascii="仿宋" w:hAnsi="仿宋" w:eastAsia="仿宋"/>
          <w:b/>
          <w:bCs/>
          <w:sz w:val="24"/>
        </w:rPr>
        <w:t xml:space="preserve"> 附则</w:t>
      </w:r>
    </w:p>
    <w:bookmarkEnd w:id="2"/>
    <w:p>
      <w:pPr>
        <w:snapToGrid w:val="0"/>
        <w:spacing w:line="440" w:lineRule="exact"/>
        <w:ind w:firstLine="480" w:firstLineChars="200"/>
        <w:rPr>
          <w:rFonts w:hint="eastAsia" w:ascii="仿宋" w:hAnsi="仿宋" w:eastAsia="仿宋"/>
          <w:sz w:val="24"/>
        </w:rPr>
      </w:pPr>
      <w:r>
        <w:rPr>
          <w:rFonts w:hint="eastAsia" w:ascii="仿宋" w:hAnsi="仿宋" w:eastAsia="仿宋"/>
          <w:sz w:val="24"/>
        </w:rPr>
        <w:t>本细则首次发布。</w:t>
      </w:r>
    </w:p>
    <w:p>
      <w:pPr>
        <w:adjustRightInd w:val="0"/>
        <w:snapToGrid w:val="0"/>
        <w:spacing w:line="264" w:lineRule="auto"/>
        <w:ind w:firstLine="360" w:firstLineChars="150"/>
        <w:jc w:val="left"/>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等线">
    <w:altName w:val="汉仪仿宋S"/>
    <w:panose1 w:val="00000000000000000000"/>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汉仪仿宋S">
    <w:panose1 w:val="00020600040101000101"/>
    <w:charset w:val="86"/>
    <w:family w:val="auto"/>
    <w:pitch w:val="default"/>
    <w:sig w:usb0="A00002BF" w:usb1="38CF7CFA" w:usb2="00000016"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445D68"/>
    <w:multiLevelType w:val="multilevel"/>
    <w:tmpl w:val="1A445D6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adjustLineHeightInTable/>
    <w:useFELayout/>
    <w:compatSetting w:name="compatibilityMode" w:uri="http://schemas.microsoft.com/office/word" w:val="12"/>
  </w:compat>
  <w:rsids>
    <w:rsidRoot w:val="007072C8"/>
    <w:rsid w:val="00012989"/>
    <w:rsid w:val="00031BC2"/>
    <w:rsid w:val="000430F6"/>
    <w:rsid w:val="00056C89"/>
    <w:rsid w:val="000A2F5B"/>
    <w:rsid w:val="000F0AD8"/>
    <w:rsid w:val="000F2162"/>
    <w:rsid w:val="00132126"/>
    <w:rsid w:val="00154DB5"/>
    <w:rsid w:val="00176773"/>
    <w:rsid w:val="001F1D3B"/>
    <w:rsid w:val="00212E4D"/>
    <w:rsid w:val="00291417"/>
    <w:rsid w:val="002D0A85"/>
    <w:rsid w:val="002E5D10"/>
    <w:rsid w:val="00356C18"/>
    <w:rsid w:val="00376CF0"/>
    <w:rsid w:val="00393194"/>
    <w:rsid w:val="003A66E5"/>
    <w:rsid w:val="003B5CFB"/>
    <w:rsid w:val="003C2212"/>
    <w:rsid w:val="004234CD"/>
    <w:rsid w:val="00461406"/>
    <w:rsid w:val="0046777F"/>
    <w:rsid w:val="00491368"/>
    <w:rsid w:val="004B6B7B"/>
    <w:rsid w:val="004E1EFE"/>
    <w:rsid w:val="004F685A"/>
    <w:rsid w:val="005117A4"/>
    <w:rsid w:val="005459F6"/>
    <w:rsid w:val="005520B4"/>
    <w:rsid w:val="00587CDB"/>
    <w:rsid w:val="00597CCF"/>
    <w:rsid w:val="005A7AA2"/>
    <w:rsid w:val="005E7DEF"/>
    <w:rsid w:val="005F349C"/>
    <w:rsid w:val="006223B0"/>
    <w:rsid w:val="00627683"/>
    <w:rsid w:val="006A4B88"/>
    <w:rsid w:val="006B22EE"/>
    <w:rsid w:val="006D2E97"/>
    <w:rsid w:val="006E05FF"/>
    <w:rsid w:val="007072C8"/>
    <w:rsid w:val="0076248E"/>
    <w:rsid w:val="007726C9"/>
    <w:rsid w:val="0077759F"/>
    <w:rsid w:val="007941D6"/>
    <w:rsid w:val="00794C0D"/>
    <w:rsid w:val="007D2D7C"/>
    <w:rsid w:val="007E521A"/>
    <w:rsid w:val="007E58C7"/>
    <w:rsid w:val="008130CE"/>
    <w:rsid w:val="008138BD"/>
    <w:rsid w:val="00835BC2"/>
    <w:rsid w:val="00841475"/>
    <w:rsid w:val="0085543B"/>
    <w:rsid w:val="008677EE"/>
    <w:rsid w:val="008B1BC2"/>
    <w:rsid w:val="008C7625"/>
    <w:rsid w:val="0091579C"/>
    <w:rsid w:val="00931293"/>
    <w:rsid w:val="009375AD"/>
    <w:rsid w:val="009417FE"/>
    <w:rsid w:val="009450EA"/>
    <w:rsid w:val="00957CCF"/>
    <w:rsid w:val="00970B44"/>
    <w:rsid w:val="009723AE"/>
    <w:rsid w:val="009B1DB3"/>
    <w:rsid w:val="009E54E0"/>
    <w:rsid w:val="009F3B0E"/>
    <w:rsid w:val="00A14DE0"/>
    <w:rsid w:val="00A41005"/>
    <w:rsid w:val="00A5063C"/>
    <w:rsid w:val="00A85D4A"/>
    <w:rsid w:val="00AF3FDF"/>
    <w:rsid w:val="00B063BC"/>
    <w:rsid w:val="00B11931"/>
    <w:rsid w:val="00B12D01"/>
    <w:rsid w:val="00B14DE4"/>
    <w:rsid w:val="00B41934"/>
    <w:rsid w:val="00B55496"/>
    <w:rsid w:val="00BB390F"/>
    <w:rsid w:val="00BE2F7C"/>
    <w:rsid w:val="00C01A51"/>
    <w:rsid w:val="00C27243"/>
    <w:rsid w:val="00C34D9B"/>
    <w:rsid w:val="00C45D44"/>
    <w:rsid w:val="00C858FC"/>
    <w:rsid w:val="00CA299D"/>
    <w:rsid w:val="00CA6059"/>
    <w:rsid w:val="00CB72DB"/>
    <w:rsid w:val="00CE5E64"/>
    <w:rsid w:val="00D0213F"/>
    <w:rsid w:val="00D312A9"/>
    <w:rsid w:val="00D6590F"/>
    <w:rsid w:val="00DC045C"/>
    <w:rsid w:val="00DC2764"/>
    <w:rsid w:val="00E04B24"/>
    <w:rsid w:val="00E64751"/>
    <w:rsid w:val="00EF4866"/>
    <w:rsid w:val="00F15467"/>
    <w:rsid w:val="00F2324B"/>
    <w:rsid w:val="00F25110"/>
    <w:rsid w:val="00F276C3"/>
    <w:rsid w:val="00F32585"/>
    <w:rsid w:val="00F365C8"/>
    <w:rsid w:val="00FB2F61"/>
    <w:rsid w:val="00FB3FDF"/>
    <w:rsid w:val="00FB4A09"/>
    <w:rsid w:val="00FC417C"/>
    <w:rsid w:val="00FD64FD"/>
    <w:rsid w:val="04020B22"/>
    <w:rsid w:val="0449689E"/>
    <w:rsid w:val="059348DA"/>
    <w:rsid w:val="09E21360"/>
    <w:rsid w:val="0D8D53DF"/>
    <w:rsid w:val="0FD966EE"/>
    <w:rsid w:val="136C4563"/>
    <w:rsid w:val="1C3A2D85"/>
    <w:rsid w:val="31421D53"/>
    <w:rsid w:val="433836FB"/>
    <w:rsid w:val="50B43C38"/>
    <w:rsid w:val="61F536DE"/>
    <w:rsid w:val="634520EC"/>
    <w:rsid w:val="645314A2"/>
    <w:rsid w:val="66632315"/>
    <w:rsid w:val="6FEC4F07"/>
    <w:rsid w:val="76BB2FD7"/>
    <w:rsid w:val="7EBD2AC8"/>
    <w:rsid w:val="FD27E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3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1"/>
    <w:unhideWhenUsed/>
    <w:qFormat/>
    <w:uiPriority w:val="99"/>
    <w:pPr>
      <w:spacing w:after="120"/>
      <w:ind w:left="420" w:leftChars="200"/>
    </w:pPr>
    <w:rPr>
      <w:kern w:val="0"/>
      <w:sz w:val="20"/>
    </w:rPr>
  </w:style>
  <w:style w:type="paragraph" w:styleId="3">
    <w:name w:val="Plain Text"/>
    <w:basedOn w:val="1"/>
    <w:link w:val="12"/>
    <w:qFormat/>
    <w:uiPriority w:val="0"/>
    <w:rPr>
      <w:rFonts w:ascii="宋体" w:hAnsi="Courier New"/>
      <w:kern w:val="0"/>
      <w:sz w:val="20"/>
      <w:szCs w:val="20"/>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qFormat/>
    <w:uiPriority w:val="0"/>
  </w:style>
  <w:style w:type="paragraph" w:customStyle="1" w:styleId="10">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1">
    <w:name w:val="正文文本缩进 Char"/>
    <w:link w:val="2"/>
    <w:qFormat/>
    <w:uiPriority w:val="99"/>
    <w:rPr>
      <w:rFonts w:ascii="Times New Roman" w:hAnsi="Times New Roman" w:eastAsia="宋体" w:cs="Times New Roman"/>
      <w:szCs w:val="24"/>
    </w:rPr>
  </w:style>
  <w:style w:type="character" w:customStyle="1" w:styleId="12">
    <w:name w:val="纯文本 Char"/>
    <w:link w:val="3"/>
    <w:qFormat/>
    <w:uiPriority w:val="0"/>
    <w:rPr>
      <w:rFonts w:ascii="宋体" w:hAnsi="Courier New"/>
    </w:rPr>
  </w:style>
  <w:style w:type="character" w:customStyle="1" w:styleId="13">
    <w:name w:val="纯文本 字符1"/>
    <w:semiHidden/>
    <w:qFormat/>
    <w:uiPriority w:val="99"/>
    <w:rPr>
      <w:rFonts w:ascii="等线" w:hAnsi="Courier New" w:cs="Courier New"/>
      <w:szCs w:val="24"/>
    </w:rPr>
  </w:style>
  <w:style w:type="character" w:customStyle="1" w:styleId="14">
    <w:name w:val="页眉 Char"/>
    <w:link w:val="5"/>
    <w:qFormat/>
    <w:uiPriority w:val="99"/>
    <w:rPr>
      <w:rFonts w:ascii="Times New Roman" w:hAnsi="Times New Roman" w:eastAsia="宋体" w:cs="Times New Roman"/>
      <w:kern w:val="2"/>
      <w:sz w:val="18"/>
      <w:szCs w:val="18"/>
    </w:rPr>
  </w:style>
  <w:style w:type="character" w:customStyle="1" w:styleId="15">
    <w:name w:val="页脚 Char"/>
    <w:link w:val="4"/>
    <w:qFormat/>
    <w:uiPriority w:val="99"/>
    <w:rPr>
      <w:rFonts w:ascii="Times New Roman" w:hAnsi="Times New Roman" w:eastAsia="宋体" w:cs="Times New Roman"/>
      <w:kern w:val="2"/>
      <w:sz w:val="18"/>
      <w:szCs w:val="18"/>
    </w:rPr>
  </w:style>
  <w:style w:type="character" w:customStyle="1" w:styleId="16">
    <w:name w:val="纯文本 Char1"/>
    <w:qFormat/>
    <w:locked/>
    <w:uiPriority w:val="0"/>
    <w:rPr>
      <w:rFonts w:ascii="宋体" w:hAnsi="Courier New" w:eastAsia="宋体" w:cs="宋体"/>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155</Words>
  <Characters>884</Characters>
  <Lines>7</Lines>
  <Paragraphs>2</Paragraphs>
  <TotalTime>0</TotalTime>
  <ScaleCrop>false</ScaleCrop>
  <LinksUpToDate>false</LinksUpToDate>
  <CharactersWithSpaces>1037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2023-03-29T16:55:00Z</dcterms:created>
  <dc:creator>范 文佳</dc:creator>
  <cp:lastModifiedBy>user</cp:lastModifiedBy>
  <dcterms:modified xsi:type="dcterms:W3CDTF">2023-06-20T09:19:06Z</dcterms:modified>
  <dc:title>2021年杭州市流通领域(网络)</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