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黑体" w:eastAsia="方正小标宋_GBK" w:cs="方正仿宋简体"/>
          <w:b w:val="0"/>
          <w:bCs w:val="0"/>
          <w:color w:val="000000"/>
          <w:sz w:val="36"/>
          <w:szCs w:val="36"/>
          <w:lang w:eastAsia="zh-CN"/>
        </w:rPr>
      </w:pPr>
      <w:r>
        <w:rPr>
          <w:rFonts w:hint="eastAsia" w:ascii="方正小标宋_GBK" w:hAnsi="黑体" w:eastAsia="方正小标宋_GBK" w:cs="方正仿宋简体"/>
          <w:b w:val="0"/>
          <w:bCs w:val="0"/>
          <w:color w:val="000000"/>
          <w:sz w:val="36"/>
          <w:szCs w:val="36"/>
        </w:rPr>
        <w:t>2023年台州</w:t>
      </w:r>
      <w:r>
        <w:rPr>
          <w:rFonts w:hint="eastAsia" w:ascii="方正小标宋_GBK" w:hAnsi="黑体" w:eastAsia="方正小标宋_GBK" w:cs="方正仿宋简体"/>
          <w:b w:val="0"/>
          <w:bCs w:val="0"/>
          <w:color w:val="000000"/>
          <w:sz w:val="36"/>
          <w:szCs w:val="36"/>
          <w:lang w:eastAsia="zh-CN"/>
        </w:rPr>
        <w:t>市</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家用燃气灶具产品质量监督抽查实施细则</w:t>
      </w:r>
    </w:p>
    <w:p>
      <w:pPr>
        <w:adjustRightInd w:val="0"/>
        <w:snapToGrid w:val="0"/>
        <w:spacing w:line="360" w:lineRule="auto"/>
        <w:ind w:firstLine="421" w:firstLineChars="200"/>
        <w:jc w:val="left"/>
        <w:rPr>
          <w:rFonts w:hint="eastAsia" w:ascii="Times New Roman" w:hAnsi="Times New Roman" w:eastAsia="宋体" w:cs="Times New Roman"/>
          <w:b/>
          <w:bCs/>
          <w:color w:val="000000"/>
          <w:kern w:val="2"/>
          <w:sz w:val="21"/>
          <w:szCs w:val="21"/>
          <w:lang w:val="en-US" w:eastAsia="zh-CN" w:bidi="ar-SA"/>
        </w:rPr>
      </w:pPr>
      <w:bookmarkStart w:id="0" w:name="_Hlk95300558"/>
      <w:r>
        <w:rPr>
          <w:rFonts w:hint="eastAsia" w:cs="Times New Roman"/>
          <w:b/>
          <w:bCs/>
          <w:color w:val="000000"/>
          <w:kern w:val="2"/>
          <w:sz w:val="21"/>
          <w:szCs w:val="21"/>
          <w:lang w:val="en-US" w:eastAsia="zh-CN" w:bidi="ar-SA"/>
        </w:rPr>
        <w:t>一、</w:t>
      </w:r>
      <w:r>
        <w:rPr>
          <w:rFonts w:hint="eastAsia" w:ascii="Times New Roman" w:hAnsi="Times New Roman" w:eastAsia="宋体" w:cs="Times New Roman"/>
          <w:b/>
          <w:bCs/>
          <w:color w:val="000000"/>
          <w:kern w:val="2"/>
          <w:sz w:val="21"/>
          <w:szCs w:val="21"/>
          <w:lang w:val="en-US" w:eastAsia="zh-CN" w:bidi="ar-SA"/>
        </w:rPr>
        <w:t>适用范围</w:t>
      </w:r>
    </w:p>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本实施细则适用于在XXX地区内家用燃气灶具产品质量的监督抽查，不含集成灶。</w:t>
      </w:r>
    </w:p>
    <w:bookmarkEnd w:id="0"/>
    <w:p>
      <w:pPr>
        <w:adjustRightInd w:val="0"/>
        <w:snapToGrid w:val="0"/>
        <w:spacing w:line="360" w:lineRule="auto"/>
        <w:ind w:firstLine="421" w:firstLineChars="200"/>
        <w:jc w:val="left"/>
        <w:rPr>
          <w:rFonts w:hint="eastAsia" w:ascii="Times New Roman" w:hAnsi="Times New Roman" w:eastAsia="宋体" w:cs="Times New Roman"/>
          <w:b/>
          <w:bCs/>
          <w:color w:val="000000"/>
          <w:kern w:val="2"/>
          <w:sz w:val="21"/>
          <w:szCs w:val="21"/>
          <w:lang w:val="en-US" w:eastAsia="zh-CN" w:bidi="ar-SA"/>
        </w:rPr>
      </w:pPr>
      <w:bookmarkStart w:id="1" w:name="_Hlk95300595"/>
      <w:r>
        <w:rPr>
          <w:rFonts w:hint="eastAsia" w:ascii="Times New Roman" w:hAnsi="Times New Roman" w:eastAsia="宋体" w:cs="Times New Roman"/>
          <w:b/>
          <w:bCs/>
          <w:color w:val="000000"/>
          <w:kern w:val="2"/>
          <w:sz w:val="21"/>
          <w:szCs w:val="21"/>
          <w:lang w:val="en-US" w:eastAsia="zh-CN" w:bidi="ar-SA"/>
        </w:rPr>
        <w:t>二、检验依据</w:t>
      </w:r>
    </w:p>
    <w:bookmarkEnd w:id="1"/>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GB 16410-2020 《家用燃气灶具》</w:t>
      </w:r>
    </w:p>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GB 30720-2014 《家用燃气灶具能效限定值及能效等级》</w:t>
      </w:r>
    </w:p>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现行有效的企业标准、团体标准、地方标准及产品明示质量要求</w:t>
      </w:r>
    </w:p>
    <w:p>
      <w:pPr>
        <w:adjustRightInd w:val="0"/>
        <w:snapToGrid w:val="0"/>
        <w:spacing w:line="360" w:lineRule="auto"/>
        <w:ind w:firstLine="421" w:firstLineChars="200"/>
        <w:jc w:val="left"/>
        <w:rPr>
          <w:rFonts w:hint="eastAsia" w:ascii="Times New Roman" w:hAnsi="Times New Roman" w:eastAsia="宋体" w:cs="Times New Roman"/>
          <w:b/>
          <w:bCs/>
          <w:color w:val="000000"/>
          <w:kern w:val="2"/>
          <w:sz w:val="21"/>
          <w:szCs w:val="21"/>
          <w:lang w:val="en-US" w:eastAsia="zh-CN" w:bidi="ar-SA"/>
        </w:rPr>
      </w:pPr>
      <w:r>
        <w:rPr>
          <w:rFonts w:hint="eastAsia" w:ascii="Times New Roman" w:hAnsi="Times New Roman" w:eastAsia="宋体" w:cs="Times New Roman"/>
          <w:b/>
          <w:bCs/>
          <w:color w:val="000000"/>
          <w:kern w:val="2"/>
          <w:sz w:val="21"/>
          <w:szCs w:val="21"/>
          <w:lang w:val="en-US" w:eastAsia="zh-CN" w:bidi="ar-SA"/>
        </w:rPr>
        <w:t>三、抽样方法</w:t>
      </w:r>
    </w:p>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以随机抽样的方式在被抽样销售者的待销产品中抽取。</w:t>
      </w:r>
    </w:p>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随机数一般可使用随机数表等方法产生。</w:t>
      </w:r>
    </w:p>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每批次抽取样品2台，其中1台为检验样品，1台作为备用样品。</w:t>
      </w:r>
    </w:p>
    <w:p>
      <w:pPr>
        <w:adjustRightInd w:val="0"/>
        <w:snapToGrid w:val="0"/>
        <w:spacing w:line="360" w:lineRule="auto"/>
        <w:ind w:firstLine="421" w:firstLineChars="200"/>
        <w:jc w:val="left"/>
        <w:rPr>
          <w:rFonts w:hint="eastAsia" w:ascii="Times New Roman" w:hAnsi="Times New Roman" w:eastAsia="宋体" w:cs="Times New Roman"/>
          <w:b/>
          <w:bCs/>
          <w:color w:val="000000"/>
          <w:kern w:val="2"/>
          <w:sz w:val="21"/>
          <w:szCs w:val="21"/>
          <w:lang w:val="en-US" w:eastAsia="zh-CN" w:bidi="ar-SA"/>
        </w:rPr>
      </w:pPr>
      <w:r>
        <w:rPr>
          <w:rFonts w:hint="eastAsia" w:ascii="Times New Roman" w:hAnsi="Times New Roman" w:eastAsia="宋体" w:cs="Times New Roman"/>
          <w:b/>
          <w:bCs/>
          <w:color w:val="000000"/>
          <w:kern w:val="2"/>
          <w:sz w:val="21"/>
          <w:szCs w:val="21"/>
          <w:lang w:val="en-US" w:eastAsia="zh-CN" w:bidi="ar-SA"/>
        </w:rPr>
        <w:t>四、检验项目</w:t>
      </w:r>
    </w:p>
    <w:p>
      <w:pPr>
        <w:snapToGrid w:val="0"/>
        <w:spacing w:line="440" w:lineRule="exact"/>
        <w:jc w:val="center"/>
        <w:outlineLvl w:val="0"/>
        <w:rPr>
          <w:rFonts w:eastAsia="黑体"/>
          <w:color w:val="000000"/>
          <w:szCs w:val="21"/>
        </w:rPr>
      </w:pPr>
      <w:r>
        <w:rPr>
          <w:rFonts w:hint="eastAsia" w:eastAsia="黑体"/>
          <w:color w:val="000000"/>
          <w:szCs w:val="21"/>
        </w:rPr>
        <w:t>明示执行标准为</w:t>
      </w:r>
      <w:r>
        <w:rPr>
          <w:rFonts w:hint="eastAsia"/>
        </w:rPr>
        <w:t>GB 16410-2020</w:t>
      </w:r>
      <w:r>
        <w:rPr>
          <w:rFonts w:hint="eastAsia" w:eastAsia="黑体"/>
          <w:color w:val="000000"/>
          <w:szCs w:val="21"/>
        </w:rPr>
        <w:t>的家用燃气灶具</w:t>
      </w:r>
    </w:p>
    <w:tbl>
      <w:tblPr>
        <w:tblStyle w:val="7"/>
        <w:tblW w:w="725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2"/>
        <w:gridCol w:w="3157"/>
        <w:gridCol w:w="338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jc w:val="center"/>
              <w:rPr>
                <w:rFonts w:ascii="宋体"/>
                <w:b/>
              </w:rPr>
            </w:pPr>
            <w:r>
              <w:rPr>
                <w:rFonts w:hint="eastAsia" w:ascii="宋体"/>
                <w:b/>
              </w:rPr>
              <w:t>序号</w:t>
            </w:r>
          </w:p>
        </w:tc>
        <w:tc>
          <w:tcPr>
            <w:tcW w:w="3157" w:type="dxa"/>
            <w:vAlign w:val="center"/>
          </w:tcPr>
          <w:p>
            <w:pPr>
              <w:jc w:val="center"/>
              <w:rPr>
                <w:rFonts w:ascii="宋体"/>
                <w:b/>
              </w:rPr>
            </w:pPr>
            <w:r>
              <w:rPr>
                <w:rFonts w:hint="eastAsia" w:ascii="宋体"/>
                <w:b/>
              </w:rPr>
              <w:t>检验</w:t>
            </w:r>
            <w:r>
              <w:rPr>
                <w:rFonts w:ascii="宋体"/>
                <w:b/>
              </w:rPr>
              <w:t>项目</w:t>
            </w:r>
          </w:p>
        </w:tc>
        <w:tc>
          <w:tcPr>
            <w:tcW w:w="3384" w:type="dxa"/>
            <w:vAlign w:val="center"/>
          </w:tcPr>
          <w:p>
            <w:pPr>
              <w:jc w:val="center"/>
              <w:rPr>
                <w:rFonts w:ascii="宋体"/>
                <w:b/>
              </w:rPr>
            </w:pPr>
            <w:r>
              <w:rPr>
                <w:rFonts w:hint="eastAsia" w:ascii="宋体"/>
                <w:b/>
              </w:rPr>
              <w:t>检验方法</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1</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标志</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2</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安装使用说明</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3</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包装</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4</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结构</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5</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气密性</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6</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热负荷</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7</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燃烧工况</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8</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温升</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9</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耐热冲击</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10</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耐重力冲击</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11</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熄火保护装置</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12</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电点火装置</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 xml:space="preserve">GB 16410-2020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13</w:t>
            </w:r>
          </w:p>
        </w:tc>
        <w:tc>
          <w:tcPr>
            <w:tcW w:w="3157" w:type="dxa"/>
            <w:vAlign w:val="center"/>
          </w:tcPr>
          <w:p>
            <w:pPr>
              <w:pStyle w:val="3"/>
              <w:jc w:val="left"/>
              <w:rPr>
                <w:rFonts w:ascii="仿宋" w:hAnsi="仿宋" w:eastAsia="仿宋"/>
                <w:color w:val="000000"/>
                <w:kern w:val="2"/>
                <w:sz w:val="24"/>
                <w:szCs w:val="24"/>
              </w:rPr>
            </w:pPr>
            <w:r>
              <w:rPr>
                <w:rFonts w:hint="eastAsia" w:ascii="仿宋" w:hAnsi="仿宋" w:eastAsia="仿宋"/>
                <w:color w:val="000000"/>
                <w:kern w:val="2"/>
                <w:sz w:val="24"/>
                <w:szCs w:val="24"/>
              </w:rPr>
              <w:t>使用性能（热效率）</w:t>
            </w:r>
          </w:p>
        </w:tc>
        <w:tc>
          <w:tcPr>
            <w:tcW w:w="3384" w:type="dxa"/>
            <w:vAlign w:val="center"/>
          </w:tcPr>
          <w:p>
            <w:pPr>
              <w:pStyle w:val="3"/>
              <w:jc w:val="center"/>
              <w:rPr>
                <w:rFonts w:ascii="仿宋" w:hAnsi="仿宋" w:eastAsia="仿宋"/>
                <w:color w:val="000000"/>
                <w:kern w:val="2"/>
                <w:sz w:val="24"/>
                <w:szCs w:val="24"/>
              </w:rPr>
            </w:pPr>
            <w:r>
              <w:rPr>
                <w:rFonts w:hint="eastAsia" w:ascii="仿宋" w:hAnsi="仿宋" w:eastAsia="仿宋"/>
                <w:color w:val="000000"/>
                <w:kern w:val="2"/>
                <w:sz w:val="24"/>
                <w:szCs w:val="24"/>
              </w:rPr>
              <w:t>GB 30720-2014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left"/>
              <w:rPr>
                <w:rFonts w:hint="eastAsia" w:ascii="仿宋" w:hAnsi="仿宋" w:eastAsia="仿宋"/>
                <w:color w:val="000000"/>
                <w:kern w:val="2"/>
                <w:sz w:val="24"/>
                <w:szCs w:val="24"/>
              </w:rPr>
            </w:pPr>
            <w:r>
              <w:rPr>
                <w:rFonts w:hint="eastAsia" w:ascii="仿宋" w:hAnsi="仿宋" w:eastAsia="仿宋"/>
                <w:color w:val="000000"/>
                <w:kern w:val="2"/>
                <w:sz w:val="24"/>
                <w:szCs w:val="24"/>
              </w:rPr>
              <w:t>14</w:t>
            </w:r>
          </w:p>
        </w:tc>
        <w:tc>
          <w:tcPr>
            <w:tcW w:w="3157" w:type="dxa"/>
            <w:vAlign w:val="center"/>
          </w:tcPr>
          <w:p>
            <w:pPr>
              <w:pStyle w:val="3"/>
              <w:jc w:val="left"/>
              <w:rPr>
                <w:rFonts w:hint="eastAsia" w:ascii="仿宋" w:hAnsi="仿宋" w:eastAsia="仿宋"/>
                <w:color w:val="000000"/>
                <w:kern w:val="2"/>
                <w:sz w:val="24"/>
                <w:szCs w:val="24"/>
              </w:rPr>
            </w:pPr>
            <w:r>
              <w:rPr>
                <w:rFonts w:hint="eastAsia" w:ascii="仿宋" w:hAnsi="仿宋" w:eastAsia="仿宋"/>
                <w:color w:val="000000"/>
                <w:kern w:val="2"/>
                <w:sz w:val="24"/>
                <w:szCs w:val="24"/>
              </w:rPr>
              <w:t>电气性能</w:t>
            </w:r>
          </w:p>
        </w:tc>
        <w:tc>
          <w:tcPr>
            <w:tcW w:w="3384" w:type="dxa"/>
            <w:vAlign w:val="center"/>
          </w:tcPr>
          <w:p>
            <w:pPr>
              <w:pStyle w:val="3"/>
              <w:jc w:val="left"/>
              <w:rPr>
                <w:rFonts w:hint="eastAsia" w:ascii="仿宋" w:hAnsi="仿宋" w:eastAsia="仿宋"/>
                <w:color w:val="000000"/>
                <w:kern w:val="2"/>
                <w:sz w:val="24"/>
                <w:szCs w:val="24"/>
              </w:rPr>
            </w:pPr>
            <w:r>
              <w:rPr>
                <w:rFonts w:hint="eastAsia" w:ascii="仿宋" w:hAnsi="仿宋" w:eastAsia="仿宋"/>
                <w:color w:val="000000"/>
                <w:kern w:val="2"/>
                <w:sz w:val="24"/>
                <w:szCs w:val="24"/>
              </w:rPr>
              <w:t>GB 16410-2020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9" w:hRule="atLeast"/>
          <w:jc w:val="center"/>
        </w:trPr>
        <w:tc>
          <w:tcPr>
            <w:tcW w:w="712" w:type="dxa"/>
            <w:vAlign w:val="center"/>
          </w:tcPr>
          <w:p>
            <w:pPr>
              <w:pStyle w:val="3"/>
              <w:jc w:val="left"/>
              <w:rPr>
                <w:rFonts w:hint="eastAsia" w:ascii="仿宋" w:hAnsi="仿宋" w:eastAsia="仿宋"/>
                <w:color w:val="000000"/>
                <w:kern w:val="2"/>
                <w:sz w:val="24"/>
                <w:szCs w:val="24"/>
                <w:lang w:val="en-US" w:eastAsia="zh-CN"/>
              </w:rPr>
            </w:pPr>
            <w:r>
              <w:rPr>
                <w:rFonts w:hint="eastAsia" w:ascii="仿宋" w:hAnsi="仿宋" w:eastAsia="仿宋"/>
                <w:color w:val="000000"/>
                <w:kern w:val="2"/>
                <w:sz w:val="24"/>
                <w:szCs w:val="24"/>
                <w:lang w:val="en-US" w:eastAsia="zh-CN"/>
              </w:rPr>
              <w:t>15</w:t>
            </w:r>
          </w:p>
        </w:tc>
        <w:tc>
          <w:tcPr>
            <w:tcW w:w="3157" w:type="dxa"/>
            <w:vAlign w:val="center"/>
          </w:tcPr>
          <w:p>
            <w:pPr>
              <w:pStyle w:val="3"/>
              <w:jc w:val="left"/>
              <w:rPr>
                <w:rFonts w:hint="eastAsia" w:ascii="仿宋" w:hAnsi="仿宋" w:eastAsia="仿宋"/>
                <w:color w:val="000000"/>
                <w:kern w:val="2"/>
                <w:sz w:val="24"/>
                <w:szCs w:val="24"/>
                <w:lang w:val="en-US" w:eastAsia="zh-CN"/>
              </w:rPr>
            </w:pPr>
            <w:r>
              <w:rPr>
                <w:rFonts w:hint="eastAsia" w:ascii="仿宋" w:hAnsi="仿宋" w:eastAsia="仿宋"/>
                <w:color w:val="000000"/>
                <w:kern w:val="2"/>
                <w:sz w:val="24"/>
                <w:szCs w:val="24"/>
                <w:lang w:val="en-US" w:eastAsia="zh-CN"/>
              </w:rPr>
              <w:t>材料（燃烧器火孔部位材料）</w:t>
            </w:r>
          </w:p>
        </w:tc>
        <w:tc>
          <w:tcPr>
            <w:tcW w:w="3384" w:type="dxa"/>
            <w:vAlign w:val="center"/>
          </w:tcPr>
          <w:p>
            <w:pPr>
              <w:pStyle w:val="3"/>
              <w:jc w:val="left"/>
              <w:rPr>
                <w:rFonts w:hint="eastAsia" w:ascii="仿宋" w:hAnsi="仿宋" w:eastAsia="仿宋"/>
                <w:color w:val="000000"/>
                <w:kern w:val="2"/>
                <w:sz w:val="24"/>
                <w:szCs w:val="24"/>
                <w:lang w:val="en-US" w:eastAsia="zh-CN"/>
              </w:rPr>
            </w:pPr>
            <w:r>
              <w:rPr>
                <w:rFonts w:hint="eastAsia" w:ascii="仿宋" w:hAnsi="仿宋" w:eastAsia="仿宋"/>
                <w:color w:val="000000"/>
                <w:kern w:val="2"/>
                <w:sz w:val="24"/>
                <w:szCs w:val="24"/>
                <w:lang w:val="en-US" w:eastAsia="zh-CN"/>
              </w:rPr>
              <w:t>GB 16410-2020</w:t>
            </w:r>
          </w:p>
        </w:tc>
      </w:tr>
    </w:tbl>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执行其他标准的产品，检验项目参照上述内容执行。</w:t>
      </w:r>
    </w:p>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20" w:firstLineChars="20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复检时所检测的样品为备用样品。</w:t>
      </w:r>
    </w:p>
    <w:p>
      <w:pPr>
        <w:adjustRightInd w:val="0"/>
        <w:snapToGrid w:val="0"/>
        <w:spacing w:line="360" w:lineRule="auto"/>
        <w:jc w:val="left"/>
        <w:rPr>
          <w:rFonts w:hint="eastAsia" w:ascii="Times New Roman" w:hAnsi="Times New Roman" w:eastAsia="宋体" w:cs="Times New Roman"/>
          <w:b/>
          <w:bCs/>
          <w:color w:val="000000"/>
          <w:kern w:val="2"/>
          <w:sz w:val="21"/>
          <w:szCs w:val="21"/>
          <w:lang w:val="en-US" w:eastAsia="zh-CN" w:bidi="ar-SA"/>
        </w:rPr>
      </w:pPr>
      <w:r>
        <w:rPr>
          <w:rFonts w:hint="eastAsia" w:ascii="Times New Roman" w:hAnsi="Times New Roman" w:eastAsia="宋体" w:cs="Times New Roman"/>
          <w:b/>
          <w:bCs/>
          <w:color w:val="000000"/>
          <w:kern w:val="2"/>
          <w:sz w:val="21"/>
          <w:szCs w:val="21"/>
          <w:lang w:val="en-US" w:eastAsia="zh-CN" w:bidi="ar-SA"/>
        </w:rPr>
        <w:t>五、 判定规则</w:t>
      </w:r>
    </w:p>
    <w:p>
      <w:pPr>
        <w:adjustRightInd w:val="0"/>
        <w:snapToGrid w:val="0"/>
        <w:spacing w:line="440" w:lineRule="exact"/>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5.1 判定原则</w:t>
      </w:r>
    </w:p>
    <w:p>
      <w:pPr>
        <w:adjustRightInd w:val="0"/>
        <w:snapToGrid w:val="0"/>
        <w:spacing w:line="440" w:lineRule="exact"/>
        <w:ind w:firstLine="420" w:firstLineChars="200"/>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20" w:firstLineChars="200"/>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5.2 综合结论判定</w:t>
      </w:r>
    </w:p>
    <w:p>
      <w:pPr>
        <w:snapToGrid w:val="0"/>
        <w:spacing w:line="440" w:lineRule="exact"/>
        <w:ind w:firstLine="420" w:firstLineChars="200"/>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经检验，检验项目中任一项或一项以上不合格，判定被抽查产品为“不合格”；</w:t>
      </w:r>
    </w:p>
    <w:p>
      <w:pPr>
        <w:snapToGrid w:val="0"/>
        <w:spacing w:line="440" w:lineRule="exact"/>
        <w:ind w:firstLine="420" w:firstLineChars="200"/>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检验项目全部符合明示质量要求，但不符合本细则检验项目依据的推荐性标准，判定被抽查产品“所检项目符合企业标准，未达到国家、行业、地方标准规定”；</w:t>
      </w:r>
    </w:p>
    <w:p>
      <w:pPr>
        <w:adjustRightInd w:val="0"/>
        <w:snapToGrid w:val="0"/>
        <w:spacing w:line="264" w:lineRule="auto"/>
        <w:ind w:firstLine="315" w:firstLineChars="150"/>
        <w:jc w:val="left"/>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检验项目全部符合明示质量要求，且符合本细则检验项目依据的推荐性标准，判定被抽查产品为“所检项目符合本次监督抽查要求”。</w:t>
      </w:r>
    </w:p>
    <w:p>
      <w:pPr>
        <w:adjustRightInd w:val="0"/>
        <w:snapToGrid w:val="0"/>
        <w:spacing w:line="264" w:lineRule="auto"/>
        <w:ind w:firstLine="315" w:firstLineChars="150"/>
        <w:jc w:val="left"/>
        <w:rPr>
          <w:rFonts w:hint="eastAsia" w:ascii="Times New Roman" w:hAnsi="Times New Roman" w:eastAsia="宋体" w:cs="Times New Roman"/>
          <w:color w:val="000000"/>
          <w:kern w:val="2"/>
          <w:sz w:val="21"/>
          <w:szCs w:val="21"/>
          <w:lang w:val="en-US" w:eastAsia="zh-CN" w:bidi="ar-SA"/>
        </w:rPr>
      </w:pPr>
      <w:bookmarkStart w:id="2" w:name="_GoBack"/>
      <w:bookmarkEnd w:id="2"/>
    </w:p>
    <w:p>
      <w:pPr>
        <w:adjustRightInd w:val="0"/>
        <w:snapToGrid w:val="0"/>
        <w:spacing w:line="360" w:lineRule="auto"/>
        <w:jc w:val="left"/>
        <w:rPr>
          <w:rFonts w:hint="eastAsia" w:ascii="Times New Roman" w:hAnsi="Times New Roman" w:eastAsia="宋体" w:cs="Times New Roman"/>
          <w:b/>
          <w:bCs/>
          <w:color w:val="000000"/>
          <w:kern w:val="2"/>
          <w:sz w:val="21"/>
          <w:szCs w:val="21"/>
          <w:lang w:val="en-US" w:eastAsia="zh-CN" w:bidi="ar-SA"/>
        </w:rPr>
      </w:pPr>
      <w:r>
        <w:rPr>
          <w:rFonts w:hint="eastAsia" w:ascii="Times New Roman" w:hAnsi="Times New Roman" w:eastAsia="宋体" w:cs="Times New Roman"/>
          <w:b/>
          <w:bCs/>
          <w:color w:val="000000"/>
          <w:kern w:val="2"/>
          <w:sz w:val="21"/>
          <w:szCs w:val="21"/>
          <w:lang w:val="en-US" w:eastAsia="zh-CN" w:bidi="ar-SA"/>
        </w:rPr>
        <w:t>6 附则</w:t>
      </w:r>
    </w:p>
    <w:p>
      <w:pPr>
        <w:spacing w:line="440" w:lineRule="exact"/>
        <w:ind w:firstLine="420" w:firstLineChars="200"/>
        <w:rPr>
          <w:color w:val="000000"/>
          <w:szCs w:val="21"/>
        </w:rPr>
      </w:pPr>
      <w:r>
        <w:rPr>
          <w:rFonts w:hint="eastAsia"/>
          <w:color w:val="000000"/>
          <w:szCs w:val="21"/>
        </w:rPr>
        <w:t>本细则首次发布。</w:t>
      </w:r>
    </w:p>
    <w:p>
      <w:pPr>
        <w:adjustRightInd w:val="0"/>
        <w:snapToGrid w:val="0"/>
        <w:spacing w:line="264" w:lineRule="auto"/>
        <w:ind w:firstLine="360" w:firstLineChars="150"/>
        <w:jc w:val="left"/>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汉仪仿宋S">
    <w:panose1 w:val="00020600040101000101"/>
    <w:charset w:val="86"/>
    <w:family w:val="auto"/>
    <w:pitch w:val="default"/>
    <w:sig w:usb0="A00002BF" w:usb1="38C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31BC2"/>
    <w:rsid w:val="000430F6"/>
    <w:rsid w:val="00056C89"/>
    <w:rsid w:val="000A2F5B"/>
    <w:rsid w:val="000F0AD8"/>
    <w:rsid w:val="00132126"/>
    <w:rsid w:val="00154DB5"/>
    <w:rsid w:val="00176773"/>
    <w:rsid w:val="00193E0E"/>
    <w:rsid w:val="001F1D3B"/>
    <w:rsid w:val="00212E4D"/>
    <w:rsid w:val="002214B0"/>
    <w:rsid w:val="00291417"/>
    <w:rsid w:val="002D0A85"/>
    <w:rsid w:val="002E5D10"/>
    <w:rsid w:val="003139E1"/>
    <w:rsid w:val="00356C18"/>
    <w:rsid w:val="00393194"/>
    <w:rsid w:val="003A66E5"/>
    <w:rsid w:val="003C2212"/>
    <w:rsid w:val="004234CD"/>
    <w:rsid w:val="00461406"/>
    <w:rsid w:val="0046777F"/>
    <w:rsid w:val="00491368"/>
    <w:rsid w:val="004B6B7B"/>
    <w:rsid w:val="004E1EFE"/>
    <w:rsid w:val="004F685A"/>
    <w:rsid w:val="005117A4"/>
    <w:rsid w:val="005459F6"/>
    <w:rsid w:val="00587CDB"/>
    <w:rsid w:val="00597CCF"/>
    <w:rsid w:val="005A7AA2"/>
    <w:rsid w:val="005E7DEF"/>
    <w:rsid w:val="005F349C"/>
    <w:rsid w:val="006223B0"/>
    <w:rsid w:val="00627683"/>
    <w:rsid w:val="006614C6"/>
    <w:rsid w:val="006A4B88"/>
    <w:rsid w:val="006B22EE"/>
    <w:rsid w:val="006D2E97"/>
    <w:rsid w:val="007072C8"/>
    <w:rsid w:val="0076248E"/>
    <w:rsid w:val="007726C9"/>
    <w:rsid w:val="0077759F"/>
    <w:rsid w:val="007941D6"/>
    <w:rsid w:val="00794C0D"/>
    <w:rsid w:val="007D2D7C"/>
    <w:rsid w:val="007E521A"/>
    <w:rsid w:val="008130CE"/>
    <w:rsid w:val="008138BD"/>
    <w:rsid w:val="00835BC2"/>
    <w:rsid w:val="0085543B"/>
    <w:rsid w:val="008677EE"/>
    <w:rsid w:val="008B1BC2"/>
    <w:rsid w:val="008C7625"/>
    <w:rsid w:val="0091579C"/>
    <w:rsid w:val="00931293"/>
    <w:rsid w:val="009375AD"/>
    <w:rsid w:val="009450EA"/>
    <w:rsid w:val="00957CCF"/>
    <w:rsid w:val="009723AE"/>
    <w:rsid w:val="009B1DB3"/>
    <w:rsid w:val="009E54E0"/>
    <w:rsid w:val="009F3B0E"/>
    <w:rsid w:val="00A14DE0"/>
    <w:rsid w:val="00A41005"/>
    <w:rsid w:val="00A85D4A"/>
    <w:rsid w:val="00B063BC"/>
    <w:rsid w:val="00B11931"/>
    <w:rsid w:val="00B12D01"/>
    <w:rsid w:val="00B14DE4"/>
    <w:rsid w:val="00B41934"/>
    <w:rsid w:val="00BB390F"/>
    <w:rsid w:val="00C01A51"/>
    <w:rsid w:val="00C27243"/>
    <w:rsid w:val="00C34D9B"/>
    <w:rsid w:val="00C45D44"/>
    <w:rsid w:val="00CA299D"/>
    <w:rsid w:val="00CA6059"/>
    <w:rsid w:val="00CB72DB"/>
    <w:rsid w:val="00CE5E64"/>
    <w:rsid w:val="00D0213F"/>
    <w:rsid w:val="00D312A9"/>
    <w:rsid w:val="00D6590F"/>
    <w:rsid w:val="00DB53F4"/>
    <w:rsid w:val="00DC045C"/>
    <w:rsid w:val="00DC2764"/>
    <w:rsid w:val="00E04B24"/>
    <w:rsid w:val="00E64751"/>
    <w:rsid w:val="00EF4866"/>
    <w:rsid w:val="00F15467"/>
    <w:rsid w:val="00F2324B"/>
    <w:rsid w:val="00F25110"/>
    <w:rsid w:val="00F276C3"/>
    <w:rsid w:val="00F32585"/>
    <w:rsid w:val="00F365C8"/>
    <w:rsid w:val="00FB2F61"/>
    <w:rsid w:val="00FB3FDF"/>
    <w:rsid w:val="00FB4A09"/>
    <w:rsid w:val="00FC417C"/>
    <w:rsid w:val="00FD64FD"/>
    <w:rsid w:val="04020B22"/>
    <w:rsid w:val="0449689E"/>
    <w:rsid w:val="059348DA"/>
    <w:rsid w:val="09E21360"/>
    <w:rsid w:val="0D8D53DF"/>
    <w:rsid w:val="0FD966EE"/>
    <w:rsid w:val="136C4563"/>
    <w:rsid w:val="1C3A2D85"/>
    <w:rsid w:val="31421D53"/>
    <w:rsid w:val="3E5B29ED"/>
    <w:rsid w:val="433836FB"/>
    <w:rsid w:val="50B43C38"/>
    <w:rsid w:val="61F536DE"/>
    <w:rsid w:val="634520EC"/>
    <w:rsid w:val="645314A2"/>
    <w:rsid w:val="66632315"/>
    <w:rsid w:val="6FEC4F07"/>
    <w:rsid w:val="76BB2FD7"/>
    <w:rsid w:val="7EBD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187</Words>
  <Characters>1066</Characters>
  <Lines>8</Lines>
  <Paragraphs>2</Paragraphs>
  <TotalTime>3</TotalTime>
  <ScaleCrop>false</ScaleCrop>
  <LinksUpToDate>false</LinksUpToDate>
  <CharactersWithSpaces>1251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2023-06-19T16:01:24Z</dcterms:modified>
  <dc:title>2021年杭州市流通领域(网络)</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