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eastAsia="方正小标宋简体" w:cs="Times New Roman"/>
          <w:color w:val="000000"/>
          <w:sz w:val="32"/>
          <w:szCs w:val="32"/>
        </w:rPr>
      </w:pPr>
      <w:r>
        <w:rPr>
          <w:rFonts w:hint="default" w:ascii="Times New Roman" w:hAnsi="Times New Roman" w:eastAsia="方正小标宋简体" w:cs="Times New Roman"/>
          <w:color w:val="000000"/>
          <w:sz w:val="32"/>
          <w:szCs w:val="32"/>
          <w:lang w:eastAsia="zh-CN"/>
        </w:rPr>
        <w:t>台州市</w:t>
      </w:r>
      <w:r>
        <w:rPr>
          <w:rFonts w:hint="default" w:ascii="Times New Roman" w:hAnsi="Times New Roman" w:eastAsia="方正小标宋简体" w:cs="Times New Roman"/>
          <w:color w:val="000000"/>
          <w:sz w:val="32"/>
          <w:szCs w:val="32"/>
        </w:rPr>
        <w:t>小功率电动机产品质量监督抽查实施细则（202</w:t>
      </w:r>
      <w:r>
        <w:rPr>
          <w:rFonts w:hint="default" w:ascii="Times New Roman" w:hAnsi="Times New Roman" w:eastAsia="方正小标宋简体" w:cs="Times New Roman"/>
          <w:color w:val="000000"/>
          <w:sz w:val="32"/>
          <w:szCs w:val="32"/>
          <w:lang w:val="en-US" w:eastAsia="zh-CN"/>
        </w:rPr>
        <w:t>3</w:t>
      </w:r>
      <w:r>
        <w:rPr>
          <w:rFonts w:hint="default" w:ascii="Times New Roman" w:hAnsi="Times New Roman" w:eastAsia="方正小标宋简体" w:cs="Times New Roman"/>
          <w:color w:val="000000"/>
          <w:sz w:val="32"/>
          <w:szCs w:val="32"/>
        </w:rPr>
        <w:t>年版）</w:t>
      </w:r>
    </w:p>
    <w:p>
      <w:pPr>
        <w:spacing w:line="360" w:lineRule="auto"/>
        <w:jc w:val="center"/>
        <w:rPr>
          <w:rFonts w:hint="default" w:ascii="Times New Roman" w:hAnsi="Times New Roman" w:eastAsia="方正小标宋简体" w:cs="Times New Roman"/>
          <w:color w:val="000000"/>
          <w:sz w:val="32"/>
          <w:szCs w:val="32"/>
        </w:rPr>
      </w:pPr>
    </w:p>
    <w:p>
      <w:pPr>
        <w:keepNext w:val="0"/>
        <w:keepLines w:val="0"/>
        <w:pageBreakBefore w:val="0"/>
        <w:widowControl w:val="0"/>
        <w:kinsoku/>
        <w:wordWrap/>
        <w:overflowPunct/>
        <w:topLinePunct w:val="0"/>
        <w:autoSpaceDE/>
        <w:autoSpaceDN/>
        <w:bidi w:val="0"/>
        <w:adjustRightInd w:val="0"/>
        <w:snapToGrid w:val="0"/>
        <w:spacing w:line="440" w:lineRule="exact"/>
        <w:textAlignment w:val="auto"/>
        <w:outlineLvl w:val="1"/>
        <w:rPr>
          <w:rFonts w:hint="default" w:ascii="Times New Roman" w:hAnsi="Times New Roman" w:eastAsia="黑体" w:cs="Times New Roman"/>
          <w:szCs w:val="21"/>
        </w:rPr>
      </w:pPr>
      <w:r>
        <w:rPr>
          <w:rFonts w:hint="default" w:ascii="Times New Roman" w:hAnsi="Times New Roman" w:eastAsia="黑体" w:cs="Times New Roman"/>
          <w:szCs w:val="21"/>
        </w:rPr>
        <w:t>1 抽样方法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outlineLvl w:val="1"/>
        <w:rPr>
          <w:rFonts w:hint="default" w:ascii="Times New Roman" w:hAnsi="Times New Roman" w:cs="Times New Roman"/>
          <w:szCs w:val="21"/>
        </w:rPr>
      </w:pPr>
      <w:r>
        <w:rPr>
          <w:rFonts w:hint="default" w:ascii="Times New Roman" w:hAnsi="Times New Roman" w:cs="Times New Roman"/>
          <w:szCs w:val="21"/>
        </w:rPr>
        <w:t>随机数一般可使用随机数表等方法产生。</w:t>
      </w:r>
    </w:p>
    <w:p>
      <w:pPr>
        <w:keepNext w:val="0"/>
        <w:keepLines w:val="0"/>
        <w:pageBreakBefore w:val="0"/>
        <w:widowControl w:val="0"/>
        <w:kinsoku/>
        <w:wordWrap/>
        <w:overflowPunct/>
        <w:topLinePunct w:val="0"/>
        <w:autoSpaceDE/>
        <w:autoSpaceDN/>
        <w:bidi w:val="0"/>
        <w:adjustRightInd w:val="0"/>
        <w:snapToGrid w:val="0"/>
        <w:spacing w:line="440" w:lineRule="exact"/>
        <w:ind w:firstLine="420"/>
        <w:textAlignment w:val="auto"/>
        <w:outlineLvl w:val="1"/>
        <w:rPr>
          <w:rFonts w:hint="default" w:ascii="Times New Roman" w:hAnsi="Times New Roman" w:cs="Times New Roman"/>
          <w:szCs w:val="21"/>
        </w:rPr>
      </w:pPr>
      <w:r>
        <w:rPr>
          <w:rFonts w:hint="default" w:ascii="Times New Roman" w:hAnsi="Times New Roman" w:cs="Times New Roman"/>
          <w:szCs w:val="21"/>
        </w:rPr>
        <w:t>每批次产品抽取3个，其中2个作为检验样品，1个作为备用样品。</w:t>
      </w:r>
    </w:p>
    <w:p>
      <w:pPr>
        <w:keepNext w:val="0"/>
        <w:keepLines w:val="0"/>
        <w:pageBreakBefore w:val="0"/>
        <w:widowControl w:val="0"/>
        <w:kinsoku/>
        <w:wordWrap/>
        <w:overflowPunct/>
        <w:topLinePunct w:val="0"/>
        <w:autoSpaceDE/>
        <w:autoSpaceDN/>
        <w:bidi w:val="0"/>
        <w:adjustRightInd w:val="0"/>
        <w:snapToGrid w:val="0"/>
        <w:spacing w:line="440" w:lineRule="exact"/>
        <w:ind w:firstLine="420"/>
        <w:textAlignment w:val="auto"/>
        <w:outlineLvl w:val="1"/>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val="0"/>
        <w:snapToGrid w:val="0"/>
        <w:spacing w:line="440" w:lineRule="exact"/>
        <w:textAlignment w:val="auto"/>
        <w:outlineLvl w:val="1"/>
        <w:rPr>
          <w:rFonts w:hint="default" w:ascii="Times New Roman" w:hAnsi="Times New Roman" w:eastAsia="黑体" w:cs="Times New Roman"/>
          <w:szCs w:val="21"/>
        </w:rPr>
      </w:pPr>
      <w:r>
        <w:rPr>
          <w:rFonts w:hint="default" w:ascii="Times New Roman" w:hAnsi="Times New Roman" w:eastAsia="黑体" w:cs="Times New Roman"/>
          <w:szCs w:val="21"/>
        </w:rPr>
        <w:t>2 检验依据</w:t>
      </w:r>
    </w:p>
    <w:p>
      <w:pPr>
        <w:snapToGrid w:val="0"/>
        <w:spacing w:line="440" w:lineRule="exact"/>
        <w:jc w:val="center"/>
        <w:outlineLvl w:val="0"/>
        <w:rPr>
          <w:rFonts w:hint="default" w:ascii="Times New Roman" w:hAnsi="Times New Roman" w:eastAsia="黑体" w:cs="Times New Roman"/>
          <w:sz w:val="21"/>
          <w:szCs w:val="21"/>
          <w:highlight w:val="none"/>
        </w:rPr>
      </w:pPr>
      <w:r>
        <w:rPr>
          <w:rFonts w:hint="eastAsia" w:ascii="Times New Roman" w:hAnsi="Times New Roman" w:eastAsia="黑体" w:cs="Times New Roman"/>
          <w:color w:val="000000"/>
          <w:sz w:val="21"/>
          <w:szCs w:val="21"/>
          <w:highlight w:val="none"/>
          <w:lang w:val="en-US" w:eastAsia="zh-CN"/>
        </w:rPr>
        <w:t xml:space="preserve">表1 </w:t>
      </w:r>
      <w:r>
        <w:rPr>
          <w:rFonts w:hint="default" w:ascii="Times New Roman" w:hAnsi="Times New Roman" w:eastAsia="黑体" w:cs="Times New Roman"/>
          <w:color w:val="000000"/>
          <w:sz w:val="21"/>
          <w:szCs w:val="21"/>
          <w:highlight w:val="none"/>
        </w:rPr>
        <w:t>明示执行标准为</w:t>
      </w:r>
      <w:r>
        <w:rPr>
          <w:rFonts w:hint="default" w:ascii="Times New Roman" w:hAnsi="Times New Roman" w:eastAsia="黑体" w:cs="Times New Roman"/>
          <w:color w:val="000000"/>
          <w:sz w:val="21"/>
          <w:szCs w:val="21"/>
          <w:highlight w:val="none"/>
          <w:lang w:val="en-US" w:eastAsia="zh-CN"/>
        </w:rPr>
        <w:t>如下</w:t>
      </w:r>
      <w:r>
        <w:rPr>
          <w:rFonts w:hint="default" w:ascii="Times New Roman" w:hAnsi="Times New Roman" w:eastAsia="黑体" w:cs="Times New Roman"/>
          <w:color w:val="000000"/>
          <w:sz w:val="21"/>
          <w:szCs w:val="21"/>
          <w:highlight w:val="none"/>
        </w:rPr>
        <w:t>的小功率电动机</w:t>
      </w:r>
    </w:p>
    <w:tbl>
      <w:tblPr>
        <w:tblStyle w:val="6"/>
        <w:tblW w:w="9392"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2331"/>
        <w:gridCol w:w="3000"/>
        <w:gridCol w:w="3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序号</w:t>
            </w:r>
          </w:p>
        </w:tc>
        <w:tc>
          <w:tcPr>
            <w:tcW w:w="233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检验项目</w:t>
            </w:r>
          </w:p>
        </w:tc>
        <w:tc>
          <w:tcPr>
            <w:tcW w:w="3000"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检验方法</w:t>
            </w:r>
          </w:p>
        </w:tc>
        <w:tc>
          <w:tcPr>
            <w:tcW w:w="3000"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产品执行标准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33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机座与外壳</w:t>
            </w:r>
          </w:p>
        </w:tc>
        <w:tc>
          <w:tcPr>
            <w:tcW w:w="3000"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12350-2022</w:t>
            </w:r>
          </w:p>
        </w:tc>
        <w:tc>
          <w:tcPr>
            <w:tcW w:w="3000" w:type="dxa"/>
            <w:vMerge w:val="restart"/>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16961-2009</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1009-2016</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1010-2017</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1011-2017</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1012-2017</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10888-2008</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3698-2008</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3699-2008</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3758-2011</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4052-2015</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4269-2013</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4270-2013</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4376-2013</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5276-2017</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5887-1991</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6737-2015</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6738-2011</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7578-2015</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8157-2016</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8311-2014</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9541-2015</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9542-2015</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9543-2016</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10490-2016</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QB/T 1179-2010</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QB/T 2257-1996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33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机械装配与零件</w:t>
            </w:r>
          </w:p>
        </w:tc>
        <w:tc>
          <w:tcPr>
            <w:tcW w:w="3000" w:type="dxa"/>
            <w:noWrap w:val="0"/>
            <w:vAlign w:val="center"/>
          </w:tcPr>
          <w:p>
            <w:pPr>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12350-2022</w:t>
            </w:r>
          </w:p>
        </w:tc>
        <w:tc>
          <w:tcPr>
            <w:tcW w:w="3000"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33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电气连接</w:t>
            </w:r>
          </w:p>
        </w:tc>
        <w:tc>
          <w:tcPr>
            <w:tcW w:w="3000" w:type="dxa"/>
            <w:noWrap w:val="0"/>
            <w:vAlign w:val="center"/>
          </w:tcPr>
          <w:p>
            <w:pPr>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12350-2022</w:t>
            </w:r>
          </w:p>
        </w:tc>
        <w:tc>
          <w:tcPr>
            <w:tcW w:w="3000"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233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连接件</w:t>
            </w:r>
          </w:p>
        </w:tc>
        <w:tc>
          <w:tcPr>
            <w:tcW w:w="3000" w:type="dxa"/>
            <w:noWrap w:val="0"/>
            <w:vAlign w:val="center"/>
          </w:tcPr>
          <w:p>
            <w:pPr>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12350-2022</w:t>
            </w:r>
          </w:p>
        </w:tc>
        <w:tc>
          <w:tcPr>
            <w:tcW w:w="3000"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233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内部布线</w:t>
            </w:r>
          </w:p>
        </w:tc>
        <w:tc>
          <w:tcPr>
            <w:tcW w:w="3000" w:type="dxa"/>
            <w:noWrap w:val="0"/>
            <w:vAlign w:val="center"/>
          </w:tcPr>
          <w:p>
            <w:pPr>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12350-2022</w:t>
            </w:r>
          </w:p>
        </w:tc>
        <w:tc>
          <w:tcPr>
            <w:tcW w:w="3000"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233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刷握</w:t>
            </w:r>
          </w:p>
        </w:tc>
        <w:tc>
          <w:tcPr>
            <w:tcW w:w="3000" w:type="dxa"/>
            <w:noWrap w:val="0"/>
            <w:vAlign w:val="center"/>
          </w:tcPr>
          <w:p>
            <w:pPr>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12350-2022</w:t>
            </w:r>
          </w:p>
        </w:tc>
        <w:tc>
          <w:tcPr>
            <w:tcW w:w="3000"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233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爬电距离和电气间隙</w:t>
            </w:r>
          </w:p>
        </w:tc>
        <w:tc>
          <w:tcPr>
            <w:tcW w:w="3000" w:type="dxa"/>
            <w:noWrap w:val="0"/>
            <w:vAlign w:val="center"/>
          </w:tcPr>
          <w:p>
            <w:pPr>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12350-2022</w:t>
            </w:r>
          </w:p>
        </w:tc>
        <w:tc>
          <w:tcPr>
            <w:tcW w:w="3000"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233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接地</w:t>
            </w:r>
          </w:p>
        </w:tc>
        <w:tc>
          <w:tcPr>
            <w:tcW w:w="3000" w:type="dxa"/>
            <w:noWrap w:val="0"/>
            <w:vAlign w:val="center"/>
          </w:tcPr>
          <w:p>
            <w:pPr>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12350-2022</w:t>
            </w:r>
          </w:p>
        </w:tc>
        <w:tc>
          <w:tcPr>
            <w:tcW w:w="3000"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233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温升试验</w:t>
            </w:r>
          </w:p>
        </w:tc>
        <w:tc>
          <w:tcPr>
            <w:tcW w:w="3000" w:type="dxa"/>
            <w:noWrap w:val="0"/>
            <w:vAlign w:val="center"/>
          </w:tcPr>
          <w:p>
            <w:pPr>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12350-2022</w:t>
            </w:r>
          </w:p>
        </w:tc>
        <w:tc>
          <w:tcPr>
            <w:tcW w:w="3000"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233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绝缘电阻和电气强度</w:t>
            </w:r>
          </w:p>
        </w:tc>
        <w:tc>
          <w:tcPr>
            <w:tcW w:w="3000" w:type="dxa"/>
            <w:noWrap w:val="0"/>
            <w:vAlign w:val="center"/>
          </w:tcPr>
          <w:p>
            <w:pPr>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12350-2022</w:t>
            </w:r>
          </w:p>
        </w:tc>
        <w:tc>
          <w:tcPr>
            <w:tcW w:w="3000"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p>
        </w:tc>
        <w:tc>
          <w:tcPr>
            <w:tcW w:w="233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工作温度下泄漏电流</w:t>
            </w:r>
          </w:p>
        </w:tc>
        <w:tc>
          <w:tcPr>
            <w:tcW w:w="3000" w:type="dxa"/>
            <w:noWrap w:val="0"/>
            <w:vAlign w:val="center"/>
          </w:tcPr>
          <w:p>
            <w:pPr>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12350-2022</w:t>
            </w:r>
          </w:p>
        </w:tc>
        <w:tc>
          <w:tcPr>
            <w:tcW w:w="3000"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233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起动</w:t>
            </w:r>
          </w:p>
        </w:tc>
        <w:tc>
          <w:tcPr>
            <w:tcW w:w="3000"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12350-2022</w:t>
            </w:r>
          </w:p>
        </w:tc>
        <w:tc>
          <w:tcPr>
            <w:tcW w:w="3000"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default" w:ascii="宋体" w:hAnsi="宋体" w:eastAsia="宋体" w:cs="宋体"/>
                <w:sz w:val="21"/>
                <w:szCs w:val="21"/>
                <w:lang w:val="en-US" w:eastAsia="zh-CN"/>
              </w:rPr>
            </w:pPr>
            <w:r>
              <w:rPr>
                <w:rFonts w:hint="eastAsia" w:hAnsi="宋体" w:eastAsia="宋体" w:cs="宋体"/>
                <w:sz w:val="21"/>
                <w:szCs w:val="21"/>
                <w:lang w:val="en-US" w:eastAsia="zh-CN"/>
              </w:rPr>
              <w:t>13</w:t>
            </w:r>
          </w:p>
        </w:tc>
        <w:tc>
          <w:tcPr>
            <w:tcW w:w="2331" w:type="dxa"/>
            <w:noWrap w:val="0"/>
            <w:vAlign w:val="center"/>
          </w:tcPr>
          <w:p>
            <w:pPr>
              <w:snapToGrid w:val="0"/>
              <w:spacing w:line="240" w:lineRule="exact"/>
              <w:jc w:val="center"/>
              <w:rPr>
                <w:rFonts w:hint="eastAsia" w:asciiTheme="minorHAnsi" w:hAnsiTheme="minorHAnsi" w:eastAsiaTheme="minorEastAsia" w:cstheme="minorBidi"/>
                <w:kern w:val="2"/>
                <w:sz w:val="21"/>
                <w:szCs w:val="21"/>
                <w:lang w:val="en-US" w:eastAsia="zh-CN" w:bidi="ar-SA"/>
              </w:rPr>
            </w:pPr>
            <w:r>
              <w:rPr>
                <w:rFonts w:hint="eastAsia"/>
                <w:szCs w:val="21"/>
              </w:rPr>
              <w:t>噪声测定</w:t>
            </w:r>
          </w:p>
        </w:tc>
        <w:tc>
          <w:tcPr>
            <w:tcW w:w="3000"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10069.1-2006</w:t>
            </w:r>
          </w:p>
        </w:tc>
        <w:tc>
          <w:tcPr>
            <w:tcW w:w="3000"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bl>
    <w:p>
      <w:pPr>
        <w:adjustRightInd w:val="0"/>
        <w:snapToGrid w:val="0"/>
        <w:spacing w:line="360" w:lineRule="auto"/>
        <w:outlineLvl w:val="1"/>
        <w:rPr>
          <w:rFonts w:hint="default" w:ascii="Times New Roman" w:hAnsi="Times New Roman" w:eastAsia="黑体" w:cs="Times New Roman"/>
          <w:szCs w:val="21"/>
        </w:rPr>
      </w:pPr>
    </w:p>
    <w:p>
      <w:pPr>
        <w:snapToGrid w:val="0"/>
        <w:spacing w:line="440" w:lineRule="exact"/>
        <w:jc w:val="center"/>
        <w:outlineLvl w:val="0"/>
        <w:rPr>
          <w:rFonts w:hint="eastAsia" w:ascii="Times New Roman" w:hAnsi="Times New Roman" w:eastAsia="黑体" w:cs="Times New Roman"/>
          <w:color w:val="000000"/>
          <w:sz w:val="21"/>
          <w:szCs w:val="21"/>
          <w:highlight w:val="none"/>
          <w:lang w:val="en-US" w:eastAsia="zh-CN"/>
        </w:rPr>
      </w:pPr>
    </w:p>
    <w:p>
      <w:pPr>
        <w:snapToGrid w:val="0"/>
        <w:spacing w:line="440" w:lineRule="exact"/>
        <w:jc w:val="center"/>
        <w:outlineLvl w:val="0"/>
        <w:rPr>
          <w:rFonts w:hint="eastAsia" w:ascii="Times New Roman" w:hAnsi="Times New Roman" w:eastAsia="黑体" w:cs="Times New Roman"/>
          <w:color w:val="000000"/>
          <w:sz w:val="21"/>
          <w:szCs w:val="21"/>
          <w:highlight w:val="none"/>
          <w:lang w:val="en-US" w:eastAsia="zh-CN"/>
        </w:rPr>
      </w:pPr>
    </w:p>
    <w:p>
      <w:pPr>
        <w:snapToGrid w:val="0"/>
        <w:spacing w:line="440" w:lineRule="exact"/>
        <w:jc w:val="center"/>
        <w:outlineLvl w:val="0"/>
        <w:rPr>
          <w:rFonts w:hint="eastAsia" w:ascii="Times New Roman" w:hAnsi="Times New Roman" w:eastAsia="黑体" w:cs="Times New Roman"/>
          <w:color w:val="000000"/>
          <w:sz w:val="21"/>
          <w:szCs w:val="21"/>
          <w:highlight w:val="none"/>
          <w:lang w:val="en-US" w:eastAsia="zh-CN"/>
        </w:rPr>
      </w:pPr>
    </w:p>
    <w:p>
      <w:pPr>
        <w:snapToGrid w:val="0"/>
        <w:spacing w:line="440" w:lineRule="exact"/>
        <w:jc w:val="center"/>
        <w:outlineLvl w:val="0"/>
        <w:rPr>
          <w:rFonts w:hint="default" w:ascii="Times New Roman" w:hAnsi="Times New Roman" w:eastAsia="方正小标宋简体" w:cs="Times New Roman"/>
          <w:color w:val="000000"/>
          <w:sz w:val="32"/>
          <w:szCs w:val="32"/>
          <w:lang w:eastAsia="zh-CN"/>
        </w:rPr>
      </w:pPr>
      <w:r>
        <w:rPr>
          <w:rFonts w:hint="eastAsia" w:ascii="Times New Roman" w:hAnsi="Times New Roman" w:eastAsia="黑体" w:cs="Times New Roman"/>
          <w:color w:val="000000"/>
          <w:sz w:val="21"/>
          <w:szCs w:val="21"/>
          <w:highlight w:val="none"/>
          <w:lang w:val="en-US" w:eastAsia="zh-CN"/>
        </w:rPr>
        <w:t xml:space="preserve">表2 </w:t>
      </w:r>
      <w:r>
        <w:rPr>
          <w:rFonts w:hint="default" w:ascii="Times New Roman" w:hAnsi="Times New Roman" w:eastAsia="黑体" w:cs="Times New Roman"/>
          <w:color w:val="000000"/>
          <w:sz w:val="21"/>
          <w:szCs w:val="21"/>
          <w:highlight w:val="none"/>
        </w:rPr>
        <w:t>明示执行标准为</w:t>
      </w:r>
      <w:r>
        <w:rPr>
          <w:rFonts w:hint="default" w:ascii="Times New Roman" w:hAnsi="Times New Roman" w:eastAsia="黑体" w:cs="Times New Roman"/>
          <w:color w:val="000000"/>
          <w:sz w:val="21"/>
          <w:szCs w:val="21"/>
          <w:highlight w:val="none"/>
          <w:lang w:val="en-US" w:eastAsia="zh-CN"/>
        </w:rPr>
        <w:t>如下</w:t>
      </w:r>
      <w:r>
        <w:rPr>
          <w:rFonts w:hint="default" w:ascii="Times New Roman" w:hAnsi="Times New Roman" w:eastAsia="黑体" w:cs="Times New Roman"/>
          <w:color w:val="000000"/>
          <w:sz w:val="21"/>
          <w:szCs w:val="21"/>
          <w:highlight w:val="none"/>
        </w:rPr>
        <w:t>的小功率电动机</w:t>
      </w:r>
    </w:p>
    <w:tbl>
      <w:tblPr>
        <w:tblStyle w:val="6"/>
        <w:tblW w:w="9392"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165"/>
        <w:gridCol w:w="1442"/>
        <w:gridCol w:w="2925"/>
        <w:gridCol w:w="2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序号</w:t>
            </w:r>
          </w:p>
        </w:tc>
        <w:tc>
          <w:tcPr>
            <w:tcW w:w="2607" w:type="dxa"/>
            <w:gridSpan w:val="2"/>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检验项目</w:t>
            </w:r>
          </w:p>
        </w:tc>
        <w:tc>
          <w:tcPr>
            <w:tcW w:w="2925"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检验方法</w:t>
            </w:r>
          </w:p>
        </w:tc>
        <w:tc>
          <w:tcPr>
            <w:tcW w:w="2799"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产品执行标准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vMerge w:val="restart"/>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165" w:type="dxa"/>
            <w:vMerge w:val="restart"/>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标志与说明</w:t>
            </w:r>
          </w:p>
        </w:tc>
        <w:tc>
          <w:tcPr>
            <w:tcW w:w="1442"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制造厂信息</w:t>
            </w:r>
          </w:p>
        </w:tc>
        <w:tc>
          <w:tcPr>
            <w:tcW w:w="2925" w:type="dxa"/>
            <w:vMerge w:val="restart"/>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14711-2013</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755-2019</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产品执行标准</w:t>
            </w:r>
          </w:p>
        </w:tc>
        <w:tc>
          <w:tcPr>
            <w:tcW w:w="2799" w:type="dxa"/>
            <w:vMerge w:val="restart"/>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10686-2006</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28575-2020</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5269-2018</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6297-2010</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6316-2006</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6447-2010</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6456-2010</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7118-2014</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7123-2010</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7125-2010</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8658-2014</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8681-2013</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9545-2013</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11707-2017</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11816-2014</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11817-2014</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JB/T 13299-2017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vMerge w:val="continue"/>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c>
          <w:tcPr>
            <w:tcW w:w="1165" w:type="dxa"/>
            <w:vMerge w:val="continue"/>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c>
          <w:tcPr>
            <w:tcW w:w="1442"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其他信息</w:t>
            </w:r>
          </w:p>
        </w:tc>
        <w:tc>
          <w:tcPr>
            <w:tcW w:w="2925" w:type="dxa"/>
            <w:vMerge w:val="continue"/>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c>
          <w:tcPr>
            <w:tcW w:w="2799"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607" w:type="dxa"/>
            <w:gridSpan w:val="2"/>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机座与外壳</w:t>
            </w:r>
          </w:p>
        </w:tc>
        <w:tc>
          <w:tcPr>
            <w:tcW w:w="2925"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14711-2013</w:t>
            </w:r>
          </w:p>
        </w:tc>
        <w:tc>
          <w:tcPr>
            <w:tcW w:w="2799"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607" w:type="dxa"/>
            <w:gridSpan w:val="2"/>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接线盒及接线装置</w:t>
            </w:r>
          </w:p>
        </w:tc>
        <w:tc>
          <w:tcPr>
            <w:tcW w:w="2925"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14711-2013</w:t>
            </w:r>
          </w:p>
        </w:tc>
        <w:tc>
          <w:tcPr>
            <w:tcW w:w="2799"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2607" w:type="dxa"/>
            <w:gridSpan w:val="2"/>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导线管衬套和等效的螺纹开孔</w:t>
            </w:r>
          </w:p>
        </w:tc>
        <w:tc>
          <w:tcPr>
            <w:tcW w:w="2925"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14711-2013</w:t>
            </w:r>
          </w:p>
        </w:tc>
        <w:tc>
          <w:tcPr>
            <w:tcW w:w="2799"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2607" w:type="dxa"/>
            <w:gridSpan w:val="2"/>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接地</w:t>
            </w:r>
          </w:p>
        </w:tc>
        <w:tc>
          <w:tcPr>
            <w:tcW w:w="2925"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14711-2013</w:t>
            </w:r>
          </w:p>
        </w:tc>
        <w:tc>
          <w:tcPr>
            <w:tcW w:w="2799"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2607" w:type="dxa"/>
            <w:gridSpan w:val="2"/>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电气间隙与爬电距离</w:t>
            </w:r>
          </w:p>
        </w:tc>
        <w:tc>
          <w:tcPr>
            <w:tcW w:w="2925"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14711-2013</w:t>
            </w:r>
          </w:p>
        </w:tc>
        <w:tc>
          <w:tcPr>
            <w:tcW w:w="2799"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2607" w:type="dxa"/>
            <w:gridSpan w:val="2"/>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内部布线</w:t>
            </w:r>
          </w:p>
        </w:tc>
        <w:tc>
          <w:tcPr>
            <w:tcW w:w="2925"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14711-2013</w:t>
            </w:r>
          </w:p>
        </w:tc>
        <w:tc>
          <w:tcPr>
            <w:tcW w:w="2799"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2607" w:type="dxa"/>
            <w:gridSpan w:val="2"/>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接线端子</w:t>
            </w:r>
          </w:p>
        </w:tc>
        <w:tc>
          <w:tcPr>
            <w:tcW w:w="2925"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14711-2013</w:t>
            </w:r>
          </w:p>
        </w:tc>
        <w:tc>
          <w:tcPr>
            <w:tcW w:w="2799"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2607" w:type="dxa"/>
            <w:gridSpan w:val="2"/>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定额试验</w:t>
            </w:r>
          </w:p>
        </w:tc>
        <w:tc>
          <w:tcPr>
            <w:tcW w:w="2925"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14711-2013</w:t>
            </w:r>
          </w:p>
        </w:tc>
        <w:tc>
          <w:tcPr>
            <w:tcW w:w="2799"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2607" w:type="dxa"/>
            <w:gridSpan w:val="2"/>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热试验</w:t>
            </w:r>
          </w:p>
        </w:tc>
        <w:tc>
          <w:tcPr>
            <w:tcW w:w="2925"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14711-2013</w:t>
            </w:r>
          </w:p>
        </w:tc>
        <w:tc>
          <w:tcPr>
            <w:tcW w:w="2799"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p>
        </w:tc>
        <w:tc>
          <w:tcPr>
            <w:tcW w:w="2607" w:type="dxa"/>
            <w:gridSpan w:val="2"/>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绝缘电阻</w:t>
            </w:r>
          </w:p>
        </w:tc>
        <w:tc>
          <w:tcPr>
            <w:tcW w:w="2925"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14711-2013</w:t>
            </w:r>
          </w:p>
        </w:tc>
        <w:tc>
          <w:tcPr>
            <w:tcW w:w="2799"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2607" w:type="dxa"/>
            <w:gridSpan w:val="2"/>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介电强度试验</w:t>
            </w:r>
          </w:p>
        </w:tc>
        <w:tc>
          <w:tcPr>
            <w:tcW w:w="2925"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14711-2013</w:t>
            </w:r>
          </w:p>
        </w:tc>
        <w:tc>
          <w:tcPr>
            <w:tcW w:w="2799"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w:t>
            </w:r>
          </w:p>
        </w:tc>
        <w:tc>
          <w:tcPr>
            <w:tcW w:w="2607" w:type="dxa"/>
            <w:gridSpan w:val="2"/>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机械强度试验</w:t>
            </w:r>
          </w:p>
        </w:tc>
        <w:tc>
          <w:tcPr>
            <w:tcW w:w="2925"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14711-2013</w:t>
            </w:r>
          </w:p>
        </w:tc>
        <w:tc>
          <w:tcPr>
            <w:tcW w:w="2799"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vMerge w:val="restart"/>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1165" w:type="dxa"/>
            <w:vMerge w:val="restart"/>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电机能效</w:t>
            </w:r>
          </w:p>
        </w:tc>
        <w:tc>
          <w:tcPr>
            <w:tcW w:w="1442"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效率</w:t>
            </w:r>
          </w:p>
        </w:tc>
        <w:tc>
          <w:tcPr>
            <w:tcW w:w="2925"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 18613-2020</w:t>
            </w:r>
          </w:p>
        </w:tc>
        <w:tc>
          <w:tcPr>
            <w:tcW w:w="2799"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vMerge w:val="continue"/>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c>
          <w:tcPr>
            <w:tcW w:w="1165" w:type="dxa"/>
            <w:vMerge w:val="continue"/>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c>
          <w:tcPr>
            <w:tcW w:w="1442"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功率因数</w:t>
            </w:r>
          </w:p>
        </w:tc>
        <w:tc>
          <w:tcPr>
            <w:tcW w:w="2925"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产品执行标准</w:t>
            </w:r>
          </w:p>
        </w:tc>
        <w:tc>
          <w:tcPr>
            <w:tcW w:w="2799"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061" w:type="dxa"/>
            <w:noWrap w:val="0"/>
            <w:vAlign w:val="center"/>
          </w:tcPr>
          <w:p>
            <w:pPr>
              <w:pStyle w:val="2"/>
              <w:adjustRightInd w:val="0"/>
              <w:snapToGrid w:val="0"/>
              <w:spacing w:line="240" w:lineRule="auto"/>
              <w:jc w:val="center"/>
              <w:rPr>
                <w:rFonts w:hint="default" w:ascii="宋体" w:hAnsi="宋体" w:eastAsia="宋体" w:cs="宋体"/>
                <w:sz w:val="21"/>
                <w:szCs w:val="21"/>
                <w:lang w:val="en-US" w:eastAsia="zh-CN"/>
              </w:rPr>
            </w:pPr>
            <w:r>
              <w:rPr>
                <w:rFonts w:hint="eastAsia" w:hAnsi="宋体" w:eastAsia="宋体" w:cs="宋体"/>
                <w:sz w:val="21"/>
                <w:szCs w:val="21"/>
                <w:lang w:val="en-US" w:eastAsia="zh-CN"/>
              </w:rPr>
              <w:t>15</w:t>
            </w:r>
          </w:p>
        </w:tc>
        <w:tc>
          <w:tcPr>
            <w:tcW w:w="2607" w:type="dxa"/>
            <w:gridSpan w:val="2"/>
            <w:noWrap w:val="0"/>
            <w:vAlign w:val="center"/>
          </w:tcPr>
          <w:p>
            <w:pPr>
              <w:snapToGrid w:val="0"/>
              <w:spacing w:line="240" w:lineRule="exact"/>
              <w:jc w:val="center"/>
              <w:rPr>
                <w:rFonts w:hint="eastAsia" w:asciiTheme="minorHAnsi" w:hAnsiTheme="minorHAnsi" w:eastAsiaTheme="minorEastAsia" w:cstheme="minorBidi"/>
                <w:kern w:val="2"/>
                <w:sz w:val="21"/>
                <w:szCs w:val="21"/>
                <w:lang w:val="en-US" w:eastAsia="zh-CN" w:bidi="ar-SA"/>
              </w:rPr>
            </w:pPr>
            <w:r>
              <w:rPr>
                <w:rFonts w:hint="eastAsia"/>
                <w:szCs w:val="21"/>
              </w:rPr>
              <w:t>噪声测定</w:t>
            </w:r>
          </w:p>
        </w:tc>
        <w:tc>
          <w:tcPr>
            <w:tcW w:w="2925" w:type="dxa"/>
            <w:noWrap w:val="0"/>
            <w:vAlign w:val="center"/>
          </w:tcPr>
          <w:p>
            <w:pPr>
              <w:pStyle w:val="2"/>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GB/T 10069.1-2006</w:t>
            </w:r>
          </w:p>
        </w:tc>
        <w:tc>
          <w:tcPr>
            <w:tcW w:w="2799" w:type="dxa"/>
            <w:vMerge w:val="continue"/>
            <w:tcBorders/>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szCs w:val="21"/>
        </w:rPr>
      </w:pP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szCs w:val="21"/>
        </w:rPr>
      </w:pPr>
      <w:r>
        <w:rPr>
          <w:szCs w:val="21"/>
        </w:rPr>
        <w:t>执行</w:t>
      </w:r>
      <w:r>
        <w:rPr>
          <w:rFonts w:hint="eastAsia"/>
          <w:szCs w:val="21"/>
        </w:rPr>
        <w:t>其他标准</w:t>
      </w:r>
      <w:r>
        <w:rPr>
          <w:szCs w:val="21"/>
        </w:rPr>
        <w:t>的产品，检验项目参照上述内容执行。</w:t>
      </w:r>
    </w:p>
    <w:p>
      <w:pPr>
        <w:keepNext w:val="0"/>
        <w:keepLines w:val="0"/>
        <w:pageBreakBefore w:val="0"/>
        <w:widowControl w:val="0"/>
        <w:kinsoku/>
        <w:wordWrap/>
        <w:overflowPunct/>
        <w:topLinePunct w:val="0"/>
        <w:autoSpaceDE/>
        <w:autoSpaceDN/>
        <w:bidi w:val="0"/>
        <w:snapToGrid w:val="0"/>
        <w:spacing w:line="440" w:lineRule="exact"/>
        <w:ind w:firstLine="359" w:firstLineChars="171"/>
        <w:textAlignment w:val="auto"/>
        <w:rPr>
          <w:rFonts w:hint="eastAsia"/>
          <w:szCs w:val="21"/>
        </w:rPr>
      </w:pPr>
      <w:r>
        <w:rPr>
          <w:rFonts w:hint="eastAsia"/>
          <w:szCs w:val="21"/>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440" w:lineRule="exact"/>
        <w:ind w:firstLine="359" w:firstLineChars="171"/>
        <w:textAlignment w:val="auto"/>
        <w:rPr>
          <w:szCs w:val="21"/>
        </w:rPr>
      </w:pPr>
      <w:r>
        <w:rPr>
          <w:rFonts w:hint="eastAsia"/>
          <w:szCs w:val="21"/>
        </w:rPr>
        <w:t>复检时所检测的样品为备用样品。</w:t>
      </w:r>
    </w:p>
    <w:p>
      <w:pPr>
        <w:keepNext w:val="0"/>
        <w:keepLines w:val="0"/>
        <w:pageBreakBefore w:val="0"/>
        <w:kinsoku/>
        <w:wordWrap/>
        <w:overflowPunct/>
        <w:topLinePunct w:val="0"/>
        <w:autoSpaceDE/>
        <w:autoSpaceDN/>
        <w:bidi w:val="0"/>
        <w:adjustRightInd w:val="0"/>
        <w:snapToGrid w:val="0"/>
        <w:spacing w:line="440" w:lineRule="exact"/>
        <w:textAlignment w:val="auto"/>
        <w:outlineLvl w:val="1"/>
        <w:rPr>
          <w:rFonts w:hint="default" w:ascii="Times New Roman" w:hAnsi="Times New Roman" w:eastAsia="黑体" w:cs="Times New Roman"/>
          <w:szCs w:val="21"/>
        </w:rPr>
      </w:pPr>
    </w:p>
    <w:p>
      <w:pPr>
        <w:keepNext w:val="0"/>
        <w:keepLines w:val="0"/>
        <w:pageBreakBefore w:val="0"/>
        <w:kinsoku/>
        <w:wordWrap/>
        <w:overflowPunct/>
        <w:topLinePunct w:val="0"/>
        <w:autoSpaceDE/>
        <w:autoSpaceDN/>
        <w:bidi w:val="0"/>
        <w:adjustRightInd w:val="0"/>
        <w:snapToGrid w:val="0"/>
        <w:spacing w:line="440" w:lineRule="exact"/>
        <w:textAlignment w:val="auto"/>
        <w:outlineLvl w:val="1"/>
        <w:rPr>
          <w:rFonts w:hint="default" w:ascii="Times New Roman" w:hAnsi="Times New Roman" w:eastAsia="黑体" w:cs="Times New Roman"/>
          <w:szCs w:val="21"/>
        </w:rPr>
      </w:pPr>
      <w:r>
        <w:rPr>
          <w:rFonts w:hint="default" w:ascii="Times New Roman" w:hAnsi="Times New Roman" w:eastAsia="黑体" w:cs="Times New Roman"/>
          <w:szCs w:val="21"/>
        </w:rPr>
        <w:t>3 判定规则</w:t>
      </w:r>
    </w:p>
    <w:p>
      <w:pPr>
        <w:keepNext w:val="0"/>
        <w:keepLines w:val="0"/>
        <w:pageBreakBefore w:val="0"/>
        <w:kinsoku/>
        <w:wordWrap/>
        <w:overflowPunct/>
        <w:topLinePunct w:val="0"/>
        <w:autoSpaceDE/>
        <w:autoSpaceDN/>
        <w:bidi w:val="0"/>
        <w:adjustRightInd w:val="0"/>
        <w:snapToGrid w:val="0"/>
        <w:spacing w:line="44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GB 18613-2020        </w:t>
      </w:r>
      <w:r>
        <w:rPr>
          <w:rFonts w:hint="default" w:ascii="Times New Roman" w:hAnsi="Times New Roman" w:cs="Times New Roman"/>
          <w:kern w:val="0"/>
          <w:szCs w:val="21"/>
        </w:rPr>
        <w:fldChar w:fldCharType="begin"/>
      </w:r>
      <w:r>
        <w:rPr>
          <w:rFonts w:hint="default" w:ascii="Times New Roman" w:hAnsi="Times New Roman" w:cs="Times New Roman"/>
          <w:kern w:val="0"/>
          <w:szCs w:val="21"/>
        </w:rPr>
        <w:instrText xml:space="preserve"> HYPERLINK "https://www.so.com/link?m=aFidEe6RbQP2OmXZznPZsZM/6X/DuNVvBmBBBDnShyENa+RW1tdLgOjeLsOT4h47Uv2aGyOQ0Odn5HulsQNIOI10JF8UhA6dCCZdKHP2LLveRm2fh8VjxWcFQSGz6eNYy6BhZcyjFPCo=" \t "https://www.so.com/_blank" </w:instrText>
      </w:r>
      <w:r>
        <w:rPr>
          <w:rFonts w:hint="default" w:ascii="Times New Roman" w:hAnsi="Times New Roman" w:cs="Times New Roman"/>
          <w:kern w:val="0"/>
          <w:szCs w:val="21"/>
        </w:rPr>
        <w:fldChar w:fldCharType="separate"/>
      </w:r>
      <w:r>
        <w:rPr>
          <w:rFonts w:hint="default" w:ascii="Times New Roman" w:hAnsi="Times New Roman" w:cs="Times New Roman"/>
          <w:kern w:val="0"/>
          <w:szCs w:val="21"/>
        </w:rPr>
        <w:t>电动机能效限定值及能效等级</w:t>
      </w:r>
      <w:r>
        <w:rPr>
          <w:rFonts w:hint="default" w:ascii="Times New Roman" w:hAnsi="Times New Roman" w:cs="Times New Roman"/>
          <w:kern w:val="0"/>
          <w:szCs w:val="21"/>
        </w:rPr>
        <w:fldChar w:fldCharType="end"/>
      </w:r>
    </w:p>
    <w:p>
      <w:pPr>
        <w:keepNext w:val="0"/>
        <w:keepLines w:val="0"/>
        <w:pageBreakBefore w:val="0"/>
        <w:widowControl/>
        <w:kinsoku/>
        <w:wordWrap/>
        <w:overflowPunct/>
        <w:topLinePunct w:val="0"/>
        <w:autoSpaceDE/>
        <w:autoSpaceDN/>
        <w:bidi w:val="0"/>
        <w:adjustRightInd w:val="0"/>
        <w:snapToGrid w:val="0"/>
        <w:spacing w:line="440" w:lineRule="exact"/>
        <w:ind w:left="2625" w:leftChars="200" w:hanging="2205" w:hangingChars="105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GB/T 755-2008        旋转电机 定额和性能</w:t>
      </w:r>
    </w:p>
    <w:p>
      <w:pPr>
        <w:keepNext w:val="0"/>
        <w:keepLines w:val="0"/>
        <w:pageBreakBefore w:val="0"/>
        <w:widowControl/>
        <w:kinsoku/>
        <w:wordWrap/>
        <w:overflowPunct/>
        <w:topLinePunct w:val="0"/>
        <w:autoSpaceDE/>
        <w:autoSpaceDN/>
        <w:bidi w:val="0"/>
        <w:adjustRightInd w:val="0"/>
        <w:snapToGrid w:val="0"/>
        <w:spacing w:line="440" w:lineRule="exact"/>
        <w:ind w:left="2625" w:leftChars="200" w:hanging="2205" w:hangingChars="105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GB/T 755-2019        旋转电机 定额和性能</w:t>
      </w:r>
    </w:p>
    <w:p>
      <w:pPr>
        <w:keepNext w:val="0"/>
        <w:keepLines w:val="0"/>
        <w:pageBreakBefore w:val="0"/>
        <w:widowControl/>
        <w:kinsoku/>
        <w:wordWrap/>
        <w:overflowPunct/>
        <w:topLinePunct w:val="0"/>
        <w:autoSpaceDE/>
        <w:autoSpaceDN/>
        <w:bidi w:val="0"/>
        <w:adjustRightInd w:val="0"/>
        <w:snapToGrid w:val="0"/>
        <w:spacing w:line="440" w:lineRule="exact"/>
        <w:ind w:left="2625" w:leftChars="200" w:hanging="2205" w:hangingChars="105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GB/T 5171.1-2014     小功率电动机 第1部分:通用技术条件</w:t>
      </w:r>
    </w:p>
    <w:p>
      <w:pPr>
        <w:keepNext w:val="0"/>
        <w:keepLines w:val="0"/>
        <w:pageBreakBefore w:val="0"/>
        <w:widowControl/>
        <w:kinsoku/>
        <w:wordWrap/>
        <w:overflowPunct/>
        <w:topLinePunct w:val="0"/>
        <w:autoSpaceDE/>
        <w:autoSpaceDN/>
        <w:bidi w:val="0"/>
        <w:adjustRightInd w:val="0"/>
        <w:snapToGrid w:val="0"/>
        <w:spacing w:line="440" w:lineRule="exact"/>
        <w:ind w:left="2625" w:leftChars="200" w:hanging="2205" w:hangingChars="105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GB/T 1971-2006       旋转电机 线端标志与旋转方向</w:t>
      </w:r>
    </w:p>
    <w:p>
      <w:pPr>
        <w:keepNext w:val="0"/>
        <w:keepLines w:val="0"/>
        <w:pageBreakBefore w:val="0"/>
        <w:widowControl/>
        <w:kinsoku/>
        <w:wordWrap/>
        <w:overflowPunct/>
        <w:topLinePunct w:val="0"/>
        <w:autoSpaceDE/>
        <w:autoSpaceDN/>
        <w:bidi w:val="0"/>
        <w:adjustRightInd w:val="0"/>
        <w:snapToGrid w:val="0"/>
        <w:spacing w:line="440" w:lineRule="exact"/>
        <w:ind w:left="2625" w:leftChars="200" w:hanging="2205" w:hangingChars="1050"/>
        <w:jc w:val="left"/>
        <w:textAlignment w:val="auto"/>
        <w:rPr>
          <w:rFonts w:hint="default" w:ascii="Times New Roman" w:hAnsi="Times New Roman" w:cs="Times New Roman"/>
          <w:kern w:val="0"/>
          <w:szCs w:val="21"/>
          <w:lang w:val="en-US" w:eastAsia="zh-CN"/>
        </w:rPr>
      </w:pPr>
      <w:r>
        <w:rPr>
          <w:rFonts w:hint="default" w:ascii="Times New Roman" w:hAnsi="Times New Roman" w:cs="Times New Roman"/>
          <w:kern w:val="0"/>
          <w:szCs w:val="21"/>
        </w:rPr>
        <w:fldChar w:fldCharType="begin"/>
      </w:r>
      <w:r>
        <w:rPr>
          <w:rFonts w:hint="default" w:ascii="Times New Roman" w:hAnsi="Times New Roman" w:cs="Times New Roman"/>
          <w:kern w:val="0"/>
          <w:szCs w:val="21"/>
        </w:rPr>
        <w:instrText xml:space="preserve"> HYPERLINK "javascript:__doPostBack('ctl00$ctl00$ContentPlaceHolder1$ContentPlaceHolder1$rptStandard$ctl08$lbtnDetail','')" \o "点击查看标准详细信息" </w:instrText>
      </w:r>
      <w:r>
        <w:rPr>
          <w:rFonts w:hint="default" w:ascii="Times New Roman" w:hAnsi="Times New Roman" w:cs="Times New Roman"/>
          <w:kern w:val="0"/>
          <w:szCs w:val="21"/>
        </w:rPr>
        <w:fldChar w:fldCharType="separate"/>
      </w:r>
      <w:r>
        <w:rPr>
          <w:rFonts w:hint="default" w:ascii="Times New Roman" w:hAnsi="Times New Roman" w:cs="Times New Roman"/>
          <w:kern w:val="0"/>
          <w:szCs w:val="21"/>
        </w:rPr>
        <w:t>GB/T 1971-2021</w:t>
      </w:r>
      <w:r>
        <w:rPr>
          <w:rFonts w:hint="default" w:ascii="Times New Roman" w:hAnsi="Times New Roman" w:cs="Times New Roman"/>
          <w:kern w:val="0"/>
          <w:szCs w:val="21"/>
        </w:rPr>
        <w:fldChar w:fldCharType="end"/>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旋转电机 线端标志与旋转方向</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GB/T 5089-2017       电风扇用电动机通用技术条件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GB/T 6656-2008       铁氧体永磁直流电动机</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lang w:eastAsia="zh-CN"/>
        </w:rPr>
        <w:t>GB/T 12350-2022</w:t>
      </w:r>
      <w:r>
        <w:rPr>
          <w:rFonts w:hint="default" w:ascii="Times New Roman" w:hAnsi="Times New Roman" w:cs="Times New Roman"/>
          <w:kern w:val="0"/>
          <w:szCs w:val="21"/>
        </w:rPr>
        <w:t xml:space="preserve">      小功率电动机的安全要求</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lang w:val="en-US" w:eastAsia="zh-CN"/>
        </w:rPr>
        <w:t>GB/T 14711-2013      中小型旋转电机通用安全要求</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GB/T 16961-2009      电子调速微型异步电动机 通用技术条件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1009-2016       YS系列三相异步电动机技术条件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1010-2017       YU系列电阻起动异步电动机技术条件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1011-2017       YC系列电容起动异步电动机技术条件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1012-2017       YY系列电容运转异步电动机技术条件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10888-2008      电动自行车及类似用途用电动机技术条件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3698-2008       单相离合器电动机</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3699-2008       三相离合器电动机</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3758-2011       家用洗衣机用电动机 通用技术条件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4052-2015       家用缝纫机电动机及其调速器</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4269-2013       罩极异步电动机通用技术条件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4270-2013       房间空调器风扇用电容运转异步电动机技术条件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4376-2013       水泵用小功率异步电动机技术条件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5276-2017       小功率直流电动机 通用技术条件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5887-1991       家用真空吸尘器用单相串励电动机风机技术条件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6737-2015       吸排油烟机用电动机 通用技术条件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6738-2011       封闭式制冷压缩机用单相异步电动机通用技术条件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7578-2015       食物搅碎器用串励电动机</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8157-2016       小功率单相串励电动机 通用技术条件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8311-2014       爪极式永磁同步电动机 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9541-2015       家用换气扇用电动机 通用技术条件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9542-2015       双值电容异步电动机 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9543-2016       小功率齿轮减速异步电动机 通用技术条件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JB/T 10490-2016      小功率电动机机械振动 振动测量方法、评定和限值</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QB/T 1179-2010       工业用缝纫机机械离合器电动机</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QB/T 2257-1996       家用缝纫机电动机和调速器</w:t>
      </w:r>
    </w:p>
    <w:p>
      <w:pPr>
        <w:keepNext w:val="0"/>
        <w:keepLines w:val="0"/>
        <w:pageBreakBefore w:val="0"/>
        <w:widowControl/>
        <w:kinsoku/>
        <w:wordWrap/>
        <w:overflowPunct/>
        <w:topLinePunct w:val="0"/>
        <w:autoSpaceDE/>
        <w:autoSpaceDN/>
        <w:bidi w:val="0"/>
        <w:adjustRightInd w:val="0"/>
        <w:snapToGrid w:val="0"/>
        <w:spacing w:line="440" w:lineRule="exact"/>
        <w:ind w:firstLine="420"/>
        <w:jc w:val="left"/>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JB/T 10686-2006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 xml:space="preserve"> YX3系列(IP55)高效率三相异步电动机技术条件(机座号80～355)</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GB/T 28575-2020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YE3系列（IP55）三相异步电动机技术条件（机座号63～355）</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JB/T 5269-2018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YR3系列（IP23）三相异步电动机 技术条件（机座号160～355)</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JB/T 6297-2010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YLJ系列力矩三相异步电动机 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JB/T 6316-2006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Z4系列直流电动机技术条件(机座号100～450)</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JB/T 6447-2010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 xml:space="preserve"> YCJ系列齿轮减速三相异步电动机 技术条件( 机座号71～280)</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JB/T 6456-2010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YEJ系列（IP44）电磁制动三相异步电动机 技术条件(机座号80～225)</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JB/T 7118-2014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YVF2系列(IP54)变频调速专用三相异步电动机技术条件(机座号80～315)</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JB/T 7123-2010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YCT系列电磁调速电动机 技术条件(机座号112～355)</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JB/T 7125-2010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 xml:space="preserve"> 小型平面制动三相异步电动机 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JB/T 8658-2014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外转子低噪声三相异步电动机</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JB/T 8681-2013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 xml:space="preserve"> YDT系列（IP44）变极多速三相异步电动机 技术条件(机座号80～315)</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JB/T 9545-2013     变压器冷却风扇用三相异步电动机技术条件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JB/T 11707-2017    YE2系列(IP55)三相异步电动机技术条件(机座号63～355)</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JB/T 11816-2014    小型无刷三相同步发电机技术条件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JB/T 11817-2014    小型无刷单相同步发电机技术条件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JB/T 13299-2017    YE4系列（IP55）三相异步电动机技术条件（机座号80～450）</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eastAsia" w:ascii="Times New Roman" w:hAnsi="Times New Roman" w:cs="Times New Roman"/>
          <w:kern w:val="0"/>
          <w:szCs w:val="21"/>
        </w:rPr>
        <w:t>GB/T 10069.3-2008   旋转电机噪声测定方法及限值 第3部分:噪声限值</w:t>
      </w:r>
      <w:bookmarkStart w:id="0" w:name="_GoBack"/>
      <w:bookmarkEnd w:id="0"/>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szCs w:val="21"/>
        </w:rPr>
      </w:pPr>
      <w:r>
        <w:rPr>
          <w:szCs w:val="21"/>
        </w:rPr>
        <w:t>现行有效的</w:t>
      </w:r>
      <w:r>
        <w:rPr>
          <w:rFonts w:hint="eastAsia"/>
          <w:szCs w:val="21"/>
        </w:rPr>
        <w:t>其他</w:t>
      </w:r>
      <w:r>
        <w:rPr>
          <w:szCs w:val="21"/>
        </w:rPr>
        <w:t>标准及产品明示质量要求</w:t>
      </w:r>
    </w:p>
    <w:p>
      <w:pPr>
        <w:keepNext w:val="0"/>
        <w:keepLines w:val="0"/>
        <w:pageBreakBefore w:val="0"/>
        <w:kinsoku/>
        <w:wordWrap/>
        <w:overflowPunct/>
        <w:topLinePunct w:val="0"/>
        <w:autoSpaceDE/>
        <w:autoSpaceDN/>
        <w:bidi w:val="0"/>
        <w:snapToGrid w:val="0"/>
        <w:spacing w:line="440" w:lineRule="exact"/>
        <w:ind w:firstLine="359" w:firstLineChars="171"/>
        <w:textAlignment w:val="auto"/>
        <w:rPr>
          <w:rFonts w:hint="default" w:ascii="Times New Roman" w:hAnsi="Times New Roman" w:cs="Times New Roman"/>
          <w:szCs w:val="21"/>
        </w:rPr>
      </w:pPr>
    </w:p>
    <w:p>
      <w:pPr>
        <w:keepNext w:val="0"/>
        <w:keepLines w:val="0"/>
        <w:pageBreakBefore w:val="0"/>
        <w:kinsoku/>
        <w:wordWrap/>
        <w:overflowPunct/>
        <w:topLinePunct w:val="0"/>
        <w:autoSpaceDE/>
        <w:autoSpaceDN/>
        <w:bidi w:val="0"/>
        <w:adjustRightInd w:val="0"/>
        <w:snapToGrid w:val="0"/>
        <w:spacing w:line="440" w:lineRule="exact"/>
        <w:jc w:val="left"/>
        <w:textAlignment w:val="auto"/>
        <w:rPr>
          <w:rFonts w:hint="default" w:ascii="Times New Roman" w:hAnsi="Times New Roman" w:cs="Times New Roman"/>
        </w:rPr>
      </w:pPr>
      <w:r>
        <w:rPr>
          <w:rFonts w:hint="default" w:ascii="Times New Roman" w:hAnsi="Times New Roman" w:cs="Times New Roman"/>
        </w:rPr>
        <w:t>3.2判定原则</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若被检产品明示的质量要求低于或包含本细则中检验项目依据的推荐性标准要求时，应以被检产品明示的质量要求判定。但应在检验报告中注明该项目的实测值以及推荐性标准的标准值。</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若被检产品明示的质量要求缺少本细则中检验项目依据的推荐性标准要求时，该项目不参与判定。但应在检验报告中注明该项目的实测值以及推荐性标准的标准值。</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color w:val="000000"/>
          <w:szCs w:val="21"/>
        </w:rPr>
      </w:pPr>
    </w:p>
    <w:p>
      <w:pPr>
        <w:adjustRightInd w:val="0"/>
        <w:snapToGrid w:val="0"/>
        <w:spacing w:line="440" w:lineRule="exact"/>
        <w:rPr>
          <w:rFonts w:hint="eastAsia"/>
          <w:color w:val="000000"/>
          <w:szCs w:val="21"/>
        </w:rPr>
      </w:pPr>
      <w:r>
        <w:rPr>
          <w:rFonts w:hint="eastAsia"/>
          <w:color w:val="000000"/>
          <w:szCs w:val="21"/>
        </w:rPr>
        <w:t>3</w:t>
      </w:r>
      <w:r>
        <w:rPr>
          <w:color w:val="000000"/>
          <w:szCs w:val="21"/>
        </w:rPr>
        <w:t xml:space="preserve">.3 </w:t>
      </w:r>
      <w:r>
        <w:rPr>
          <w:rFonts w:hint="eastAsia"/>
          <w:color w:val="000000"/>
          <w:szCs w:val="21"/>
        </w:rPr>
        <w:t>综合结论判定</w:t>
      </w:r>
    </w:p>
    <w:p>
      <w:pPr>
        <w:snapToGrid w:val="0"/>
        <w:spacing w:line="440" w:lineRule="exact"/>
        <w:ind w:firstLine="420" w:firstLineChars="200"/>
        <w:rPr>
          <w:rFonts w:hint="eastAsia"/>
          <w:color w:val="000000"/>
          <w:szCs w:val="21"/>
        </w:rPr>
      </w:pPr>
      <w:r>
        <w:rPr>
          <w:color w:val="000000"/>
          <w:szCs w:val="21"/>
        </w:rPr>
        <w:t>经检验，</w:t>
      </w:r>
      <w:r>
        <w:rPr>
          <w:rFonts w:hint="eastAsia"/>
          <w:color w:val="000000"/>
          <w:szCs w:val="21"/>
        </w:rPr>
        <w:t>检验项目中任一项或一项以上不合格，判定被抽查产品为“不合格”。</w:t>
      </w:r>
    </w:p>
    <w:p>
      <w:pPr>
        <w:snapToGrid w:val="0"/>
        <w:spacing w:line="440" w:lineRule="exact"/>
        <w:ind w:firstLine="420" w:firstLineChars="200"/>
        <w:rPr>
          <w:rFonts w:hint="eastAsia" w:eastAsiaTheme="minorEastAsia"/>
          <w:color w:val="000000"/>
          <w:szCs w:val="21"/>
          <w:lang w:eastAsia="zh-CN"/>
        </w:rPr>
      </w:pPr>
      <w:r>
        <w:rPr>
          <w:rFonts w:hint="default" w:ascii="Times New Roman" w:hAnsi="Times New Roman" w:cs="Times New Roman"/>
        </w:rPr>
        <w:t>对于在正常检验过程中发生绕组击穿，导致无法继续试验时，未检验的项目不做单项判定，</w:t>
      </w:r>
      <w:r>
        <w:rPr>
          <w:rFonts w:hint="default" w:ascii="Times New Roman" w:hAnsi="Times New Roman" w:cs="Times New Roman"/>
          <w:color w:val="000000"/>
          <w:szCs w:val="21"/>
        </w:rPr>
        <w:t>判定被抽查产品为“不合格”</w:t>
      </w:r>
      <w:r>
        <w:rPr>
          <w:rFonts w:hint="eastAsia" w:ascii="Times New Roman" w:hAnsi="Times New Roman" w:cs="Times New Roman"/>
          <w:color w:val="000000"/>
          <w:szCs w:val="21"/>
          <w:lang w:eastAsia="zh-CN"/>
        </w:rPr>
        <w:t>。</w:t>
      </w:r>
    </w:p>
    <w:p>
      <w:pPr>
        <w:snapToGrid w:val="0"/>
        <w:spacing w:line="440" w:lineRule="exact"/>
        <w:ind w:firstLine="420" w:firstLineChars="200"/>
        <w:rPr>
          <w:rFonts w:hint="eastAsia"/>
          <w:color w:val="000000"/>
          <w:szCs w:val="21"/>
        </w:rPr>
      </w:pPr>
      <w:r>
        <w:rPr>
          <w:rFonts w:hint="eastAsia"/>
          <w:color w:val="000000"/>
          <w:szCs w:val="21"/>
        </w:rPr>
        <w:t>检验项目全部符合明示质量要求，但不符合本细则检验项目依据的推荐性标准，判定被抽查产品为“所检项目符合明示质量要求，未达到××标准规定”。（注：××为具体标准名称）</w:t>
      </w:r>
    </w:p>
    <w:p>
      <w:pPr>
        <w:snapToGrid w:val="0"/>
        <w:spacing w:line="440" w:lineRule="exact"/>
        <w:ind w:firstLine="420" w:firstLineChars="200"/>
        <w:rPr>
          <w:rFonts w:hint="eastAsia"/>
          <w:color w:val="000000"/>
          <w:szCs w:val="21"/>
        </w:rPr>
      </w:pPr>
      <w:r>
        <w:rPr>
          <w:rFonts w:hint="eastAsia"/>
          <w:color w:val="000000"/>
          <w:szCs w:val="21"/>
        </w:rPr>
        <w:t>检验项目全部符合明示质量要求，且符合本细则检验项目依据的推荐性标准，判定被抽查产品为“所检项目符合本次监督抽查要求”。</w:t>
      </w:r>
    </w:p>
    <w:p>
      <w:pPr>
        <w:keepNext w:val="0"/>
        <w:keepLines w:val="0"/>
        <w:pageBreakBefore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color w:val="000000"/>
          <w:szCs w:val="21"/>
        </w:rPr>
      </w:pPr>
    </w:p>
    <w:p>
      <w:pPr>
        <w:spacing w:line="440" w:lineRule="exact"/>
        <w:rPr>
          <w:rFonts w:eastAsia="黑体"/>
          <w:color w:val="000000"/>
          <w:szCs w:val="21"/>
        </w:rPr>
      </w:pPr>
      <w:r>
        <w:rPr>
          <w:rFonts w:hint="eastAsia" w:eastAsia="黑体"/>
          <w:color w:val="000000"/>
          <w:szCs w:val="21"/>
        </w:rPr>
        <w:t>4 附则</w:t>
      </w:r>
    </w:p>
    <w:p>
      <w:pPr>
        <w:spacing w:line="440" w:lineRule="exact"/>
        <w:ind w:firstLine="420" w:firstLineChars="200"/>
        <w:rPr>
          <w:rFonts w:hint="eastAsia" w:hAnsi="宋体"/>
        </w:rPr>
      </w:pPr>
      <w:r>
        <w:rPr>
          <w:rFonts w:hint="eastAsia"/>
          <w:color w:val="000000"/>
          <w:szCs w:val="21"/>
        </w:rPr>
        <w:t>本细则首次发布。</w:t>
      </w:r>
    </w:p>
    <w:p>
      <w:pPr>
        <w:keepNext w:val="0"/>
        <w:keepLines w:val="0"/>
        <w:pageBreakBefore w:val="0"/>
        <w:kinsoku/>
        <w:wordWrap/>
        <w:overflowPunct/>
        <w:topLinePunct w:val="0"/>
        <w:autoSpaceDE/>
        <w:autoSpaceDN/>
        <w:bidi w:val="0"/>
        <w:adjustRightInd w:val="0"/>
        <w:snapToGrid w:val="0"/>
        <w:spacing w:line="440" w:lineRule="exact"/>
        <w:textAlignment w:val="auto"/>
        <w:rPr>
          <w:rFonts w:hint="default" w:ascii="Times New Roman" w:hAnsi="Times New Roman" w:cs="Times New Roman"/>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jMGI2MzYzODNhYzY0NTc4MWM1ODdlZjU2M2NiYTAifQ=="/>
  </w:docVars>
  <w:rsids>
    <w:rsidRoot w:val="5068785C"/>
    <w:rsid w:val="00DC19CB"/>
    <w:rsid w:val="0CC31C91"/>
    <w:rsid w:val="0E601E8E"/>
    <w:rsid w:val="1488346E"/>
    <w:rsid w:val="14DC1398"/>
    <w:rsid w:val="21645399"/>
    <w:rsid w:val="290F7C69"/>
    <w:rsid w:val="2BC534D2"/>
    <w:rsid w:val="2E750BE6"/>
    <w:rsid w:val="2F8D1F5F"/>
    <w:rsid w:val="337A3FFE"/>
    <w:rsid w:val="360D0258"/>
    <w:rsid w:val="3699568D"/>
    <w:rsid w:val="3A0A41DF"/>
    <w:rsid w:val="4AB64608"/>
    <w:rsid w:val="5068785C"/>
    <w:rsid w:val="589A2E73"/>
    <w:rsid w:val="604D4C6F"/>
    <w:rsid w:val="62E93375"/>
    <w:rsid w:val="68A044D6"/>
    <w:rsid w:val="693206B8"/>
    <w:rsid w:val="6AC81AC2"/>
    <w:rsid w:val="6C331F37"/>
    <w:rsid w:val="6D764074"/>
    <w:rsid w:val="6E5F7AA4"/>
    <w:rsid w:val="6FF83D07"/>
    <w:rsid w:val="73B9228F"/>
    <w:rsid w:val="75AF16DD"/>
    <w:rsid w:val="76E41A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Cs w:val="21"/>
    </w:rPr>
  </w:style>
  <w:style w:type="paragraph" w:styleId="3">
    <w:name w:val="Balloon Text"/>
    <w:basedOn w:val="1"/>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2174</Words>
  <Characters>3689</Characters>
  <Lines>0</Lines>
  <Paragraphs>0</Paragraphs>
  <TotalTime>0</TotalTime>
  <ScaleCrop>false</ScaleCrop>
  <LinksUpToDate>false</LinksUpToDate>
  <CharactersWithSpaces>4189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2023-03-29T11:31:00Z</dcterms:created>
  <dc:creator>admin</dc:creator>
  <cp:lastModifiedBy>zhj</cp:lastModifiedBy>
  <dcterms:modified xsi:type="dcterms:W3CDTF">2023-06-20T02:01:32Z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F9D74D69B3FD453E8D8D020DEB628A85_11</vt:lpwstr>
  </property>
</Properties>
</file>