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方正小标宋简体" w:cs="Times New Roman"/>
          <w:color w:val="000000"/>
          <w:sz w:val="30"/>
          <w:szCs w:val="30"/>
        </w:rPr>
      </w:pPr>
      <w:r>
        <w:rPr>
          <w:rFonts w:hint="default" w:ascii="Times New Roman" w:hAnsi="Times New Roman" w:eastAsia="方正小标宋简体" w:cs="Times New Roman"/>
          <w:color w:val="000000"/>
          <w:sz w:val="30"/>
          <w:szCs w:val="30"/>
          <w:lang w:eastAsia="zh-CN"/>
        </w:rPr>
        <w:t>台州市中小</w:t>
      </w:r>
      <w:r>
        <w:rPr>
          <w:rFonts w:hint="default" w:ascii="Times New Roman" w:hAnsi="Times New Roman" w:eastAsia="方正小标宋简体" w:cs="Times New Roman"/>
          <w:color w:val="000000"/>
          <w:sz w:val="30"/>
          <w:szCs w:val="30"/>
        </w:rPr>
        <w:t>电机产品质量监督抽查实施细则（202</w:t>
      </w:r>
      <w:r>
        <w:rPr>
          <w:rFonts w:hint="default" w:ascii="Times New Roman" w:hAnsi="Times New Roman" w:eastAsia="方正小标宋简体" w:cs="Times New Roman"/>
          <w:color w:val="000000"/>
          <w:sz w:val="30"/>
          <w:szCs w:val="30"/>
          <w:lang w:val="en-US" w:eastAsia="zh-CN"/>
        </w:rPr>
        <w:t>3</w:t>
      </w:r>
      <w:r>
        <w:rPr>
          <w:rFonts w:hint="default" w:ascii="Times New Roman" w:hAnsi="Times New Roman" w:eastAsia="方正小标宋简体" w:cs="Times New Roman"/>
          <w:color w:val="000000"/>
          <w:sz w:val="30"/>
          <w:szCs w:val="30"/>
        </w:rPr>
        <w:t>年版）</w:t>
      </w:r>
    </w:p>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方正小标宋简体" w:cs="Times New Roman"/>
          <w:color w:val="000000"/>
          <w:sz w:val="30"/>
          <w:szCs w:val="30"/>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r>
        <w:rPr>
          <w:rFonts w:hint="default" w:ascii="Times New Roman" w:hAnsi="Times New Roman" w:eastAsia="黑体" w:cs="Times New Roman"/>
          <w:szCs w:val="21"/>
        </w:rPr>
        <w:t>1 抽样方法</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outlineLvl w:val="1"/>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440" w:lineRule="exact"/>
        <w:ind w:firstLine="420"/>
        <w:textAlignment w:val="auto"/>
        <w:outlineLvl w:val="1"/>
        <w:rPr>
          <w:rFonts w:hint="default" w:ascii="Times New Roman" w:hAnsi="Times New Roman" w:cs="Times New Roman"/>
          <w:szCs w:val="21"/>
        </w:rPr>
      </w:pPr>
      <w:r>
        <w:rPr>
          <w:rFonts w:hint="default" w:ascii="Times New Roman" w:hAnsi="Times New Roman" w:cs="Times New Roman"/>
          <w:szCs w:val="21"/>
        </w:rPr>
        <w:t>每批次产品抽取3个，其中2个作为检验样品，1个作为备用样品。</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outlineLvl w:val="1"/>
        <w:rPr>
          <w:rFonts w:hint="default" w:ascii="Times New Roman" w:hAnsi="Times New Roman" w:eastAsia="黑体" w:cs="Times New Roman"/>
          <w:szCs w:val="21"/>
        </w:rPr>
      </w:pPr>
      <w:r>
        <w:rPr>
          <w:rFonts w:hint="default" w:ascii="Times New Roman" w:hAnsi="Times New Roman" w:eastAsia="黑体" w:cs="Times New Roman"/>
          <w:szCs w:val="21"/>
        </w:rPr>
        <w:t>2 检验依据</w:t>
      </w:r>
    </w:p>
    <w:p>
      <w:pPr>
        <w:snapToGrid w:val="0"/>
        <w:spacing w:line="440" w:lineRule="exact"/>
        <w:jc w:val="center"/>
        <w:outlineLvl w:val="0"/>
        <w:rPr>
          <w:rFonts w:hint="default" w:ascii="Times New Roman" w:hAnsi="Times New Roman" w:eastAsia="黑体" w:cs="Times New Roman"/>
          <w:color w:val="000000"/>
          <w:szCs w:val="21"/>
          <w:highlight w:val="none"/>
        </w:rPr>
      </w:pPr>
      <w:r>
        <w:rPr>
          <w:rFonts w:hint="default" w:ascii="Times New Roman" w:hAnsi="Times New Roman" w:eastAsia="黑体" w:cs="Times New Roman"/>
          <w:color w:val="000000"/>
          <w:szCs w:val="21"/>
          <w:highlight w:val="none"/>
        </w:rPr>
        <w:t>明示执行标准为</w:t>
      </w:r>
      <w:r>
        <w:rPr>
          <w:rFonts w:hint="eastAsia" w:ascii="Times New Roman" w:hAnsi="Times New Roman" w:eastAsia="黑体" w:cs="Times New Roman"/>
          <w:color w:val="000000"/>
          <w:szCs w:val="21"/>
          <w:highlight w:val="none"/>
          <w:lang w:val="en-US" w:eastAsia="zh-CN"/>
        </w:rPr>
        <w:t>如下</w:t>
      </w:r>
      <w:r>
        <w:rPr>
          <w:rFonts w:hint="default" w:ascii="Times New Roman" w:hAnsi="Times New Roman" w:eastAsia="黑体" w:cs="Times New Roman"/>
          <w:color w:val="000000"/>
          <w:szCs w:val="21"/>
          <w:highlight w:val="none"/>
        </w:rPr>
        <w:t>的</w:t>
      </w:r>
      <w:r>
        <w:rPr>
          <w:rFonts w:hint="default" w:ascii="Times New Roman" w:hAnsi="Times New Roman" w:eastAsia="黑体" w:cs="Times New Roman"/>
          <w:color w:val="000000"/>
          <w:szCs w:val="21"/>
          <w:highlight w:val="none"/>
          <w:lang w:eastAsia="zh-CN"/>
        </w:rPr>
        <w:t>中小</w:t>
      </w:r>
      <w:r>
        <w:rPr>
          <w:rFonts w:hint="default" w:ascii="Times New Roman" w:hAnsi="Times New Roman" w:eastAsia="黑体" w:cs="Times New Roman"/>
          <w:color w:val="000000"/>
          <w:szCs w:val="21"/>
          <w:highlight w:val="none"/>
        </w:rPr>
        <w:t>电机</w:t>
      </w:r>
    </w:p>
    <w:tbl>
      <w:tblPr>
        <w:tblStyle w:val="6"/>
        <w:tblW w:w="954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543"/>
        <w:gridCol w:w="1296"/>
        <w:gridCol w:w="2786"/>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507"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2839" w:type="dxa"/>
            <w:gridSpan w:val="2"/>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检验项目</w:t>
            </w:r>
          </w:p>
        </w:tc>
        <w:tc>
          <w:tcPr>
            <w:tcW w:w="2786"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检验方法</w:t>
            </w:r>
          </w:p>
        </w:tc>
        <w:tc>
          <w:tcPr>
            <w:tcW w:w="2408"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vMerge w:val="restart"/>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c>
          <w:tcPr>
            <w:tcW w:w="1543" w:type="dxa"/>
            <w:vMerge w:val="restart"/>
            <w:noWrap w:val="0"/>
            <w:vAlign w:val="center"/>
          </w:tcPr>
          <w:p>
            <w:pPr>
              <w:pStyle w:val="2"/>
              <w:adjustRightInd w:val="0"/>
              <w:snapToGrid w:val="0"/>
              <w:spacing w:line="240" w:lineRule="auto"/>
              <w:jc w:val="left"/>
              <w:rPr>
                <w:rFonts w:hint="eastAsia" w:ascii="宋体" w:hAnsi="宋体" w:eastAsia="宋体" w:cs="宋体"/>
                <w:color w:val="000000"/>
                <w:sz w:val="21"/>
                <w:szCs w:val="21"/>
              </w:rPr>
            </w:pPr>
            <w:r>
              <w:rPr>
                <w:rFonts w:hint="eastAsia" w:ascii="宋体" w:hAnsi="宋体" w:eastAsia="宋体" w:cs="宋体"/>
                <w:sz w:val="21"/>
                <w:szCs w:val="21"/>
                <w:lang w:val="en-US" w:eastAsia="zh-CN"/>
              </w:rPr>
              <w:t>标志与说明</w:t>
            </w:r>
          </w:p>
        </w:tc>
        <w:tc>
          <w:tcPr>
            <w:tcW w:w="129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制造厂信息</w:t>
            </w:r>
          </w:p>
        </w:tc>
        <w:tc>
          <w:tcPr>
            <w:tcW w:w="2786" w:type="dxa"/>
            <w:vMerge w:val="restart"/>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14711-2013 4</w:t>
            </w:r>
          </w:p>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755-2019</w:t>
            </w:r>
          </w:p>
          <w:p>
            <w:pPr>
              <w:spacing w:line="240" w:lineRule="auto"/>
              <w:jc w:val="center"/>
              <w:rPr>
                <w:rFonts w:hint="eastAsia" w:ascii="宋体" w:hAnsi="宋体" w:eastAsia="宋体" w:cs="宋体"/>
                <w:color w:val="000000"/>
                <w:sz w:val="21"/>
                <w:szCs w:val="21"/>
                <w:lang w:val="en-US" w:eastAsia="zh-CN"/>
              </w:rPr>
            </w:pPr>
            <w:r>
              <w:rPr>
                <w:rFonts w:hint="eastAsia" w:ascii="宋体" w:hAnsi="宋体" w:eastAsia="宋体" w:cs="宋体"/>
                <w:sz w:val="21"/>
                <w:szCs w:val="21"/>
                <w:lang w:val="en-US" w:eastAsia="zh-CN"/>
              </w:rPr>
              <w:t>产品明示执行标准</w:t>
            </w:r>
          </w:p>
        </w:tc>
        <w:tc>
          <w:tcPr>
            <w:tcW w:w="2408" w:type="dxa"/>
            <w:vMerge w:val="restart"/>
            <w:noWrap w:val="0"/>
            <w:vAlign w:val="center"/>
          </w:tcPr>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10686-2006</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GB/T</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28575-2020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5269-2018</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6297-2010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6316-2006</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6447-2010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6456-2010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7118-2014</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7123-2010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7125-2010</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8658-2014</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8681-2013</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9545-2013</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11707-2017</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11816-2014</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11817-2014</w:t>
            </w:r>
          </w:p>
          <w:p>
            <w:pPr>
              <w:widowControl/>
              <w:adjustRightInd w:val="0"/>
              <w:snapToGrid w:val="0"/>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JB/T 13299-2017</w:t>
            </w:r>
          </w:p>
          <w:p>
            <w:pPr>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vMerge w:val="continue"/>
            <w:noWrap w:val="0"/>
            <w:vAlign w:val="center"/>
          </w:tcPr>
          <w:p>
            <w:pPr>
              <w:spacing w:line="240" w:lineRule="auto"/>
              <w:rPr>
                <w:rFonts w:hint="eastAsia" w:ascii="宋体" w:hAnsi="宋体" w:eastAsia="宋体" w:cs="宋体"/>
                <w:sz w:val="21"/>
                <w:szCs w:val="21"/>
              </w:rPr>
            </w:pPr>
          </w:p>
        </w:tc>
        <w:tc>
          <w:tcPr>
            <w:tcW w:w="1543" w:type="dxa"/>
            <w:vMerge w:val="continue"/>
            <w:noWrap w:val="0"/>
            <w:vAlign w:val="center"/>
          </w:tcPr>
          <w:p>
            <w:pPr>
              <w:spacing w:line="240" w:lineRule="auto"/>
              <w:rPr>
                <w:rFonts w:hint="eastAsia" w:ascii="宋体" w:hAnsi="宋体" w:eastAsia="宋体" w:cs="宋体"/>
                <w:sz w:val="21"/>
                <w:szCs w:val="21"/>
              </w:rPr>
            </w:pPr>
          </w:p>
        </w:tc>
        <w:tc>
          <w:tcPr>
            <w:tcW w:w="129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其他信息</w:t>
            </w:r>
          </w:p>
        </w:tc>
        <w:tc>
          <w:tcPr>
            <w:tcW w:w="2786" w:type="dxa"/>
            <w:vMerge w:val="continue"/>
            <w:noWrap w:val="0"/>
            <w:vAlign w:val="center"/>
          </w:tcPr>
          <w:p>
            <w:pPr>
              <w:spacing w:line="240" w:lineRule="auto"/>
              <w:rPr>
                <w:rFonts w:hint="eastAsia" w:ascii="宋体" w:hAnsi="宋体" w:eastAsia="宋体" w:cs="宋体"/>
                <w:sz w:val="21"/>
                <w:szCs w:val="21"/>
              </w:rPr>
            </w:pPr>
          </w:p>
        </w:tc>
        <w:tc>
          <w:tcPr>
            <w:tcW w:w="2408" w:type="dxa"/>
            <w:vMerge w:val="continue"/>
            <w:noWrap w:val="0"/>
            <w:vAlign w:val="center"/>
          </w:tcPr>
          <w:p>
            <w:pPr>
              <w:spacing w:line="24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2839" w:type="dxa"/>
            <w:gridSpan w:val="2"/>
            <w:noWrap w:val="0"/>
            <w:vAlign w:val="center"/>
          </w:tcPr>
          <w:p>
            <w:pPr>
              <w:pStyle w:val="2"/>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机座与外壳</w:t>
            </w:r>
          </w:p>
        </w:tc>
        <w:tc>
          <w:tcPr>
            <w:tcW w:w="278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5</w:t>
            </w:r>
          </w:p>
        </w:tc>
        <w:tc>
          <w:tcPr>
            <w:tcW w:w="2408"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接线盒及接线装置</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6</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导线管衬套和等效的螺纹开孔</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7</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接地</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9</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电气间隙与爬电距离</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11</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内部布线</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13</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8</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kern w:val="0"/>
                <w:sz w:val="21"/>
                <w:szCs w:val="21"/>
              </w:rPr>
              <w:t>接线端子</w:t>
            </w:r>
          </w:p>
        </w:tc>
        <w:tc>
          <w:tcPr>
            <w:tcW w:w="2786" w:type="dxa"/>
            <w:noWrap w:val="0"/>
            <w:vAlign w:val="center"/>
          </w:tcPr>
          <w:p>
            <w:pPr>
              <w:pStyle w:val="3"/>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18</w:t>
            </w:r>
          </w:p>
        </w:tc>
        <w:tc>
          <w:tcPr>
            <w:tcW w:w="2408" w:type="dxa"/>
            <w:vMerge w:val="continue"/>
            <w:noWrap w:val="0"/>
            <w:vAlign w:val="center"/>
          </w:tcPr>
          <w:p>
            <w:pPr>
              <w:pStyle w:val="3"/>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9</w:t>
            </w:r>
          </w:p>
        </w:tc>
        <w:tc>
          <w:tcPr>
            <w:tcW w:w="2839" w:type="dxa"/>
            <w:gridSpan w:val="2"/>
            <w:noWrap w:val="0"/>
            <w:vAlign w:val="center"/>
          </w:tcPr>
          <w:p>
            <w:pPr>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定额试验</w:t>
            </w:r>
          </w:p>
        </w:tc>
        <w:tc>
          <w:tcPr>
            <w:tcW w:w="2786" w:type="dxa"/>
            <w:noWrap w:val="0"/>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14711-2013 20</w:t>
            </w:r>
          </w:p>
        </w:tc>
        <w:tc>
          <w:tcPr>
            <w:tcW w:w="2408" w:type="dxa"/>
            <w:vMerge w:val="continue"/>
            <w:noWrap w:val="0"/>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w:t>
            </w:r>
          </w:p>
        </w:tc>
        <w:tc>
          <w:tcPr>
            <w:tcW w:w="2839" w:type="dxa"/>
            <w:gridSpan w:val="2"/>
            <w:noWrap w:val="0"/>
            <w:vAlign w:val="center"/>
          </w:tcPr>
          <w:p>
            <w:pPr>
              <w:pStyle w:val="2"/>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热试验</w:t>
            </w:r>
          </w:p>
        </w:tc>
        <w:tc>
          <w:tcPr>
            <w:tcW w:w="278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21</w:t>
            </w:r>
          </w:p>
        </w:tc>
        <w:tc>
          <w:tcPr>
            <w:tcW w:w="2408"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11</w:t>
            </w:r>
          </w:p>
        </w:tc>
        <w:tc>
          <w:tcPr>
            <w:tcW w:w="2839" w:type="dxa"/>
            <w:gridSpan w:val="2"/>
            <w:noWrap w:val="0"/>
            <w:vAlign w:val="center"/>
          </w:tcPr>
          <w:p>
            <w:pPr>
              <w:pStyle w:val="2"/>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绝缘电阻</w:t>
            </w:r>
          </w:p>
        </w:tc>
        <w:tc>
          <w:tcPr>
            <w:tcW w:w="278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23</w:t>
            </w:r>
          </w:p>
        </w:tc>
        <w:tc>
          <w:tcPr>
            <w:tcW w:w="2408"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12</w:t>
            </w:r>
          </w:p>
        </w:tc>
        <w:tc>
          <w:tcPr>
            <w:tcW w:w="2839" w:type="dxa"/>
            <w:gridSpan w:val="2"/>
            <w:noWrap w:val="0"/>
            <w:vAlign w:val="center"/>
          </w:tcPr>
          <w:p>
            <w:pPr>
              <w:pStyle w:val="2"/>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介电强度试验</w:t>
            </w:r>
          </w:p>
        </w:tc>
        <w:tc>
          <w:tcPr>
            <w:tcW w:w="278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24</w:t>
            </w:r>
          </w:p>
        </w:tc>
        <w:tc>
          <w:tcPr>
            <w:tcW w:w="2408"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13</w:t>
            </w:r>
          </w:p>
        </w:tc>
        <w:tc>
          <w:tcPr>
            <w:tcW w:w="2839" w:type="dxa"/>
            <w:gridSpan w:val="2"/>
            <w:noWrap w:val="0"/>
            <w:vAlign w:val="center"/>
          </w:tcPr>
          <w:p>
            <w:pPr>
              <w:pStyle w:val="2"/>
              <w:adjustRightInd w:val="0"/>
              <w:snapToGrid w:val="0"/>
              <w:spacing w:line="240" w:lineRule="auto"/>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机械强度试验</w:t>
            </w:r>
          </w:p>
        </w:tc>
        <w:tc>
          <w:tcPr>
            <w:tcW w:w="2786" w:type="dxa"/>
            <w:noWrap w:val="0"/>
            <w:vAlign w:val="center"/>
          </w:tcPr>
          <w:p>
            <w:pPr>
              <w:pStyle w:val="2"/>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14711-2013 25</w:t>
            </w:r>
          </w:p>
        </w:tc>
        <w:tc>
          <w:tcPr>
            <w:tcW w:w="2408" w:type="dxa"/>
            <w:vMerge w:val="continue"/>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vMerge w:val="restart"/>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14</w:t>
            </w:r>
          </w:p>
        </w:tc>
        <w:tc>
          <w:tcPr>
            <w:tcW w:w="1543" w:type="dxa"/>
            <w:vMerge w:val="restart"/>
            <w:noWrap w:val="0"/>
            <w:vAlign w:val="center"/>
          </w:tcPr>
          <w:p>
            <w:pPr>
              <w:pStyle w:val="2"/>
              <w:adjustRightInd w:val="0"/>
              <w:snapToGrid w:val="0"/>
              <w:spacing w:line="240" w:lineRule="auto"/>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电机能效</w:t>
            </w:r>
          </w:p>
        </w:tc>
        <w:tc>
          <w:tcPr>
            <w:tcW w:w="1296"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效率</w:t>
            </w:r>
          </w:p>
        </w:tc>
        <w:tc>
          <w:tcPr>
            <w:tcW w:w="2786" w:type="dxa"/>
            <w:noWrap w:val="0"/>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18613-2020</w:t>
            </w:r>
          </w:p>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产品执行标准</w:t>
            </w:r>
          </w:p>
        </w:tc>
        <w:tc>
          <w:tcPr>
            <w:tcW w:w="2408" w:type="dxa"/>
            <w:vMerge w:val="continue"/>
            <w:noWrap w:val="0"/>
            <w:vAlign w:val="center"/>
          </w:tcPr>
          <w:p>
            <w:pPr>
              <w:adjustRightInd w:val="0"/>
              <w:snapToGrid w:val="0"/>
              <w:spacing w:line="240" w:lineRule="auto"/>
              <w:jc w:val="center"/>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vMerge w:val="continue"/>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p>
        </w:tc>
        <w:tc>
          <w:tcPr>
            <w:tcW w:w="1543" w:type="dxa"/>
            <w:vMerge w:val="continue"/>
            <w:noWrap w:val="0"/>
            <w:vAlign w:val="center"/>
          </w:tcPr>
          <w:p>
            <w:pPr>
              <w:pStyle w:val="2"/>
              <w:adjustRightInd w:val="0"/>
              <w:snapToGrid w:val="0"/>
              <w:spacing w:line="240" w:lineRule="auto"/>
              <w:jc w:val="left"/>
              <w:rPr>
                <w:rFonts w:hint="eastAsia" w:ascii="宋体" w:hAnsi="宋体" w:eastAsia="宋体" w:cs="宋体"/>
                <w:sz w:val="21"/>
                <w:szCs w:val="21"/>
                <w:lang w:val="en-US" w:eastAsia="zh-CN"/>
              </w:rPr>
            </w:pPr>
          </w:p>
        </w:tc>
        <w:tc>
          <w:tcPr>
            <w:tcW w:w="1296" w:type="dxa"/>
            <w:noWrap w:val="0"/>
            <w:vAlign w:val="center"/>
          </w:tcPr>
          <w:p>
            <w:pPr>
              <w:pStyle w:val="2"/>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功率因数</w:t>
            </w:r>
          </w:p>
        </w:tc>
        <w:tc>
          <w:tcPr>
            <w:tcW w:w="2786"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rPr>
              <w:t>产品执行标准</w:t>
            </w:r>
          </w:p>
        </w:tc>
        <w:tc>
          <w:tcPr>
            <w:tcW w:w="2408" w:type="dxa"/>
            <w:vMerge w:val="continue"/>
            <w:noWrap w:val="0"/>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vMerge w:val="continue"/>
            <w:noWrap w:val="0"/>
            <w:vAlign w:val="center"/>
          </w:tcPr>
          <w:p>
            <w:pPr>
              <w:numPr>
                <w:ilvl w:val="0"/>
                <w:numId w:val="0"/>
              </w:numPr>
              <w:spacing w:line="240" w:lineRule="auto"/>
              <w:ind w:leftChars="0"/>
              <w:jc w:val="center"/>
              <w:rPr>
                <w:rFonts w:hint="eastAsia" w:ascii="宋体" w:hAnsi="宋体" w:eastAsia="宋体" w:cs="宋体"/>
                <w:color w:val="000000"/>
                <w:sz w:val="21"/>
                <w:szCs w:val="21"/>
                <w:lang w:val="en-US" w:eastAsia="zh-CN"/>
              </w:rPr>
            </w:pPr>
          </w:p>
        </w:tc>
        <w:tc>
          <w:tcPr>
            <w:tcW w:w="2839" w:type="dxa"/>
            <w:gridSpan w:val="2"/>
            <w:noWrap w:val="0"/>
            <w:vAlign w:val="center"/>
          </w:tcPr>
          <w:p>
            <w:pPr>
              <w:adjustRightInd w:val="0"/>
              <w:snapToGrid w:val="0"/>
              <w:spacing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能源标志</w:t>
            </w:r>
          </w:p>
        </w:tc>
        <w:tc>
          <w:tcPr>
            <w:tcW w:w="2786" w:type="dxa"/>
            <w:noWrap w:val="0"/>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CEL 007-2021</w:t>
            </w:r>
          </w:p>
        </w:tc>
        <w:tc>
          <w:tcPr>
            <w:tcW w:w="2408" w:type="dxa"/>
            <w:vMerge w:val="continue"/>
            <w:noWrap w:val="0"/>
            <w:vAlign w:val="center"/>
          </w:tcPr>
          <w:p>
            <w:pPr>
              <w:adjustRightInd w:val="0"/>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507" w:type="dxa"/>
            <w:noWrap w:val="0"/>
            <w:vAlign w:val="center"/>
          </w:tcPr>
          <w:p>
            <w:pPr>
              <w:numPr>
                <w:ilvl w:val="0"/>
                <w:numId w:val="0"/>
              </w:numPr>
              <w:spacing w:line="240" w:lineRule="auto"/>
              <w:ind w:leftChars="0"/>
              <w:jc w:val="center"/>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15</w:t>
            </w:r>
          </w:p>
        </w:tc>
        <w:tc>
          <w:tcPr>
            <w:tcW w:w="2839" w:type="dxa"/>
            <w:gridSpan w:val="2"/>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default" w:ascii="宋体" w:hAnsi="宋体" w:eastAsia="宋体" w:cs="宋体"/>
                <w:sz w:val="21"/>
                <w:szCs w:val="21"/>
              </w:rPr>
              <w:t>噪声的测定</w:t>
            </w:r>
          </w:p>
        </w:tc>
        <w:tc>
          <w:tcPr>
            <w:tcW w:w="2786" w:type="dxa"/>
            <w:noWrap w:val="0"/>
            <w:vAlign w:val="center"/>
          </w:tcPr>
          <w:p>
            <w:pPr>
              <w:adjustRightInd w:val="0"/>
              <w:snapToGrid w:val="0"/>
              <w:spacing w:line="240" w:lineRule="auto"/>
              <w:jc w:val="center"/>
              <w:rPr>
                <w:rFonts w:hint="eastAsia" w:ascii="宋体" w:hAnsi="宋体" w:eastAsia="宋体" w:cs="宋体"/>
                <w:sz w:val="21"/>
                <w:szCs w:val="21"/>
                <w:lang w:val="en-US" w:eastAsia="zh-CN"/>
              </w:rPr>
            </w:pPr>
            <w:r>
              <w:rPr>
                <w:rFonts w:hint="default" w:ascii="宋体" w:hAnsi="宋体" w:eastAsia="宋体" w:cs="宋体"/>
                <w:sz w:val="21"/>
                <w:szCs w:val="21"/>
              </w:rPr>
              <w:t>GB/T 10069.1-2006</w:t>
            </w:r>
          </w:p>
        </w:tc>
        <w:tc>
          <w:tcPr>
            <w:tcW w:w="2408" w:type="dxa"/>
            <w:vMerge w:val="continue"/>
            <w:noWrap w:val="0"/>
            <w:vAlign w:val="center"/>
          </w:tcPr>
          <w:p>
            <w:pPr>
              <w:adjustRightInd w:val="0"/>
              <w:snapToGrid w:val="0"/>
              <w:spacing w:line="240" w:lineRule="auto"/>
              <w:jc w:val="center"/>
              <w:rPr>
                <w:rFonts w:hint="eastAsia" w:ascii="宋体" w:hAnsi="宋体" w:eastAsia="宋体" w:cs="宋体"/>
                <w:sz w:val="21"/>
                <w:szCs w:val="21"/>
              </w:rPr>
            </w:pPr>
          </w:p>
        </w:tc>
      </w:tr>
    </w:tbl>
    <w:p>
      <w:pPr>
        <w:adjustRightInd w:val="0"/>
        <w:snapToGrid w:val="0"/>
        <w:spacing w:line="360" w:lineRule="auto"/>
        <w:outlineLvl w:val="1"/>
        <w:rPr>
          <w:rFonts w:hint="default" w:ascii="Times New Roman" w:hAnsi="Times New Roman" w:eastAsia="黑体" w:cs="Times New Roman"/>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szCs w:val="21"/>
        </w:rPr>
      </w:pPr>
      <w:r>
        <w:rPr>
          <w:szCs w:val="21"/>
        </w:rPr>
        <w:t>执行</w:t>
      </w:r>
      <w:r>
        <w:rPr>
          <w:rFonts w:hint="eastAsia"/>
          <w:szCs w:val="21"/>
        </w:rPr>
        <w:t>其他标准</w:t>
      </w:r>
      <w:r>
        <w:rPr>
          <w:szCs w:val="21"/>
        </w:rPr>
        <w:t>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szCs w:val="21"/>
        </w:rPr>
      </w:pPr>
      <w:r>
        <w:rPr>
          <w:rFonts w:hint="eastAsia"/>
          <w:szCs w:val="21"/>
        </w:rPr>
        <w:t>凡是注日期的文件，其随后所有的修改单（不包括勘误的内容）或修订版不适用于本细则。凡是不注日期的文件，其最新版本适</w:t>
      </w:r>
      <w:bookmarkStart w:id="0" w:name="_GoBack"/>
      <w:bookmarkEnd w:id="0"/>
      <w:r>
        <w:rPr>
          <w:rFonts w:hint="eastAsia"/>
          <w:szCs w:val="21"/>
        </w:rPr>
        <w:t>用于本细则。</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szCs w:val="21"/>
        </w:rPr>
      </w:pPr>
      <w:r>
        <w:rPr>
          <w:rFonts w:hint="eastAsia"/>
          <w:szCs w:val="21"/>
        </w:rPr>
        <w:t>复检时所检测的样品为备用样品。</w:t>
      </w:r>
    </w:p>
    <w:p>
      <w:pPr>
        <w:adjustRightInd w:val="0"/>
        <w:snapToGrid w:val="0"/>
        <w:spacing w:line="360" w:lineRule="auto"/>
        <w:outlineLvl w:val="1"/>
        <w:rPr>
          <w:rFonts w:hint="default" w:ascii="Times New Roman" w:hAnsi="Times New Roman" w:eastAsia="黑体" w:cs="Times New Roman"/>
          <w:szCs w:val="21"/>
        </w:rPr>
      </w:pPr>
    </w:p>
    <w:p>
      <w:pPr>
        <w:adjustRightInd w:val="0"/>
        <w:snapToGrid w:val="0"/>
        <w:spacing w:line="360" w:lineRule="auto"/>
        <w:outlineLvl w:val="1"/>
        <w:rPr>
          <w:rFonts w:hint="default" w:ascii="Times New Roman" w:hAnsi="Times New Roman" w:eastAsia="黑体" w:cs="Times New Roman"/>
          <w:szCs w:val="21"/>
        </w:rPr>
      </w:pPr>
      <w:r>
        <w:rPr>
          <w:rFonts w:hint="default" w:ascii="Times New Roman" w:hAnsi="Times New Roman" w:eastAsia="黑体" w:cs="Times New Roman"/>
          <w:szCs w:val="21"/>
        </w:rPr>
        <w:t>3 判定规则</w:t>
      </w:r>
    </w:p>
    <w:p>
      <w:pPr>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pStyle w:val="2"/>
        <w:adjustRightInd w:val="0"/>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rPr>
        <w:t xml:space="preserve">CEL 007-2021       </w:t>
      </w:r>
      <w:r>
        <w:rPr>
          <w:rFonts w:hint="default" w:ascii="Times New Roman" w:hAnsi="Times New Roman" w:cs="Times New Roman"/>
          <w:lang w:val="en-US" w:eastAsia="zh-CN"/>
        </w:rPr>
        <w:t xml:space="preserve"> </w:t>
      </w:r>
      <w:r>
        <w:rPr>
          <w:rFonts w:hint="default" w:ascii="Times New Roman" w:hAnsi="Times New Roman" w:cs="Times New Roman"/>
        </w:rPr>
        <w:t>三相异步电动机能源效率标识实施规则</w:t>
      </w:r>
    </w:p>
    <w:p>
      <w:pPr>
        <w:widowControl/>
        <w:adjustRightInd w:val="0"/>
        <w:snapToGrid w:val="0"/>
        <w:spacing w:line="360" w:lineRule="auto"/>
        <w:ind w:firstLine="420"/>
        <w:jc w:val="left"/>
        <w:rPr>
          <w:rFonts w:hint="default" w:ascii="Times New Roman" w:hAnsi="Times New Roman" w:cs="Times New Roman"/>
          <w:kern w:val="0"/>
          <w:szCs w:val="21"/>
        </w:rPr>
      </w:pPr>
      <w:r>
        <w:rPr>
          <w:rFonts w:hint="default" w:ascii="Times New Roman" w:hAnsi="Times New Roman" w:cs="Times New Roman"/>
          <w:kern w:val="0"/>
          <w:szCs w:val="21"/>
        </w:rPr>
        <w:t xml:space="preserve">GB 18613-2020       </w:t>
      </w:r>
      <w:r>
        <w:rPr>
          <w:rFonts w:hint="default" w:ascii="Times New Roman" w:hAnsi="Times New Roman" w:cs="Times New Roman"/>
          <w:kern w:val="0"/>
          <w:szCs w:val="21"/>
        </w:rPr>
        <w:fldChar w:fldCharType="begin"/>
      </w:r>
      <w:r>
        <w:rPr>
          <w:rFonts w:hint="default" w:ascii="Times New Roman" w:hAnsi="Times New Roman" w:cs="Times New Roman"/>
          <w:kern w:val="0"/>
          <w:szCs w:val="21"/>
        </w:rPr>
        <w:instrText xml:space="preserve"> HYPERLINK "https://www.so.com/link?m=aFidEe6RbQP2OmXZznPZsZM/6X/DuNVvBmBBBDnShyENa+RW1tdLgOjeLsOT4h47Uv2aGyOQ0Odn5HulsQNIOI10JF8UhA6dCCZdKHP2LLveRm2fh8VjxWcFQSGz6eNYy6BhZcyjFPCo=" \t "https://www.so.com/_blank" </w:instrText>
      </w:r>
      <w:r>
        <w:rPr>
          <w:rFonts w:hint="default" w:ascii="Times New Roman" w:hAnsi="Times New Roman" w:cs="Times New Roman"/>
          <w:kern w:val="0"/>
          <w:szCs w:val="21"/>
        </w:rPr>
        <w:fldChar w:fldCharType="separate"/>
      </w:r>
      <w:r>
        <w:rPr>
          <w:rFonts w:hint="default" w:ascii="Times New Roman" w:hAnsi="Times New Roman" w:cs="Times New Roman"/>
          <w:kern w:val="0"/>
          <w:szCs w:val="21"/>
        </w:rPr>
        <w:t>电动机能效限定值及能效等级</w:t>
      </w:r>
      <w:r>
        <w:rPr>
          <w:rFonts w:hint="default" w:ascii="Times New Roman" w:hAnsi="Times New Roman" w:cs="Times New Roman"/>
          <w:kern w:val="0"/>
          <w:szCs w:val="21"/>
        </w:rPr>
        <w:fldChar w:fldCharType="end"/>
      </w:r>
    </w:p>
    <w:p>
      <w:pPr>
        <w:widowControl/>
        <w:adjustRightInd w:val="0"/>
        <w:snapToGrid w:val="0"/>
        <w:spacing w:line="360" w:lineRule="auto"/>
        <w:ind w:left="2625" w:leftChars="200" w:hanging="2205" w:hangingChars="1050"/>
        <w:jc w:val="left"/>
        <w:rPr>
          <w:rFonts w:hint="default" w:ascii="Times New Roman" w:hAnsi="Times New Roman" w:cs="Times New Roman"/>
          <w:kern w:val="0"/>
          <w:szCs w:val="21"/>
        </w:rPr>
      </w:pPr>
      <w:r>
        <w:rPr>
          <w:rFonts w:hint="default" w:ascii="Times New Roman" w:hAnsi="Times New Roman" w:cs="Times New Roman"/>
          <w:kern w:val="0"/>
          <w:szCs w:val="21"/>
        </w:rPr>
        <w:t>GB/T 755-2008       旋转电机 定额和性能</w:t>
      </w:r>
    </w:p>
    <w:p>
      <w:pPr>
        <w:widowControl/>
        <w:adjustRightInd w:val="0"/>
        <w:snapToGrid w:val="0"/>
        <w:spacing w:line="360" w:lineRule="auto"/>
        <w:ind w:left="2625" w:leftChars="200" w:hanging="2205" w:hangingChars="1050"/>
        <w:jc w:val="left"/>
        <w:rPr>
          <w:rFonts w:hint="default" w:ascii="Times New Roman" w:hAnsi="Times New Roman" w:cs="Times New Roman"/>
          <w:kern w:val="0"/>
          <w:szCs w:val="21"/>
        </w:rPr>
      </w:pPr>
      <w:r>
        <w:rPr>
          <w:rFonts w:hint="default" w:ascii="Times New Roman" w:hAnsi="Times New Roman" w:cs="Times New Roman"/>
          <w:kern w:val="0"/>
          <w:szCs w:val="21"/>
        </w:rPr>
        <w:t>GB/T 755-2019       旋转电机 定额和性能</w:t>
      </w:r>
    </w:p>
    <w:p>
      <w:pPr>
        <w:widowControl/>
        <w:adjustRightInd w:val="0"/>
        <w:snapToGrid w:val="0"/>
        <w:spacing w:line="360" w:lineRule="auto"/>
        <w:ind w:firstLine="420"/>
        <w:jc w:val="left"/>
        <w:rPr>
          <w:rFonts w:hint="default" w:ascii="Times New Roman" w:hAnsi="Times New Roman" w:cs="Times New Roman"/>
          <w:kern w:val="0"/>
          <w:szCs w:val="21"/>
        </w:rPr>
      </w:pPr>
      <w:r>
        <w:rPr>
          <w:rFonts w:hint="default" w:ascii="Times New Roman" w:hAnsi="Times New Roman" w:cs="Times New Roman"/>
          <w:kern w:val="0"/>
          <w:szCs w:val="21"/>
        </w:rPr>
        <w:t xml:space="preserve">JB/T 10686-2006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YX3系列(IP55)高效率三相异步电动机技术条件(机座号80～355)</w:t>
      </w:r>
    </w:p>
    <w:p>
      <w:pPr>
        <w:widowControl/>
        <w:adjustRightInd w:val="0"/>
        <w:snapToGrid w:val="0"/>
        <w:spacing w:line="360" w:lineRule="auto"/>
        <w:ind w:firstLine="420"/>
        <w:jc w:val="left"/>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GB/T 14711-2013     中小型旋转电机通用安全要求</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GB/T 28575-2020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YE3系列（IP55）三相异步电动机技术条件（机座号63～355）</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5269-2018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YR3系列（IP23）三相异步电动机 技术条件（机座号160～355)</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6297-2010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YLJ系列力矩三相异步电动机 技术条件</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6316-2006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Z4系列直流电动机技术条件(机座号100～450)</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6447-2010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YCJ系列齿轮减速三相异步电动机 技术条件( 机座号71～280)</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6456-2010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YEJ系列（IP44）电磁制动三相异步电动机 技术条件(机座号80～225)</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7118-2014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YVF2系列(IP54)变频调速专用三相异步电动机技术条件(机座号80～315)</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7123-2010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YCT系列电磁调速电动机 技术条件(机座号112～355)</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7125-2010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小型平面制动三相异步电动机 技术条件</w:t>
      </w:r>
    </w:p>
    <w:p>
      <w:pPr>
        <w:widowControl/>
        <w:adjustRightInd w:val="0"/>
        <w:snapToGrid w:val="0"/>
        <w:spacing w:line="360" w:lineRule="auto"/>
        <w:ind w:firstLine="420"/>
        <w:jc w:val="both"/>
        <w:rPr>
          <w:rFonts w:hint="default" w:ascii="Times New Roman" w:hAnsi="Times New Roman" w:cs="Times New Roman"/>
          <w:kern w:val="0"/>
          <w:szCs w:val="21"/>
        </w:rPr>
      </w:pPr>
      <w:r>
        <w:rPr>
          <w:rFonts w:hint="default" w:ascii="Times New Roman" w:hAnsi="Times New Roman" w:cs="Times New Roman"/>
          <w:kern w:val="0"/>
          <w:szCs w:val="21"/>
        </w:rPr>
        <w:t xml:space="preserve">JB/T 8658-2014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外转子低噪声三相异步电动机</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8681-2013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YDT系列（IP44）变极多速三相异步电动机 技术条件(机座号80～315)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9545-2013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变压器冷却风扇用三相异步电动机技术条件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11707-2017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YE2系列(IP55)三相异步电动机技术条件(机座号63～355)</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11816-2014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小型无刷三相同步发电机技术条件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11817-2014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小型无刷单相同步发电机技术条件</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JB/T 13299-2017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YE4系列（IP55）三相异步电动机技术条件（机座号80～450）</w:t>
      </w:r>
    </w:p>
    <w:p>
      <w:pPr>
        <w:keepNext w:val="0"/>
        <w:keepLines w:val="0"/>
        <w:pageBreakBefore w:val="0"/>
        <w:widowControl/>
        <w:kinsoku/>
        <w:wordWrap/>
        <w:overflowPunct/>
        <w:topLinePunct w:val="0"/>
        <w:autoSpaceDE/>
        <w:autoSpaceDN/>
        <w:bidi w:val="0"/>
        <w:adjustRightInd w:val="0"/>
        <w:snapToGrid w:val="0"/>
        <w:spacing w:line="440" w:lineRule="exact"/>
        <w:ind w:firstLine="420"/>
        <w:jc w:val="both"/>
        <w:textAlignment w:val="auto"/>
        <w:rPr>
          <w:rFonts w:hint="default" w:ascii="Times New Roman" w:hAnsi="Times New Roman" w:cs="Times New Roman"/>
          <w:kern w:val="0"/>
          <w:szCs w:val="21"/>
        </w:rPr>
      </w:pPr>
      <w:r>
        <w:rPr>
          <w:rFonts w:hint="eastAsia" w:ascii="Times New Roman" w:hAnsi="Times New Roman" w:cs="Times New Roman"/>
          <w:kern w:val="0"/>
          <w:szCs w:val="21"/>
        </w:rPr>
        <w:t xml:space="preserve">GB/T 10069.3-2008 </w:t>
      </w:r>
      <w:r>
        <w:rPr>
          <w:rFonts w:hint="default" w:ascii="Times New Roman" w:hAnsi="Times New Roman" w:cs="Times New Roman"/>
          <w:kern w:val="0"/>
          <w:szCs w:val="21"/>
        </w:rPr>
        <w:t xml:space="preserve">  </w:t>
      </w:r>
      <w:r>
        <w:rPr>
          <w:rFonts w:hint="eastAsia" w:ascii="Times New Roman" w:hAnsi="Times New Roman" w:cs="Times New Roman"/>
          <w:kern w:val="0"/>
          <w:szCs w:val="21"/>
        </w:rPr>
        <w:t>旋转电机噪声测定方法及限值 第3部分:噪声限值</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szCs w:val="21"/>
        </w:rPr>
      </w:pPr>
      <w:r>
        <w:rPr>
          <w:szCs w:val="21"/>
        </w:rPr>
        <w:t>现行有效的</w:t>
      </w:r>
      <w:r>
        <w:rPr>
          <w:rFonts w:hint="eastAsia"/>
          <w:szCs w:val="21"/>
        </w:rPr>
        <w:t>其他</w:t>
      </w:r>
      <w:r>
        <w:rPr>
          <w:szCs w:val="21"/>
        </w:rPr>
        <w:t>标准及产品明示质量要求</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rFonts w:hint="default" w:ascii="Times New Roman" w:hAnsi="Times New Roman" w:cs="Times New Roman"/>
          <w:szCs w:val="21"/>
        </w:rPr>
      </w:pP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hint="default" w:ascii="Times New Roman" w:hAnsi="Times New Roman" w:cs="Times New Roman"/>
        </w:rPr>
      </w:pPr>
      <w:r>
        <w:rPr>
          <w:rFonts w:hint="default" w:ascii="Times New Roman" w:hAnsi="Times New Roman" w:cs="Times New Roman"/>
        </w:rPr>
        <w:t>3.2判定原则</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3.3 综合结论判定</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cs="Times New Roman" w:eastAsiaTheme="minorEastAsia"/>
          <w:color w:val="000000"/>
          <w:szCs w:val="21"/>
          <w:lang w:eastAsia="zh-CN"/>
        </w:rPr>
      </w:pPr>
      <w:r>
        <w:rPr>
          <w:rFonts w:hint="default" w:ascii="Times New Roman" w:hAnsi="Times New Roman" w:cs="Times New Roman"/>
          <w:color w:val="000000"/>
          <w:szCs w:val="21"/>
        </w:rPr>
        <w:t>经检验，检验项目中任一项或一项以上不合格，判定被抽查产品为“不合格”</w:t>
      </w:r>
      <w:r>
        <w:rPr>
          <w:rFonts w:hint="eastAsia" w:ascii="Times New Roman" w:hAnsi="Times New Roman" w:cs="Times New Roman"/>
          <w:color w:val="000000"/>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Times New Roman" w:hAnsi="Times New Roman" w:cs="Times New Roman" w:eastAsiaTheme="minorEastAsia"/>
          <w:color w:val="000000"/>
          <w:szCs w:val="21"/>
          <w:lang w:eastAsia="zh-CN"/>
        </w:rPr>
      </w:pPr>
      <w:r>
        <w:rPr>
          <w:rFonts w:hint="default" w:ascii="Times New Roman" w:hAnsi="Times New Roman" w:cs="Times New Roman"/>
        </w:rPr>
        <w:t>对于在正常检验过程中发生绕组击穿，导致无法继续试验时，未检验的项目不做单项判定，</w:t>
      </w:r>
      <w:r>
        <w:rPr>
          <w:rFonts w:hint="default" w:ascii="Times New Roman" w:hAnsi="Times New Roman" w:cs="Times New Roman"/>
          <w:color w:val="000000"/>
          <w:szCs w:val="21"/>
        </w:rPr>
        <w:t>判定被抽查产品为“不合格”</w:t>
      </w:r>
      <w:r>
        <w:rPr>
          <w:rFonts w:hint="eastAsia" w:ascii="Times New Roman" w:hAnsi="Times New Roman" w:cs="Times New Roman"/>
          <w:color w:val="000000"/>
          <w:szCs w:val="21"/>
          <w:lang w:eastAsia="zh-CN"/>
        </w:rPr>
        <w:t>。</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color w:val="000000"/>
          <w:szCs w:val="21"/>
        </w:rPr>
      </w:pPr>
      <w:r>
        <w:rPr>
          <w:rFonts w:hint="eastAsia"/>
          <w:color w:val="000000"/>
          <w:szCs w:val="21"/>
        </w:rPr>
        <w:t>检验项目全部符合明示质量要求，且符合本细则检验项目依据的推荐性标准，判定被抽查产品为“所检项目符合本次监督抽查要求”。</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cs="Times New Roman"/>
        </w:rPr>
      </w:pPr>
      <w:r>
        <w:rPr>
          <w:rFonts w:hint="eastAsia"/>
          <w:color w:val="000000"/>
          <w:szCs w:val="21"/>
        </w:rPr>
        <w:t>本细则首次发布。</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MGI2MzYzODNhYzY0NTc4MWM1ODdlZjU2M2NiYTAifQ=="/>
  </w:docVars>
  <w:rsids>
    <w:rsidRoot w:val="5B141654"/>
    <w:rsid w:val="02C31095"/>
    <w:rsid w:val="19D73F48"/>
    <w:rsid w:val="1A812D7C"/>
    <w:rsid w:val="22F92D4D"/>
    <w:rsid w:val="2305495A"/>
    <w:rsid w:val="23340C02"/>
    <w:rsid w:val="25571B5E"/>
    <w:rsid w:val="2A6603D4"/>
    <w:rsid w:val="2AB0184C"/>
    <w:rsid w:val="2C300C99"/>
    <w:rsid w:val="30187B29"/>
    <w:rsid w:val="331B6ED3"/>
    <w:rsid w:val="369B2501"/>
    <w:rsid w:val="38312021"/>
    <w:rsid w:val="4CF124D7"/>
    <w:rsid w:val="5B141654"/>
    <w:rsid w:val="5F653E51"/>
    <w:rsid w:val="61840B64"/>
    <w:rsid w:val="66326DE1"/>
    <w:rsid w:val="66BB0B84"/>
    <w:rsid w:val="6AA858C3"/>
    <w:rsid w:val="797A48CF"/>
    <w:rsid w:val="7AB8291B"/>
    <w:rsid w:val="7C670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1524</Words>
  <Characters>2296</Characters>
  <Lines>0</Lines>
  <Paragraphs>0</Paragraphs>
  <TotalTime>1</TotalTime>
  <ScaleCrop>false</ScaleCrop>
  <LinksUpToDate>false</LinksUpToDate>
  <CharactersWithSpaces>2522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2023-03-29T12:28:00Z</dcterms:created>
  <dc:creator>admin</dc:creator>
  <cp:lastModifiedBy>zhj</cp:lastModifiedBy>
  <dcterms:modified xsi:type="dcterms:W3CDTF">2023-06-20T01:59:11Z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B60EF31E601F4A0D8FBEA29CCB0B9EE8_11</vt:lpwstr>
  </property>
</Properties>
</file>