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2023年台州</w:t>
      </w: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  <w:lang w:eastAsia="zh-CN"/>
        </w:rPr>
        <w:t>市</w:t>
      </w:r>
    </w:p>
    <w:p>
      <w:pPr>
        <w:widowControl/>
        <w:jc w:val="center"/>
        <w:rPr>
          <w:rFonts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纸巾纸产品质量监督抽查实施细则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bookmarkStart w:id="0" w:name="_Hlk95300558"/>
      <w:r>
        <w:rPr>
          <w:rFonts w:hint="eastAsia" w:ascii="仿宋" w:hAnsi="仿宋" w:eastAsia="仿宋"/>
          <w:b/>
          <w:bCs/>
          <w:color w:val="000000"/>
          <w:sz w:val="24"/>
        </w:rPr>
        <w:t>适用范围</w:t>
      </w:r>
    </w:p>
    <w:p>
      <w:pPr>
        <w:adjustRightInd w:val="0"/>
        <w:snapToGrid w:val="0"/>
        <w:spacing w:line="360" w:lineRule="auto"/>
        <w:ind w:firstLine="495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本实施细则适用于在台州地区内纸巾纸产品质量的监督抽查。</w:t>
      </w:r>
    </w:p>
    <w:bookmarkEnd w:id="0"/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color w:val="000000"/>
          <w:sz w:val="24"/>
        </w:rPr>
      </w:pPr>
      <w:bookmarkStart w:id="1" w:name="_Hlk95300595"/>
      <w:r>
        <w:rPr>
          <w:rFonts w:hint="eastAsia" w:ascii="仿宋" w:hAnsi="仿宋" w:eastAsia="仿宋"/>
          <w:b/>
          <w:bCs/>
          <w:color w:val="000000"/>
          <w:sz w:val="24"/>
        </w:rPr>
        <w:t>二</w:t>
      </w:r>
      <w:r>
        <w:rPr>
          <w:rFonts w:hint="eastAsia" w:ascii="仿宋" w:hAnsi="仿宋" w:eastAsia="仿宋"/>
          <w:color w:val="000000"/>
          <w:sz w:val="24"/>
        </w:rPr>
        <w:t xml:space="preserve">、 </w:t>
      </w:r>
      <w:r>
        <w:rPr>
          <w:rFonts w:ascii="仿宋" w:hAnsi="仿宋" w:eastAsia="仿宋"/>
          <w:color w:val="000000"/>
          <w:sz w:val="24"/>
        </w:rPr>
        <w:t xml:space="preserve"> </w:t>
      </w:r>
      <w:r>
        <w:rPr>
          <w:rFonts w:hint="eastAsia" w:ascii="仿宋" w:hAnsi="仿宋" w:eastAsia="仿宋"/>
          <w:b/>
          <w:bCs/>
          <w:color w:val="000000"/>
          <w:sz w:val="24"/>
        </w:rPr>
        <w:t>检验</w:t>
      </w:r>
      <w:r>
        <w:rPr>
          <w:rFonts w:ascii="仿宋" w:hAnsi="仿宋" w:eastAsia="仿宋"/>
          <w:b/>
          <w:bCs/>
          <w:color w:val="000000"/>
          <w:sz w:val="24"/>
        </w:rPr>
        <w:t>依据</w:t>
      </w:r>
    </w:p>
    <w:bookmarkEnd w:id="1"/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GB/T 20808-2011 纸巾纸</w:t>
      </w:r>
    </w:p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QB/T 4509-2013 本色生活用纸</w:t>
      </w:r>
    </w:p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GB/T 20808-2022</w:t>
      </w:r>
      <w:r>
        <w:rPr>
          <w:rFonts w:hint="eastAsia" w:ascii="仿宋" w:hAnsi="仿宋" w:eastAsia="仿宋"/>
          <w:color w:val="000000"/>
          <w:sz w:val="24"/>
        </w:rPr>
        <w:t xml:space="preserve"> 纸巾</w:t>
      </w:r>
    </w:p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 15979-2002 一次性使用卫生用品卫生标准</w:t>
      </w:r>
    </w:p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现行有效的</w:t>
      </w:r>
      <w:r>
        <w:rPr>
          <w:rFonts w:hint="eastAsia" w:ascii="仿宋" w:hAnsi="仿宋" w:eastAsia="仿宋"/>
          <w:color w:val="000000"/>
          <w:sz w:val="24"/>
        </w:rPr>
        <w:t>其他</w:t>
      </w:r>
      <w:r>
        <w:rPr>
          <w:rFonts w:ascii="仿宋" w:hAnsi="仿宋" w:eastAsia="仿宋"/>
          <w:color w:val="000000"/>
          <w:sz w:val="24"/>
        </w:rPr>
        <w:t>标准及产品明示质量要求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三、 </w:t>
      </w:r>
      <w:r>
        <w:rPr>
          <w:rFonts w:ascii="仿宋" w:hAnsi="仿宋" w:eastAsia="仿宋"/>
          <w:b/>
          <w:bCs/>
          <w:color w:val="000000"/>
          <w:sz w:val="24"/>
        </w:rPr>
        <w:t xml:space="preserve"> 抽样方法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以随机抽样的方式在被抽样生产者、销售者的待销产品中抽取。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随机数一般可使用随机数表等方法产生。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以最小销售包装为单位，抽取同一生产者同一标准生产的同一商标、同一规格型号的纸巾纸产品12个，其中9个作为检样，另3个作为备样。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四、 </w:t>
      </w:r>
      <w:r>
        <w:rPr>
          <w:rFonts w:ascii="仿宋" w:hAnsi="仿宋" w:eastAsia="仿宋"/>
          <w:b/>
          <w:bCs/>
          <w:color w:val="000000"/>
          <w:sz w:val="24"/>
        </w:rPr>
        <w:t>检验</w:t>
      </w:r>
      <w:r>
        <w:rPr>
          <w:rFonts w:hint="eastAsia" w:ascii="仿宋" w:hAnsi="仿宋" w:eastAsia="仿宋"/>
          <w:b/>
          <w:bCs/>
          <w:color w:val="000000"/>
          <w:sz w:val="24"/>
        </w:rPr>
        <w:t>项目</w:t>
      </w:r>
    </w:p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1. 生产日期在2023年5月1日之前且明示执行标准为GB/T 20808-2011的产品，检验项目如下：</w:t>
      </w:r>
    </w:p>
    <w:tbl>
      <w:tblPr>
        <w:tblStyle w:val="7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70"/>
        <w:gridCol w:w="2422"/>
        <w:gridCol w:w="2101"/>
        <w:gridCol w:w="1333"/>
        <w:gridCol w:w="85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序号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检验项目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标准条款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项目设定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复检用样品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细菌菌落总数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微生物项目不予复检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大肠菌群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致病性化脓菌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真菌菌落总数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可迁移性荧光增白剂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20808-2011</w:t>
            </w:r>
            <w:r>
              <w:rPr>
                <w:rFonts w:hint="eastAsia"/>
                <w:szCs w:val="21"/>
              </w:rPr>
              <w:t xml:space="preserve"> 4.1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灰分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20808-2011</w:t>
            </w:r>
            <w:r>
              <w:rPr>
                <w:rFonts w:hint="eastAsia"/>
                <w:szCs w:val="21"/>
              </w:rPr>
              <w:t xml:space="preserve"> 4.1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横向吸液高度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20808-2011</w:t>
            </w:r>
            <w:r>
              <w:rPr>
                <w:rFonts w:hint="eastAsia"/>
                <w:szCs w:val="21"/>
              </w:rPr>
              <w:t xml:space="preserve"> 4.1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横向抗张指数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20808-2011</w:t>
            </w:r>
            <w:r>
              <w:rPr>
                <w:rFonts w:hint="eastAsia"/>
                <w:szCs w:val="21"/>
              </w:rPr>
              <w:t xml:space="preserve"> 4.1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纵向湿抗张强度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20808-2011</w:t>
            </w:r>
            <w:r>
              <w:rPr>
                <w:rFonts w:hint="eastAsia"/>
                <w:szCs w:val="21"/>
              </w:rPr>
              <w:t xml:space="preserve"> 4.1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柔软度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20808-2011</w:t>
            </w:r>
            <w:r>
              <w:rPr>
                <w:rFonts w:hint="eastAsia"/>
                <w:szCs w:val="21"/>
              </w:rPr>
              <w:t xml:space="preserve"> 4.1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2. 明示执行标准为</w:t>
      </w:r>
      <w:r>
        <w:rPr>
          <w:rFonts w:ascii="仿宋" w:hAnsi="仿宋" w:eastAsia="仿宋"/>
          <w:color w:val="000000"/>
          <w:sz w:val="24"/>
        </w:rPr>
        <w:t>QB/T 4509-2013</w:t>
      </w:r>
      <w:r>
        <w:rPr>
          <w:rFonts w:hint="eastAsia" w:ascii="仿宋" w:hAnsi="仿宋" w:eastAsia="仿宋"/>
          <w:color w:val="000000"/>
          <w:sz w:val="24"/>
        </w:rPr>
        <w:t>的产品，检验项目如下：</w:t>
      </w:r>
    </w:p>
    <w:tbl>
      <w:tblPr>
        <w:tblStyle w:val="7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70"/>
        <w:gridCol w:w="2422"/>
        <w:gridCol w:w="2101"/>
        <w:gridCol w:w="1333"/>
        <w:gridCol w:w="85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序号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检验项目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标准条款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项目设定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复检用样品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细菌菌落总数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微生物项目不予复检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大肠菌群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致病性化脓菌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真菌菌落总数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荧光性物质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灰分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横向吸液高度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抗张指数（横向）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纵向湿抗张强度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柔软度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3. 生产日期在2023年5月1日及之后且明示执行标准为GB/T 20808-2022的产品，检验项目如下：</w:t>
      </w:r>
    </w:p>
    <w:tbl>
      <w:tblPr>
        <w:tblStyle w:val="7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70"/>
        <w:gridCol w:w="2422"/>
        <w:gridCol w:w="2101"/>
        <w:gridCol w:w="1333"/>
        <w:gridCol w:w="85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序号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检验项目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标准条款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项目设定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复检用样品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细菌菌落总数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微生物项目不予复检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大肠菌群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致病性化脓菌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真菌菌落总数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 15979-2002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强制性条款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可迁移性荧光物质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灰分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横向吸液高度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横向抗张强度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纵向湿抗张强度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柔软度(纵横向平均)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丙烯酰胺含量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重金属含量（铅、砷、镉、汞）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可分解致癌芳香胺染料含量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甲醛含量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脱色性能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20808-20</w:t>
            </w:r>
            <w:r>
              <w:rPr>
                <w:rFonts w:hint="eastAsia"/>
                <w:szCs w:val="21"/>
              </w:rPr>
              <w:t>22 6.1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凡是注日期的文件，其随后所有的修改单（不包括勘误的内容）或修订版不适用于本细则。凡是不注日期的文件，其最新版本适用于本细则。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五、 </w:t>
      </w:r>
      <w:r>
        <w:rPr>
          <w:rFonts w:ascii="仿宋" w:hAnsi="仿宋" w:eastAsia="仿宋"/>
          <w:b/>
          <w:bCs/>
          <w:color w:val="000000"/>
          <w:sz w:val="24"/>
        </w:rPr>
        <w:t>判定规则</w:t>
      </w:r>
    </w:p>
    <w:p>
      <w:pPr>
        <w:adjustRightInd w:val="0"/>
        <w:snapToGrid w:val="0"/>
        <w:spacing w:line="360" w:lineRule="auto"/>
        <w:ind w:firstLine="360" w:firstLineChars="15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（一）判定总则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1.当产品的国家、行业、地方强制性标准（含国家、行业、地方推荐性标准中的强制性条款）和执行的企业标准（含明示质量指标）各技术要求不一致时，应按其中最严要求进行质量判定。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2.当产品执行国家、行业、地方标准时,按国家、行业、地方标准要求进行质量判定。</w:t>
      </w:r>
    </w:p>
    <w:p>
      <w:pPr>
        <w:pStyle w:val="3"/>
        <w:adjustRightInd w:val="0"/>
        <w:snapToGrid w:val="0"/>
        <w:spacing w:line="360" w:lineRule="auto"/>
        <w:ind w:firstLine="42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3.当产品执行企业标准（含明示质量指标）时，按其企业标准要求进行质量判定，但如主要项目技术要求低于国家、行业、推荐性标准要求（含国家、行业、地方强制性标准中的推荐性条款）时，应在检验报告中注明主要项目的实测值和标准值。</w:t>
      </w:r>
    </w:p>
    <w:p>
      <w:pPr>
        <w:pStyle w:val="3"/>
        <w:adjustRightInd w:val="0"/>
        <w:snapToGrid w:val="0"/>
        <w:spacing w:line="360" w:lineRule="auto"/>
        <w:ind w:firstLine="360" w:firstLineChars="15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（二）单项质量判定</w:t>
      </w:r>
    </w:p>
    <w:p>
      <w:pPr>
        <w:spacing w:line="360" w:lineRule="auto"/>
        <w:ind w:firstLine="435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当所检项目的检验结果符合执行标准中该项目要求时，判该项目为符合执行标准要求，否则判该项目为不符合执行标准要求。</w:t>
      </w:r>
    </w:p>
    <w:p>
      <w:pPr>
        <w:spacing w:line="360" w:lineRule="auto"/>
        <w:ind w:firstLine="360" w:firstLineChars="15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（三）综合质量判定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经检验，检验项目中任一项或一项以上不合格，判定被抽查产品为</w:t>
      </w:r>
      <w:r>
        <w:rPr>
          <w:rFonts w:hint="eastAsia" w:ascii="仿宋" w:hAnsi="仿宋" w:eastAsia="仿宋"/>
          <w:color w:val="000000"/>
          <w:sz w:val="24"/>
        </w:rPr>
        <w:t>“</w:t>
      </w:r>
      <w:r>
        <w:rPr>
          <w:rFonts w:ascii="仿宋" w:hAnsi="仿宋" w:eastAsia="仿宋"/>
          <w:color w:val="000000"/>
          <w:sz w:val="24"/>
        </w:rPr>
        <w:t>不合格</w:t>
      </w:r>
      <w:r>
        <w:rPr>
          <w:rFonts w:hint="eastAsia" w:ascii="仿宋" w:hAnsi="仿宋" w:eastAsia="仿宋"/>
          <w:color w:val="000000"/>
          <w:sz w:val="24"/>
        </w:rPr>
        <w:t>”；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检验项目全部</w:t>
      </w:r>
      <w:r>
        <w:rPr>
          <w:rFonts w:hint="eastAsia" w:ascii="仿宋" w:hAnsi="仿宋" w:eastAsia="仿宋"/>
          <w:color w:val="000000"/>
          <w:sz w:val="24"/>
        </w:rPr>
        <w:t>符合明示质量要求</w:t>
      </w:r>
      <w:r>
        <w:rPr>
          <w:rFonts w:ascii="仿宋" w:hAnsi="仿宋" w:eastAsia="仿宋"/>
          <w:color w:val="000000"/>
          <w:sz w:val="24"/>
        </w:rPr>
        <w:t>，</w:t>
      </w:r>
      <w:r>
        <w:rPr>
          <w:rFonts w:hint="eastAsia" w:ascii="仿宋" w:hAnsi="仿宋" w:eastAsia="仿宋"/>
          <w:color w:val="000000"/>
          <w:sz w:val="24"/>
        </w:rPr>
        <w:t>但不符合本细则检验项目依据的推荐性标准，</w:t>
      </w:r>
      <w:r>
        <w:rPr>
          <w:rFonts w:ascii="仿宋" w:hAnsi="仿宋" w:eastAsia="仿宋"/>
          <w:color w:val="000000"/>
          <w:sz w:val="24"/>
        </w:rPr>
        <w:t>判定被抽查产品</w:t>
      </w:r>
      <w:r>
        <w:rPr>
          <w:rFonts w:hint="eastAsia" w:ascii="仿宋" w:hAnsi="仿宋" w:eastAsia="仿宋"/>
          <w:color w:val="000000"/>
          <w:sz w:val="24"/>
        </w:rPr>
        <w:t>“所检项目符合企业标准，未达到国家、行业、地方标准规定”；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检验项目全部</w:t>
      </w:r>
      <w:r>
        <w:rPr>
          <w:rFonts w:hint="eastAsia" w:ascii="仿宋" w:hAnsi="仿宋" w:eastAsia="仿宋"/>
          <w:color w:val="000000"/>
          <w:sz w:val="24"/>
        </w:rPr>
        <w:t>符合明示质量要求</w:t>
      </w:r>
      <w:r>
        <w:rPr>
          <w:rFonts w:ascii="仿宋" w:hAnsi="仿宋" w:eastAsia="仿宋"/>
          <w:color w:val="000000"/>
          <w:sz w:val="24"/>
        </w:rPr>
        <w:t>，</w:t>
      </w:r>
      <w:r>
        <w:rPr>
          <w:rFonts w:hint="eastAsia" w:ascii="仿宋" w:hAnsi="仿宋" w:eastAsia="仿宋"/>
          <w:color w:val="000000"/>
          <w:sz w:val="24"/>
        </w:rPr>
        <w:t>且符合本细则检验项目依据的推荐性标准，判定被抽查产品为“所检项目符合本次监督抽查要求”。</w:t>
      </w:r>
    </w:p>
    <w:p>
      <w:pPr>
        <w:snapToGrid w:val="0"/>
        <w:spacing w:line="440" w:lineRule="exact"/>
        <w:ind w:firstLine="481" w:firstLineChars="200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  <w:lang w:eastAsia="zh-CN"/>
        </w:rPr>
        <w:t>六、</w:t>
      </w:r>
      <w:r>
        <w:rPr>
          <w:rFonts w:hint="eastAsia" w:ascii="仿宋" w:hAnsi="仿宋" w:eastAsia="仿宋"/>
          <w:b/>
          <w:bCs/>
          <w:sz w:val="24"/>
        </w:rPr>
        <w:t>附则</w:t>
      </w:r>
    </w:p>
    <w:p>
      <w:pPr>
        <w:snapToGrid w:val="0"/>
        <w:spacing w:line="44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本细则首次发布。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bookmarkStart w:id="2" w:name="_GoBack"/>
      <w:bookmarkEnd w:id="2"/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445D68"/>
    <w:multiLevelType w:val="multilevel"/>
    <w:tmpl w:val="1A445D6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072C8"/>
    <w:rsid w:val="00031BC2"/>
    <w:rsid w:val="000430F6"/>
    <w:rsid w:val="00056C89"/>
    <w:rsid w:val="000A2F5B"/>
    <w:rsid w:val="000F0AD8"/>
    <w:rsid w:val="00132126"/>
    <w:rsid w:val="00154DB5"/>
    <w:rsid w:val="00176773"/>
    <w:rsid w:val="001F1D3B"/>
    <w:rsid w:val="00212E4D"/>
    <w:rsid w:val="00291417"/>
    <w:rsid w:val="002D0A85"/>
    <w:rsid w:val="002E5D10"/>
    <w:rsid w:val="00356C18"/>
    <w:rsid w:val="00393194"/>
    <w:rsid w:val="003A66E5"/>
    <w:rsid w:val="003C2212"/>
    <w:rsid w:val="004234CD"/>
    <w:rsid w:val="004361E3"/>
    <w:rsid w:val="00461406"/>
    <w:rsid w:val="0046777F"/>
    <w:rsid w:val="00491368"/>
    <w:rsid w:val="004B6B7B"/>
    <w:rsid w:val="004E1EFE"/>
    <w:rsid w:val="004F5256"/>
    <w:rsid w:val="004F685A"/>
    <w:rsid w:val="005117A4"/>
    <w:rsid w:val="00587CDB"/>
    <w:rsid w:val="00597CCF"/>
    <w:rsid w:val="005A7AA2"/>
    <w:rsid w:val="005B37D3"/>
    <w:rsid w:val="005E7DEF"/>
    <w:rsid w:val="005F349C"/>
    <w:rsid w:val="00621A04"/>
    <w:rsid w:val="006223B0"/>
    <w:rsid w:val="00627683"/>
    <w:rsid w:val="006A4B88"/>
    <w:rsid w:val="006B22EE"/>
    <w:rsid w:val="006D2E97"/>
    <w:rsid w:val="007072C8"/>
    <w:rsid w:val="00744CE0"/>
    <w:rsid w:val="0076248E"/>
    <w:rsid w:val="007726C9"/>
    <w:rsid w:val="0077759F"/>
    <w:rsid w:val="007941D6"/>
    <w:rsid w:val="00794C0D"/>
    <w:rsid w:val="007D2D7C"/>
    <w:rsid w:val="007E521A"/>
    <w:rsid w:val="00812E7B"/>
    <w:rsid w:val="008130CE"/>
    <w:rsid w:val="008138BD"/>
    <w:rsid w:val="00835BC2"/>
    <w:rsid w:val="0084500A"/>
    <w:rsid w:val="0085543B"/>
    <w:rsid w:val="008677EE"/>
    <w:rsid w:val="008C7625"/>
    <w:rsid w:val="0091579C"/>
    <w:rsid w:val="00931293"/>
    <w:rsid w:val="009375AD"/>
    <w:rsid w:val="00944A70"/>
    <w:rsid w:val="009450EA"/>
    <w:rsid w:val="00957CCF"/>
    <w:rsid w:val="009723AE"/>
    <w:rsid w:val="009B1DB3"/>
    <w:rsid w:val="009E54E0"/>
    <w:rsid w:val="009F3B0E"/>
    <w:rsid w:val="00A14DE0"/>
    <w:rsid w:val="00A41005"/>
    <w:rsid w:val="00A85D4A"/>
    <w:rsid w:val="00AD3D4C"/>
    <w:rsid w:val="00B063BC"/>
    <w:rsid w:val="00B11931"/>
    <w:rsid w:val="00B12D01"/>
    <w:rsid w:val="00B14DE4"/>
    <w:rsid w:val="00B41934"/>
    <w:rsid w:val="00B621EB"/>
    <w:rsid w:val="00BB390F"/>
    <w:rsid w:val="00C01A51"/>
    <w:rsid w:val="00C27243"/>
    <w:rsid w:val="00C34D9B"/>
    <w:rsid w:val="00C45D44"/>
    <w:rsid w:val="00CA299D"/>
    <w:rsid w:val="00CA6059"/>
    <w:rsid w:val="00CB72DB"/>
    <w:rsid w:val="00CE5E64"/>
    <w:rsid w:val="00D312A9"/>
    <w:rsid w:val="00D6590F"/>
    <w:rsid w:val="00D92D0A"/>
    <w:rsid w:val="00DC045C"/>
    <w:rsid w:val="00DC2764"/>
    <w:rsid w:val="00DF3192"/>
    <w:rsid w:val="00E04B24"/>
    <w:rsid w:val="00E64751"/>
    <w:rsid w:val="00EF4866"/>
    <w:rsid w:val="00F15467"/>
    <w:rsid w:val="00F2324B"/>
    <w:rsid w:val="00F25110"/>
    <w:rsid w:val="00F276C3"/>
    <w:rsid w:val="00F32585"/>
    <w:rsid w:val="00F365C8"/>
    <w:rsid w:val="00FB2F61"/>
    <w:rsid w:val="00FB4A09"/>
    <w:rsid w:val="00FC417C"/>
    <w:rsid w:val="00FD64FD"/>
    <w:rsid w:val="04020B22"/>
    <w:rsid w:val="0449689E"/>
    <w:rsid w:val="059348DA"/>
    <w:rsid w:val="09E21360"/>
    <w:rsid w:val="0D8D53DF"/>
    <w:rsid w:val="0FD966EE"/>
    <w:rsid w:val="136C4563"/>
    <w:rsid w:val="1C3A2D85"/>
    <w:rsid w:val="31421D53"/>
    <w:rsid w:val="433836FB"/>
    <w:rsid w:val="50B43C38"/>
    <w:rsid w:val="61F536DE"/>
    <w:rsid w:val="634520EC"/>
    <w:rsid w:val="645314A2"/>
    <w:rsid w:val="66632315"/>
    <w:rsid w:val="6FEC4F07"/>
    <w:rsid w:val="76BB2FD7"/>
    <w:rsid w:val="7EBD2AC8"/>
    <w:rsid w:val="EF0FBD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3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spacing w:after="120"/>
      <w:ind w:left="420" w:leftChars="200"/>
    </w:pPr>
    <w:rPr>
      <w:kern w:val="0"/>
      <w:sz w:val="20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  <w:kern w:val="0"/>
      <w:sz w:val="20"/>
      <w:szCs w:val="20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paragraph" w:customStyle="1" w:styleId="1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11">
    <w:name w:val="正文文本缩进 Char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纯文本 Char"/>
    <w:link w:val="3"/>
    <w:qFormat/>
    <w:uiPriority w:val="0"/>
    <w:rPr>
      <w:rFonts w:ascii="宋体" w:hAnsi="Courier New"/>
    </w:rPr>
  </w:style>
  <w:style w:type="character" w:customStyle="1" w:styleId="13">
    <w:name w:val="纯文本 字符1"/>
    <w:semiHidden/>
    <w:qFormat/>
    <w:uiPriority w:val="99"/>
    <w:rPr>
      <w:rFonts w:ascii="等线" w:hAnsi="Courier New" w:cs="Courier New"/>
      <w:szCs w:val="24"/>
    </w:rPr>
  </w:style>
  <w:style w:type="character" w:customStyle="1" w:styleId="14">
    <w:name w:val="页眉 Char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纯文本 Char1"/>
    <w:qFormat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364</Words>
  <Characters>2080</Characters>
  <Lines>17</Lines>
  <Paragraphs>4</Paragraphs>
  <TotalTime>0</TotalTime>
  <ScaleCrop>false</ScaleCrop>
  <LinksUpToDate>false</LinksUpToDate>
  <CharactersWithSpaces>2440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2023-03-29T16:55:00Z</dcterms:created>
  <dc:creator>范 文佳</dc:creator>
  <cp:lastModifiedBy>user</cp:lastModifiedBy>
  <dcterms:modified xsi:type="dcterms:W3CDTF">2023-06-20T08:59:01Z</dcterms:modified>
  <dc:title>2021年杭州市流通领域(网络)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