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2023年台州市食品相关产品陶瓷制品</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本实施细则适用于在台州市内食品相关产品陶瓷制品质量的监督抽查。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wordWrap w:val="0"/>
        <w:spacing w:line="360" w:lineRule="auto"/>
        <w:ind w:firstLine="480" w:firstLineChars="200"/>
        <w:rPr>
          <w:rFonts w:ascii="仿宋" w:hAnsi="仿宋" w:eastAsia="仿宋"/>
          <w:color w:val="000000"/>
          <w:sz w:val="24"/>
        </w:rPr>
      </w:pPr>
      <w:r>
        <w:rPr>
          <w:rFonts w:hint="eastAsia" w:ascii="仿宋" w:hAnsi="仿宋" w:eastAsia="仿宋"/>
          <w:color w:val="000000"/>
          <w:sz w:val="24"/>
        </w:rPr>
        <w:t>GB</w:t>
      </w:r>
      <w:r>
        <w:rPr>
          <w:rFonts w:ascii="仿宋" w:hAnsi="仿宋" w:eastAsia="仿宋"/>
          <w:color w:val="000000"/>
          <w:sz w:val="24"/>
        </w:rPr>
        <w:t xml:space="preserve"> 4806.</w:t>
      </w:r>
      <w:r>
        <w:rPr>
          <w:rFonts w:hint="eastAsia" w:ascii="仿宋" w:hAnsi="仿宋" w:eastAsia="仿宋"/>
          <w:color w:val="000000"/>
          <w:sz w:val="24"/>
        </w:rPr>
        <w:t>4-</w:t>
      </w:r>
      <w:r>
        <w:rPr>
          <w:rFonts w:ascii="仿宋" w:hAnsi="仿宋" w:eastAsia="仿宋"/>
          <w:color w:val="000000"/>
          <w:sz w:val="24"/>
        </w:rPr>
        <w:t>20</w:t>
      </w:r>
      <w:r>
        <w:rPr>
          <w:rFonts w:hint="eastAsia" w:ascii="仿宋" w:hAnsi="仿宋" w:eastAsia="仿宋"/>
          <w:color w:val="000000"/>
          <w:sz w:val="24"/>
        </w:rPr>
        <w:t>16</w:t>
      </w:r>
      <w:r>
        <w:rPr>
          <w:rFonts w:ascii="仿宋" w:hAnsi="仿宋" w:eastAsia="仿宋"/>
          <w:color w:val="000000"/>
          <w:sz w:val="24"/>
        </w:rPr>
        <w:t xml:space="preserve"> </w:t>
      </w:r>
      <w:r>
        <w:rPr>
          <w:rFonts w:hint="eastAsia" w:ascii="仿宋" w:hAnsi="仿宋" w:eastAsia="仿宋"/>
          <w:color w:val="000000"/>
          <w:sz w:val="24"/>
        </w:rPr>
        <w:t>食品安全国家标准 陶瓷制品</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产品明示质量指标及国家法律、法规、规章的有关规定</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现行有效的</w:t>
      </w:r>
      <w:r>
        <w:rPr>
          <w:rFonts w:hint="eastAsia" w:ascii="仿宋" w:hAnsi="仿宋" w:eastAsia="仿宋"/>
          <w:color w:val="000000"/>
          <w:sz w:val="24"/>
        </w:rPr>
        <w:t>其他</w:t>
      </w:r>
      <w:r>
        <w:rPr>
          <w:rFonts w:ascii="仿宋" w:hAnsi="仿宋" w:eastAsia="仿宋"/>
          <w:color w:val="000000"/>
          <w:sz w:val="24"/>
        </w:rPr>
        <w:t>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以随机抽样的方式在被抽样生产者、销售者的待销产品中抽取。</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随机数一般可使用随机数表等方法产生。</w:t>
      </w:r>
    </w:p>
    <w:p>
      <w:pPr>
        <w:pStyle w:val="4"/>
        <w:adjustRightInd w:val="0"/>
        <w:snapToGrid w:val="0"/>
        <w:spacing w:line="360" w:lineRule="auto"/>
        <w:ind w:firstLine="480" w:firstLineChars="200"/>
        <w:jc w:val="left"/>
        <w:rPr>
          <w:rFonts w:hint="eastAsia" w:ascii="仿宋" w:hAnsi="仿宋" w:eastAsia="仿宋"/>
          <w:color w:val="000000"/>
          <w:kern w:val="2"/>
          <w:sz w:val="24"/>
          <w:szCs w:val="24"/>
        </w:rPr>
      </w:pPr>
      <w:r>
        <w:rPr>
          <w:rFonts w:ascii="仿宋" w:hAnsi="仿宋" w:eastAsia="仿宋"/>
          <w:color w:val="000000"/>
          <w:kern w:val="2"/>
          <w:sz w:val="24"/>
          <w:szCs w:val="24"/>
        </w:rPr>
        <w:t>每批次产品</w:t>
      </w:r>
      <w:r>
        <w:rPr>
          <w:rFonts w:hint="eastAsia" w:ascii="仿宋" w:hAnsi="仿宋" w:eastAsia="仿宋"/>
          <w:color w:val="000000"/>
          <w:kern w:val="2"/>
          <w:sz w:val="24"/>
          <w:szCs w:val="24"/>
        </w:rPr>
        <w:t>抽取样品4个，其中2个为检验样品， 2个为备用样品。</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在满足检验要求的前提下，可以根据产品包装、大小等实际情况对抽样数量做适当的调整。</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wordWrap w:val="0"/>
        <w:spacing w:line="360" w:lineRule="auto"/>
        <w:rPr>
          <w:rFonts w:ascii="仿宋" w:hAnsi="仿宋" w:eastAsia="仿宋"/>
          <w:color w:val="000000"/>
          <w:sz w:val="24"/>
        </w:rPr>
      </w:pPr>
      <w:r>
        <w:rPr>
          <w:rFonts w:hint="eastAsia" w:ascii="仿宋" w:hAnsi="仿宋" w:eastAsia="仿宋"/>
          <w:color w:val="000000"/>
          <w:sz w:val="24"/>
        </w:rPr>
        <w:t>检验项目如下表：</w:t>
      </w:r>
    </w:p>
    <w:tbl>
      <w:tblPr>
        <w:tblStyle w:val="8"/>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2825"/>
        <w:gridCol w:w="2268"/>
        <w:gridCol w:w="1333"/>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序号</w:t>
            </w:r>
          </w:p>
        </w:tc>
        <w:tc>
          <w:tcPr>
            <w:tcW w:w="2825"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检验项目</w:t>
            </w:r>
          </w:p>
        </w:tc>
        <w:tc>
          <w:tcPr>
            <w:tcW w:w="2268"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标准条款</w:t>
            </w:r>
          </w:p>
        </w:tc>
        <w:tc>
          <w:tcPr>
            <w:tcW w:w="1333"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项目设定</w:t>
            </w:r>
          </w:p>
        </w:tc>
        <w:tc>
          <w:tcPr>
            <w:tcW w:w="850"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复检用样品</w:t>
            </w:r>
          </w:p>
        </w:tc>
        <w:tc>
          <w:tcPr>
            <w:tcW w:w="992"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center"/>
              <w:rPr>
                <w:szCs w:val="21"/>
              </w:rPr>
            </w:pPr>
            <w:r>
              <w:rPr>
                <w:kern w:val="0"/>
                <w:szCs w:val="21"/>
              </w:rPr>
              <w:t>1</w:t>
            </w:r>
          </w:p>
        </w:tc>
        <w:tc>
          <w:tcPr>
            <w:tcW w:w="28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感官要求</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4-</w:t>
            </w:r>
            <w:r>
              <w:rPr>
                <w:szCs w:val="21"/>
              </w:rPr>
              <w:t>20</w:t>
            </w:r>
            <w:r>
              <w:rPr>
                <w:rFonts w:hint="eastAsia"/>
                <w:szCs w:val="21"/>
              </w:rPr>
              <w:t>16</w:t>
            </w:r>
            <w:r>
              <w:rPr>
                <w:szCs w:val="21"/>
              </w:rPr>
              <w:t xml:space="preserve"> </w:t>
            </w:r>
            <w:r>
              <w:rPr>
                <w:rFonts w:hint="eastAsia"/>
                <w:szCs w:val="21"/>
              </w:rPr>
              <w:t>4.2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center"/>
              <w:rPr>
                <w:szCs w:val="21"/>
              </w:rPr>
            </w:pPr>
            <w:r>
              <w:rPr>
                <w:kern w:val="0"/>
                <w:szCs w:val="21"/>
              </w:rPr>
              <w:t>2</w:t>
            </w:r>
          </w:p>
        </w:tc>
        <w:tc>
          <w:tcPr>
            <w:tcW w:w="28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铅(Pb)</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4-</w:t>
            </w:r>
            <w:r>
              <w:rPr>
                <w:szCs w:val="21"/>
              </w:rPr>
              <w:t>20</w:t>
            </w:r>
            <w:r>
              <w:rPr>
                <w:rFonts w:hint="eastAsia"/>
                <w:szCs w:val="21"/>
              </w:rPr>
              <w:t>16</w:t>
            </w:r>
            <w:r>
              <w:rPr>
                <w:szCs w:val="21"/>
              </w:rPr>
              <w:t xml:space="preserve"> </w:t>
            </w:r>
            <w:r>
              <w:rPr>
                <w:rFonts w:hint="eastAsia"/>
                <w:szCs w:val="21"/>
              </w:rPr>
              <w:t>4.3</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color w:val="000000"/>
                <w:szCs w:val="21"/>
              </w:rPr>
            </w:pPr>
            <w:r>
              <w:rPr>
                <w:rFonts w:hint="eastAsia"/>
                <w:color w:val="000000"/>
                <w:szCs w:val="21"/>
              </w:rPr>
              <w:t>3</w:t>
            </w:r>
          </w:p>
        </w:tc>
        <w:tc>
          <w:tcPr>
            <w:tcW w:w="282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镉(Cd)</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4-</w:t>
            </w:r>
            <w:r>
              <w:rPr>
                <w:szCs w:val="21"/>
              </w:rPr>
              <w:t>20</w:t>
            </w:r>
            <w:r>
              <w:rPr>
                <w:rFonts w:hint="eastAsia"/>
                <w:szCs w:val="21"/>
              </w:rPr>
              <w:t>16</w:t>
            </w:r>
            <w:r>
              <w:rPr>
                <w:szCs w:val="21"/>
              </w:rPr>
              <w:t xml:space="preserve"> </w:t>
            </w:r>
            <w:r>
              <w:rPr>
                <w:rFonts w:hint="eastAsia"/>
                <w:szCs w:val="21"/>
              </w:rPr>
              <w:t>4.3</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360" w:lineRule="auto"/>
        <w:ind w:firstLine="360" w:firstLineChars="150"/>
        <w:jc w:val="left"/>
        <w:rPr>
          <w:rFonts w:ascii="仿宋" w:hAnsi="仿宋" w:eastAsia="仿宋"/>
          <w:color w:val="000000"/>
          <w:sz w:val="24"/>
        </w:rPr>
      </w:pPr>
      <w:r>
        <w:rPr>
          <w:rFonts w:hint="eastAsia" w:ascii="仿宋" w:hAnsi="仿宋" w:eastAsia="仿宋"/>
          <w:color w:val="000000"/>
          <w:sz w:val="24"/>
        </w:rPr>
        <w:t>（一）判定总则</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1.当产品的国家、行业、地方强制性标准（含国家、行业、地方推荐性标准中的强制性条款）和执行的企业标准（含明示质量指标）各技术要求不一致时，应按其中最严要求进行质量判定。</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2.当产品执行国家、行业、地方标准时,按国家、行业、地方标准要求进行质量判定。</w:t>
      </w:r>
    </w:p>
    <w:p>
      <w:pPr>
        <w:pStyle w:val="4"/>
        <w:adjustRightInd w:val="0"/>
        <w:snapToGrid w:val="0"/>
        <w:spacing w:line="360" w:lineRule="auto"/>
        <w:ind w:firstLine="420"/>
        <w:jc w:val="left"/>
        <w:rPr>
          <w:rFonts w:ascii="仿宋" w:hAnsi="仿宋" w:eastAsia="仿宋"/>
          <w:color w:val="000000"/>
          <w:sz w:val="24"/>
          <w:szCs w:val="24"/>
        </w:rPr>
      </w:pPr>
      <w:r>
        <w:rPr>
          <w:rFonts w:hint="eastAsia" w:ascii="仿宋" w:hAnsi="仿宋" w:eastAsia="仿宋"/>
          <w:color w:val="000000"/>
          <w:sz w:val="24"/>
          <w:szCs w:val="24"/>
        </w:rPr>
        <w:t>3.当产品执行企业标准（含明示质量指标）时，按其企业标准要求进行质量判定，但如主要项目技术要求低于国家、行业、推荐性标准要求（含国家、行业、地方强制性标准中的推荐性条款）时，应在检验报告中注明主要项目的实测值和标准值。</w:t>
      </w:r>
    </w:p>
    <w:p>
      <w:pPr>
        <w:pStyle w:val="4"/>
        <w:adjustRightInd w:val="0"/>
        <w:snapToGrid w:val="0"/>
        <w:spacing w:line="360" w:lineRule="auto"/>
        <w:rPr>
          <w:rFonts w:ascii="仿宋" w:hAnsi="仿宋" w:eastAsia="仿宋"/>
          <w:color w:val="000000"/>
          <w:sz w:val="24"/>
          <w:szCs w:val="24"/>
        </w:rPr>
      </w:pPr>
      <w:r>
        <w:rPr>
          <w:rFonts w:hint="eastAsia" w:ascii="仿宋" w:hAnsi="仿宋" w:eastAsia="仿宋"/>
          <w:color w:val="000000"/>
          <w:sz w:val="24"/>
          <w:szCs w:val="24"/>
        </w:rPr>
        <w:t>（二）单项质量判定</w:t>
      </w:r>
    </w:p>
    <w:p>
      <w:pPr>
        <w:spacing w:line="360" w:lineRule="auto"/>
        <w:ind w:firstLine="435"/>
        <w:rPr>
          <w:rFonts w:ascii="仿宋" w:hAnsi="仿宋" w:eastAsia="仿宋"/>
          <w:color w:val="000000"/>
          <w:sz w:val="24"/>
        </w:rPr>
      </w:pPr>
      <w:r>
        <w:rPr>
          <w:rFonts w:hint="eastAsia" w:ascii="仿宋" w:hAnsi="仿宋" w:eastAsia="仿宋"/>
          <w:color w:val="000000"/>
          <w:sz w:val="24"/>
        </w:rPr>
        <w:t>当所检项目的检验结果符合执行标准中该项目要求时，判该项目为符合执行标准要求，否则判该项目为不符合执行标准要求。</w:t>
      </w:r>
    </w:p>
    <w:p>
      <w:pPr>
        <w:spacing w:line="360" w:lineRule="auto"/>
        <w:rPr>
          <w:rFonts w:ascii="仿宋" w:hAnsi="仿宋" w:eastAsia="仿宋"/>
          <w:color w:val="000000"/>
          <w:sz w:val="24"/>
        </w:rPr>
      </w:pPr>
      <w:r>
        <w:rPr>
          <w:rFonts w:hint="eastAsia" w:ascii="仿宋" w:hAnsi="仿宋" w:eastAsia="仿宋"/>
          <w:color w:val="000000"/>
          <w:sz w:val="24"/>
        </w:rPr>
        <w:t>（三）综合质量判定</w:t>
      </w:r>
    </w:p>
    <w:p>
      <w:pPr>
        <w:spacing w:line="360" w:lineRule="auto"/>
        <w:ind w:firstLine="480" w:firstLineChars="200"/>
        <w:rPr>
          <w:rFonts w:ascii="仿宋" w:hAnsi="仿宋" w:eastAsia="仿宋"/>
          <w:color w:val="000000"/>
          <w:sz w:val="24"/>
        </w:rPr>
      </w:pPr>
      <w:r>
        <w:rPr>
          <w:rFonts w:ascii="仿宋" w:hAnsi="仿宋" w:eastAsia="仿宋"/>
          <w:color w:val="000000"/>
          <w:sz w:val="24"/>
        </w:rPr>
        <w:t>经检验，检验项目中任一项或一项以上不合格，判定被抽查产品为</w:t>
      </w:r>
      <w:r>
        <w:rPr>
          <w:rFonts w:hint="eastAsia" w:ascii="仿宋" w:hAnsi="仿宋" w:eastAsia="仿宋"/>
          <w:color w:val="000000"/>
          <w:sz w:val="24"/>
        </w:rPr>
        <w:t>“</w:t>
      </w:r>
      <w:r>
        <w:rPr>
          <w:rFonts w:ascii="仿宋" w:hAnsi="仿宋" w:eastAsia="仿宋"/>
          <w:color w:val="000000"/>
          <w:sz w:val="24"/>
        </w:rPr>
        <w:t>不合格</w:t>
      </w:r>
      <w:r>
        <w:rPr>
          <w:rFonts w:hint="eastAsia" w:ascii="仿宋" w:hAnsi="仿宋" w:eastAsia="仿宋"/>
          <w:color w:val="000000"/>
          <w:sz w:val="24"/>
        </w:rPr>
        <w:t>”；</w:t>
      </w:r>
    </w:p>
    <w:p>
      <w:pPr>
        <w:spacing w:line="360" w:lineRule="auto"/>
        <w:ind w:firstLine="480" w:firstLineChars="200"/>
        <w:rPr>
          <w:rFonts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但不符合本细则检验项目依据的推荐性标准，</w:t>
      </w:r>
      <w:r>
        <w:rPr>
          <w:rFonts w:ascii="仿宋" w:hAnsi="仿宋" w:eastAsia="仿宋"/>
          <w:color w:val="000000"/>
          <w:sz w:val="24"/>
        </w:rPr>
        <w:t>判定被抽查产品</w:t>
      </w:r>
      <w:r>
        <w:rPr>
          <w:rFonts w:hint="eastAsia" w:ascii="仿宋" w:hAnsi="仿宋" w:eastAsia="仿宋"/>
          <w:color w:val="000000"/>
          <w:sz w:val="24"/>
        </w:rPr>
        <w:t>“所检项目符合企业标准，未达到国家、行业、地方标准规定”；</w:t>
      </w:r>
    </w:p>
    <w:p>
      <w:pPr>
        <w:spacing w:line="360" w:lineRule="auto"/>
        <w:ind w:firstLine="480" w:firstLineChars="200"/>
        <w:rPr>
          <w:rFonts w:hint="eastAsia"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且符合本细则检验项目依据的推荐性标准，判定被抽查产品为“所检项目符合本次监督抽查要求”。</w:t>
      </w:r>
    </w:p>
    <w:p>
      <w:pPr>
        <w:spacing w:line="360" w:lineRule="auto"/>
        <w:rPr>
          <w:rFonts w:ascii="仿宋" w:hAnsi="仿宋" w:eastAsia="仿宋"/>
          <w:b/>
          <w:bCs/>
          <w:color w:val="000000"/>
          <w:sz w:val="24"/>
        </w:rPr>
      </w:pPr>
      <w:bookmarkStart w:id="2" w:name="_GoBack"/>
      <w:r>
        <w:rPr>
          <w:rFonts w:hint="eastAsia" w:ascii="仿宋" w:hAnsi="仿宋" w:eastAsia="仿宋"/>
          <w:b/>
          <w:bCs/>
          <w:color w:val="000000"/>
          <w:sz w:val="24"/>
          <w:lang w:eastAsia="zh-CN"/>
        </w:rPr>
        <w:t>六、</w:t>
      </w:r>
      <w:r>
        <w:rPr>
          <w:rFonts w:hint="eastAsia" w:ascii="仿宋" w:hAnsi="仿宋" w:eastAsia="仿宋"/>
          <w:b/>
          <w:bCs/>
          <w:color w:val="000000"/>
          <w:sz w:val="24"/>
        </w:rPr>
        <w:t xml:space="preserve"> 附则</w:t>
      </w:r>
    </w:p>
    <w:bookmarkEnd w:id="2"/>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本细则首次发布。</w:t>
      </w:r>
    </w:p>
    <w:p>
      <w:pPr>
        <w:spacing w:line="360" w:lineRule="auto"/>
        <w:ind w:firstLine="480" w:firstLineChars="200"/>
        <w:rPr>
          <w:rFonts w:hint="eastAsia" w:ascii="仿宋" w:hAnsi="仿宋" w:eastAsia="仿宋"/>
          <w:color w:val="000000"/>
          <w:sz w:val="24"/>
        </w:rPr>
      </w:pPr>
    </w:p>
    <w:p>
      <w:pPr>
        <w:spacing w:line="264" w:lineRule="auto"/>
        <w:ind w:firstLine="480" w:firstLineChars="200"/>
        <w:rPr>
          <w:rFonts w:ascii="仿宋" w:hAnsi="仿宋" w:eastAsia="仿宋"/>
          <w:color w:val="00000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00"/>
    <w:family w:val="script"/>
    <w:pitch w:val="default"/>
    <w:sig w:usb0="00000000" w:usb1="00000000"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56C89"/>
    <w:rsid w:val="000A2F5B"/>
    <w:rsid w:val="000A4F79"/>
    <w:rsid w:val="000D24CD"/>
    <w:rsid w:val="000F0AD8"/>
    <w:rsid w:val="0012285E"/>
    <w:rsid w:val="00132126"/>
    <w:rsid w:val="00154DB5"/>
    <w:rsid w:val="00176773"/>
    <w:rsid w:val="001F1D3B"/>
    <w:rsid w:val="001F6F6F"/>
    <w:rsid w:val="00212E4D"/>
    <w:rsid w:val="00291417"/>
    <w:rsid w:val="002D0A85"/>
    <w:rsid w:val="002E5D10"/>
    <w:rsid w:val="00356C18"/>
    <w:rsid w:val="00393194"/>
    <w:rsid w:val="003A08DE"/>
    <w:rsid w:val="003A66E5"/>
    <w:rsid w:val="003C2212"/>
    <w:rsid w:val="004234CD"/>
    <w:rsid w:val="004361E3"/>
    <w:rsid w:val="00461406"/>
    <w:rsid w:val="0046777F"/>
    <w:rsid w:val="00491368"/>
    <w:rsid w:val="004B6B7B"/>
    <w:rsid w:val="004E1EFE"/>
    <w:rsid w:val="004F685A"/>
    <w:rsid w:val="00506901"/>
    <w:rsid w:val="005117A4"/>
    <w:rsid w:val="005263F2"/>
    <w:rsid w:val="00587CDB"/>
    <w:rsid w:val="00597CCF"/>
    <w:rsid w:val="005A7AA2"/>
    <w:rsid w:val="005B37D3"/>
    <w:rsid w:val="005D2012"/>
    <w:rsid w:val="005E7DEF"/>
    <w:rsid w:val="005F349C"/>
    <w:rsid w:val="00621A04"/>
    <w:rsid w:val="006223B0"/>
    <w:rsid w:val="00627683"/>
    <w:rsid w:val="00694D0F"/>
    <w:rsid w:val="006A4B88"/>
    <w:rsid w:val="006B22EE"/>
    <w:rsid w:val="006D2E97"/>
    <w:rsid w:val="007072C8"/>
    <w:rsid w:val="007072D8"/>
    <w:rsid w:val="0076248E"/>
    <w:rsid w:val="007726C9"/>
    <w:rsid w:val="0077759F"/>
    <w:rsid w:val="007941D6"/>
    <w:rsid w:val="00794C0D"/>
    <w:rsid w:val="007D2D7C"/>
    <w:rsid w:val="007E521A"/>
    <w:rsid w:val="008130CE"/>
    <w:rsid w:val="008138BD"/>
    <w:rsid w:val="00834E4E"/>
    <w:rsid w:val="00835BC2"/>
    <w:rsid w:val="0085543B"/>
    <w:rsid w:val="008677EE"/>
    <w:rsid w:val="008821FE"/>
    <w:rsid w:val="008C7625"/>
    <w:rsid w:val="0091579C"/>
    <w:rsid w:val="00931293"/>
    <w:rsid w:val="009375AD"/>
    <w:rsid w:val="00944A70"/>
    <w:rsid w:val="009450EA"/>
    <w:rsid w:val="00957CCF"/>
    <w:rsid w:val="009723AE"/>
    <w:rsid w:val="009B1DB3"/>
    <w:rsid w:val="009E54E0"/>
    <w:rsid w:val="009F3B0E"/>
    <w:rsid w:val="00A14DE0"/>
    <w:rsid w:val="00A41005"/>
    <w:rsid w:val="00A85D4A"/>
    <w:rsid w:val="00AC547C"/>
    <w:rsid w:val="00AD3D4C"/>
    <w:rsid w:val="00B063BC"/>
    <w:rsid w:val="00B11931"/>
    <w:rsid w:val="00B12D01"/>
    <w:rsid w:val="00B14DE4"/>
    <w:rsid w:val="00B41934"/>
    <w:rsid w:val="00B64C02"/>
    <w:rsid w:val="00B67B39"/>
    <w:rsid w:val="00B869E9"/>
    <w:rsid w:val="00BB390F"/>
    <w:rsid w:val="00BD5123"/>
    <w:rsid w:val="00C01A51"/>
    <w:rsid w:val="00C27243"/>
    <w:rsid w:val="00C34D9B"/>
    <w:rsid w:val="00C45D44"/>
    <w:rsid w:val="00C56B22"/>
    <w:rsid w:val="00CA299D"/>
    <w:rsid w:val="00CA6059"/>
    <w:rsid w:val="00CB72DB"/>
    <w:rsid w:val="00CE5E64"/>
    <w:rsid w:val="00D312A9"/>
    <w:rsid w:val="00D6590F"/>
    <w:rsid w:val="00DC045C"/>
    <w:rsid w:val="00DC2764"/>
    <w:rsid w:val="00DE1D7C"/>
    <w:rsid w:val="00E04B24"/>
    <w:rsid w:val="00E64751"/>
    <w:rsid w:val="00EF4866"/>
    <w:rsid w:val="00F15467"/>
    <w:rsid w:val="00F15E39"/>
    <w:rsid w:val="00F20F90"/>
    <w:rsid w:val="00F2324B"/>
    <w:rsid w:val="00F25110"/>
    <w:rsid w:val="00F276C3"/>
    <w:rsid w:val="00F32585"/>
    <w:rsid w:val="00F365C8"/>
    <w:rsid w:val="00FB2F61"/>
    <w:rsid w:val="00FB4A09"/>
    <w:rsid w:val="00FC417C"/>
    <w:rsid w:val="00FD64FD"/>
    <w:rsid w:val="04020B22"/>
    <w:rsid w:val="0449689E"/>
    <w:rsid w:val="059348DA"/>
    <w:rsid w:val="09E21360"/>
    <w:rsid w:val="0D8D53DF"/>
    <w:rsid w:val="0FD966EE"/>
    <w:rsid w:val="136C4563"/>
    <w:rsid w:val="1C3A2D85"/>
    <w:rsid w:val="31421D53"/>
    <w:rsid w:val="433836FB"/>
    <w:rsid w:val="50B43C38"/>
    <w:rsid w:val="5F8FEF57"/>
    <w:rsid w:val="61F536DE"/>
    <w:rsid w:val="634520EC"/>
    <w:rsid w:val="645314A2"/>
    <w:rsid w:val="66632315"/>
    <w:rsid w:val="6FEC4F07"/>
    <w:rsid w:val="76BB2FD7"/>
    <w:rsid w:val="7EBD2A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qFormat/>
    <w:uiPriority w:val="99"/>
    <w:pPr>
      <w:jc w:val="left"/>
    </w:pPr>
    <w:rPr>
      <w:szCs w:val="22"/>
    </w:rPr>
  </w:style>
  <w:style w:type="paragraph" w:styleId="3">
    <w:name w:val="Body Text Indent"/>
    <w:basedOn w:val="1"/>
    <w:link w:val="12"/>
    <w:unhideWhenUsed/>
    <w:qFormat/>
    <w:uiPriority w:val="99"/>
    <w:pPr>
      <w:spacing w:after="120"/>
      <w:ind w:left="420" w:leftChars="200"/>
    </w:pPr>
    <w:rPr>
      <w:kern w:val="0"/>
      <w:sz w:val="20"/>
    </w:rPr>
  </w:style>
  <w:style w:type="paragraph" w:styleId="4">
    <w:name w:val="Plain Text"/>
    <w:basedOn w:val="1"/>
    <w:link w:val="13"/>
    <w:qFormat/>
    <w:uiPriority w:val="0"/>
    <w:rPr>
      <w:rFonts w:ascii="宋体" w:hAnsi="Courier New"/>
      <w:kern w:val="0"/>
      <w:sz w:val="20"/>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page number"/>
    <w:basedOn w:val="9"/>
    <w:qFormat/>
    <w:uiPriority w:val="0"/>
  </w:style>
  <w:style w:type="paragraph" w:customStyle="1" w:styleId="11">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2">
    <w:name w:val="正文文本缩进 Char"/>
    <w:link w:val="3"/>
    <w:qFormat/>
    <w:uiPriority w:val="99"/>
    <w:rPr>
      <w:rFonts w:ascii="Times New Roman" w:hAnsi="Times New Roman" w:eastAsia="宋体" w:cs="Times New Roman"/>
      <w:szCs w:val="24"/>
    </w:rPr>
  </w:style>
  <w:style w:type="character" w:customStyle="1" w:styleId="13">
    <w:name w:val="纯文本 Char"/>
    <w:link w:val="4"/>
    <w:qFormat/>
    <w:uiPriority w:val="0"/>
    <w:rPr>
      <w:rFonts w:ascii="宋体" w:hAnsi="Courier New"/>
    </w:rPr>
  </w:style>
  <w:style w:type="character" w:customStyle="1" w:styleId="14">
    <w:name w:val="纯文本 字符1"/>
    <w:semiHidden/>
    <w:qFormat/>
    <w:uiPriority w:val="99"/>
    <w:rPr>
      <w:rFonts w:ascii="等线" w:hAnsi="Courier New" w:cs="Courier New"/>
      <w:szCs w:val="24"/>
    </w:rPr>
  </w:style>
  <w:style w:type="character" w:customStyle="1" w:styleId="15">
    <w:name w:val="页眉 Char"/>
    <w:link w:val="6"/>
    <w:qFormat/>
    <w:uiPriority w:val="99"/>
    <w:rPr>
      <w:rFonts w:ascii="Times New Roman" w:hAnsi="Times New Roman" w:eastAsia="宋体" w:cs="Times New Roman"/>
      <w:kern w:val="2"/>
      <w:sz w:val="18"/>
      <w:szCs w:val="18"/>
    </w:rPr>
  </w:style>
  <w:style w:type="character" w:customStyle="1" w:styleId="16">
    <w:name w:val="页脚 Char"/>
    <w:link w:val="5"/>
    <w:qFormat/>
    <w:uiPriority w:val="99"/>
    <w:rPr>
      <w:rFonts w:ascii="Times New Roman" w:hAnsi="Times New Roman" w:eastAsia="宋体" w:cs="Times New Roman"/>
      <w:kern w:val="2"/>
      <w:sz w:val="18"/>
      <w:szCs w:val="18"/>
    </w:rPr>
  </w:style>
  <w:style w:type="character" w:customStyle="1" w:styleId="17">
    <w:name w:val="纯文本 Char1"/>
    <w:qFormat/>
    <w:locked/>
    <w:uiPriority w:val="0"/>
    <w:rPr>
      <w:rFonts w:ascii="宋体" w:hAnsi="Courier New" w:eastAsia="宋体" w:cs="宋体"/>
      <w:kern w:val="2"/>
      <w:sz w:val="21"/>
      <w:szCs w:val="21"/>
      <w:lang w:val="en-US" w:eastAsia="zh-CN" w:bidi="ar-SA"/>
    </w:rPr>
  </w:style>
  <w:style w:type="character" w:customStyle="1" w:styleId="18">
    <w:name w:val="批注文字 Char"/>
    <w:basedOn w:val="9"/>
    <w:link w:val="2"/>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149</Words>
  <Characters>850</Characters>
  <Lines>7</Lines>
  <Paragraphs>1</Paragraphs>
  <TotalTime>0</TotalTime>
  <ScaleCrop>false</ScaleCrop>
  <LinksUpToDate>false</LinksUpToDate>
  <CharactersWithSpaces>998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2023-06-20T09:30:05Z</dcterms:modified>
  <dc:title>2021年杭州市流通领域(网络)</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