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方正小标宋简体" w:cs="方正仿宋简体"/>
          <w:color w:val="000000"/>
          <w:sz w:val="32"/>
          <w:szCs w:val="32"/>
        </w:rPr>
      </w:pPr>
      <w:r>
        <w:rPr>
          <w:rFonts w:hint="eastAsia" w:eastAsia="方正小标宋简体" w:cs="方正仿宋简体"/>
          <w:color w:val="000000"/>
          <w:sz w:val="32"/>
          <w:szCs w:val="32"/>
          <w:lang w:val="en-US" w:eastAsia="zh-CN"/>
        </w:rPr>
        <w:t>路桥区</w:t>
      </w:r>
      <w:r>
        <w:rPr>
          <w:rFonts w:hint="eastAsia" w:eastAsia="方正小标宋简体" w:cs="方正仿宋简体"/>
          <w:color w:val="000000"/>
          <w:sz w:val="32"/>
          <w:szCs w:val="32"/>
        </w:rPr>
        <w:t>密胺塑料餐具产品质量监督抽查实施细则</w:t>
      </w:r>
    </w:p>
    <w:p>
      <w:pPr>
        <w:adjustRightInd w:val="0"/>
        <w:snapToGrid w:val="0"/>
        <w:jc w:val="center"/>
        <w:rPr>
          <w:rFonts w:eastAsia="方正小标宋简体"/>
          <w:color w:val="000000"/>
          <w:sz w:val="32"/>
          <w:szCs w:val="32"/>
        </w:rPr>
      </w:pPr>
      <w:r>
        <w:rPr>
          <w:rFonts w:eastAsia="方正小标宋简体" w:cs="方正仿宋简体"/>
          <w:color w:val="000000"/>
          <w:sz w:val="32"/>
          <w:szCs w:val="32"/>
        </w:rPr>
        <w:t>（202</w:t>
      </w:r>
      <w:r>
        <w:rPr>
          <w:rFonts w:hint="eastAsia" w:eastAsia="方正小标宋简体" w:cs="方正仿宋简体"/>
          <w:color w:val="000000"/>
          <w:sz w:val="32"/>
          <w:szCs w:val="32"/>
          <w:lang w:val="en-US" w:eastAsia="zh-CN"/>
        </w:rPr>
        <w:t>5</w:t>
      </w:r>
      <w:bookmarkStart w:id="1" w:name="_GoBack"/>
      <w:bookmarkEnd w:id="1"/>
      <w:r>
        <w:rPr>
          <w:rFonts w:hint="eastAsia" w:eastAsia="方正小标宋简体" w:cs="方正仿宋简体"/>
          <w:color w:val="000000"/>
          <w:sz w:val="32"/>
          <w:szCs w:val="32"/>
        </w:rPr>
        <w:t>年版）</w:t>
      </w:r>
    </w:p>
    <w:p>
      <w:pPr>
        <w:adjustRightInd w:val="0"/>
        <w:snapToGrid w:val="0"/>
        <w:jc w:val="center"/>
        <w:rPr>
          <w:color w:val="FF0000"/>
          <w:sz w:val="32"/>
        </w:rPr>
      </w:pPr>
    </w:p>
    <w:p>
      <w:pPr>
        <w:snapToGrid w:val="0"/>
        <w:spacing w:line="440" w:lineRule="exact"/>
        <w:rPr>
          <w:rFonts w:eastAsia="黑体"/>
          <w:color w:val="000000"/>
          <w:szCs w:val="21"/>
        </w:rPr>
      </w:pPr>
      <w:r>
        <w:rPr>
          <w:rFonts w:hint="eastAsia" w:eastAsia="黑体"/>
          <w:color w:val="000000"/>
          <w:szCs w:val="21"/>
        </w:rPr>
        <w:t>1 抽样方法</w:t>
      </w:r>
    </w:p>
    <w:p>
      <w:pPr>
        <w:snapToGrid w:val="0"/>
        <w:spacing w:line="440" w:lineRule="exact"/>
        <w:ind w:firstLine="420" w:firstLineChars="200"/>
        <w:rPr>
          <w:rFonts w:eastAsia="黑体"/>
          <w:color w:val="000000"/>
          <w:szCs w:val="21"/>
        </w:rPr>
      </w:pPr>
      <w:r>
        <w:rPr>
          <w:rFonts w:hint="eastAsia"/>
          <w:color w:val="000000"/>
          <w:szCs w:val="21"/>
        </w:rPr>
        <w:t>以随机抽样的方式在被抽样生产者、销售者的待销产品中抽取。</w:t>
      </w:r>
    </w:p>
    <w:p>
      <w:pPr>
        <w:snapToGrid w:val="0"/>
        <w:spacing w:line="440" w:lineRule="exact"/>
        <w:ind w:firstLine="420" w:firstLineChars="200"/>
        <w:rPr>
          <w:color w:val="000000"/>
          <w:szCs w:val="21"/>
        </w:rPr>
      </w:pPr>
      <w:r>
        <w:rPr>
          <w:rFonts w:hint="eastAsia"/>
          <w:color w:val="000000"/>
          <w:szCs w:val="21"/>
        </w:rPr>
        <w:t>随机数一般可使用随机数表等方法产生。</w:t>
      </w:r>
    </w:p>
    <w:p>
      <w:pPr>
        <w:snapToGrid w:val="0"/>
        <w:spacing w:line="440" w:lineRule="exact"/>
        <w:ind w:firstLine="420" w:firstLineChars="200"/>
        <w:rPr>
          <w:color w:val="000000"/>
          <w:szCs w:val="21"/>
        </w:rPr>
      </w:pPr>
      <w:r>
        <w:rPr>
          <w:rFonts w:hint="eastAsia"/>
          <w:color w:val="000000"/>
          <w:szCs w:val="21"/>
        </w:rPr>
        <w:t>筷子：每批次产品抽取样品</w:t>
      </w:r>
      <w:r>
        <w:rPr>
          <w:color w:val="000000"/>
          <w:szCs w:val="21"/>
        </w:rPr>
        <w:t>80支</w:t>
      </w:r>
      <w:r>
        <w:rPr>
          <w:rFonts w:hint="eastAsia"/>
          <w:color w:val="000000"/>
          <w:szCs w:val="21"/>
        </w:rPr>
        <w:t>，其中</w:t>
      </w:r>
      <w:r>
        <w:rPr>
          <w:color w:val="000000"/>
          <w:szCs w:val="21"/>
        </w:rPr>
        <w:t>60支</w:t>
      </w:r>
      <w:r>
        <w:rPr>
          <w:rFonts w:hint="eastAsia"/>
          <w:color w:val="000000"/>
          <w:szCs w:val="21"/>
        </w:rPr>
        <w:t>作为检验样品，</w:t>
      </w:r>
      <w:r>
        <w:rPr>
          <w:color w:val="000000"/>
          <w:szCs w:val="21"/>
        </w:rPr>
        <w:t>20支</w:t>
      </w:r>
      <w:r>
        <w:rPr>
          <w:rFonts w:hint="eastAsia"/>
          <w:color w:val="000000"/>
          <w:szCs w:val="21"/>
        </w:rPr>
        <w:t>作为备用样品。</w:t>
      </w:r>
    </w:p>
    <w:p>
      <w:pPr>
        <w:snapToGrid w:val="0"/>
        <w:spacing w:line="440" w:lineRule="exact"/>
        <w:ind w:firstLine="420" w:firstLineChars="200"/>
        <w:rPr>
          <w:color w:val="000000"/>
          <w:szCs w:val="21"/>
        </w:rPr>
      </w:pPr>
      <w:r>
        <w:rPr>
          <w:rFonts w:hint="eastAsia"/>
          <w:color w:val="000000"/>
          <w:szCs w:val="21"/>
        </w:rPr>
        <w:t>其它产品：每批次产品抽取样品60个，其中40个作为检验样品，20个作为备用样品。</w:t>
      </w:r>
    </w:p>
    <w:p>
      <w:pPr>
        <w:snapToGrid w:val="0"/>
        <w:spacing w:line="440" w:lineRule="exact"/>
        <w:rPr>
          <w:color w:val="000000"/>
          <w:szCs w:val="21"/>
        </w:rPr>
      </w:pPr>
    </w:p>
    <w:p>
      <w:pPr>
        <w:snapToGrid w:val="0"/>
        <w:spacing w:line="440" w:lineRule="exact"/>
        <w:rPr>
          <w:rFonts w:eastAsia="黑体"/>
          <w:color w:val="000000"/>
          <w:szCs w:val="21"/>
        </w:rPr>
      </w:pPr>
      <w:r>
        <w:rPr>
          <w:rFonts w:hint="eastAsia" w:eastAsia="黑体"/>
          <w:color w:val="000000"/>
          <w:szCs w:val="21"/>
        </w:rPr>
        <w:t>2 检验依据</w:t>
      </w:r>
    </w:p>
    <w:p>
      <w:pPr>
        <w:snapToGrid w:val="0"/>
        <w:spacing w:line="440" w:lineRule="exact"/>
        <w:rPr>
          <w:rFonts w:eastAsia="黑体"/>
          <w:color w:val="000000"/>
          <w:szCs w:val="21"/>
        </w:rPr>
      </w:pPr>
      <w:r>
        <w:rPr>
          <w:rFonts w:hint="eastAsia" w:eastAsia="黑体"/>
          <w:color w:val="000000"/>
          <w:szCs w:val="21"/>
        </w:rPr>
        <w:t xml:space="preserve">                           </w:t>
      </w:r>
    </w:p>
    <w:tbl>
      <w:tblPr>
        <w:tblStyle w:val="7"/>
        <w:tblpPr w:leftFromText="180" w:rightFromText="180" w:vertAnchor="text" w:horzAnchor="page" w:tblpX="1477" w:tblpY="114"/>
        <w:tblOverlap w:val="never"/>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738"/>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45" w:type="pct"/>
            <w:vAlign w:val="center"/>
          </w:tcPr>
          <w:p>
            <w:pPr>
              <w:adjustRightInd w:val="0"/>
              <w:snapToGrid w:val="0"/>
              <w:spacing w:line="440" w:lineRule="exact"/>
              <w:jc w:val="center"/>
              <w:rPr>
                <w:rFonts w:cs="仿宋"/>
                <w:szCs w:val="21"/>
              </w:rPr>
            </w:pPr>
            <w:r>
              <w:rPr>
                <w:rFonts w:hint="eastAsia" w:cs="仿宋"/>
                <w:szCs w:val="21"/>
              </w:rPr>
              <w:t>序号</w:t>
            </w:r>
          </w:p>
        </w:tc>
        <w:tc>
          <w:tcPr>
            <w:tcW w:w="2035" w:type="pct"/>
            <w:vAlign w:val="center"/>
          </w:tcPr>
          <w:p>
            <w:pPr>
              <w:adjustRightInd w:val="0"/>
              <w:snapToGrid w:val="0"/>
              <w:spacing w:line="440" w:lineRule="exact"/>
              <w:jc w:val="center"/>
              <w:rPr>
                <w:rFonts w:cs="仿宋"/>
                <w:szCs w:val="21"/>
              </w:rPr>
            </w:pPr>
            <w:r>
              <w:rPr>
                <w:rFonts w:hint="eastAsia" w:cs="仿宋"/>
                <w:szCs w:val="21"/>
              </w:rPr>
              <w:t>检验项目</w:t>
            </w:r>
          </w:p>
        </w:tc>
        <w:tc>
          <w:tcPr>
            <w:tcW w:w="2318" w:type="pct"/>
            <w:vAlign w:val="center"/>
          </w:tcPr>
          <w:p>
            <w:pPr>
              <w:adjustRightInd w:val="0"/>
              <w:snapToGrid w:val="0"/>
              <w:spacing w:line="440" w:lineRule="exact"/>
              <w:jc w:val="center"/>
              <w:rPr>
                <w:rFonts w:cs="仿宋"/>
                <w:szCs w:val="21"/>
                <w:highlight w:val="yellow"/>
              </w:rPr>
            </w:pPr>
            <w:r>
              <w:rPr>
                <w:rFonts w:hint="eastAsia" w:cs="仿宋"/>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Align w:val="center"/>
          </w:tcPr>
          <w:p>
            <w:pPr>
              <w:adjustRightInd w:val="0"/>
              <w:snapToGrid w:val="0"/>
              <w:jc w:val="center"/>
              <w:rPr>
                <w:rFonts w:cs="仿宋"/>
                <w:szCs w:val="21"/>
              </w:rPr>
            </w:pPr>
            <w:r>
              <w:rPr>
                <w:rFonts w:hint="eastAsia" w:cs="仿宋"/>
                <w:szCs w:val="21"/>
              </w:rPr>
              <w:t>1</w:t>
            </w:r>
          </w:p>
        </w:tc>
        <w:tc>
          <w:tcPr>
            <w:tcW w:w="2035" w:type="pct"/>
            <w:shd w:val="clear" w:color="auto" w:fill="auto"/>
            <w:vAlign w:val="center"/>
          </w:tcPr>
          <w:p>
            <w:pPr>
              <w:adjustRightInd w:val="0"/>
              <w:snapToGrid w:val="0"/>
              <w:jc w:val="center"/>
              <w:rPr>
                <w:rFonts w:hint="eastAsia" w:ascii="Times New Roman" w:hAnsi="Times New Roman" w:eastAsia="宋体" w:cs="宋体"/>
                <w:kern w:val="2"/>
                <w:sz w:val="21"/>
                <w:szCs w:val="21"/>
                <w:lang w:val="pt-BR" w:eastAsia="zh-CN" w:bidi="ar-SA"/>
              </w:rPr>
            </w:pPr>
            <w:r>
              <w:rPr>
                <w:rFonts w:hint="eastAsia" w:ascii="Times New Roman" w:hAnsi="Times New Roman" w:eastAsia="宋体" w:cs="宋体"/>
                <w:szCs w:val="21"/>
              </w:rPr>
              <w:t>感官要求</w:t>
            </w:r>
          </w:p>
        </w:tc>
        <w:tc>
          <w:tcPr>
            <w:tcW w:w="2318" w:type="pct"/>
            <w:shd w:val="clear" w:color="auto" w:fill="auto"/>
            <w:vAlign w:val="center"/>
          </w:tcPr>
          <w:p>
            <w:pPr>
              <w:adjustRightInd w:val="0"/>
              <w:snapToGrid w:val="0"/>
              <w:jc w:val="center"/>
              <w:rPr>
                <w:rFonts w:ascii="Times New Roman" w:hAnsi="Times New Roman" w:eastAsia="宋体" w:cs="Times New Roman"/>
                <w:kern w:val="2"/>
                <w:sz w:val="21"/>
                <w:szCs w:val="21"/>
                <w:lang w:val="pt-BR" w:eastAsia="zh-CN" w:bidi="ar-SA"/>
              </w:rPr>
            </w:pPr>
            <w:r>
              <w:rPr>
                <w:rFonts w:hint="eastAsia" w:cs="宋体"/>
                <w:szCs w:val="21"/>
              </w:rPr>
              <w:t>GB 4806.7</w:t>
            </w:r>
            <w:r>
              <w:rPr>
                <w:szCs w:val="21"/>
              </w:rPr>
              <w:t>—</w:t>
            </w:r>
            <w:r>
              <w:rPr>
                <w:rFonts w:hint="eastAsia" w:cs="宋体"/>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Align w:val="center"/>
          </w:tcPr>
          <w:p>
            <w:pPr>
              <w:adjustRightInd w:val="0"/>
              <w:snapToGrid w:val="0"/>
              <w:jc w:val="center"/>
              <w:rPr>
                <w:rFonts w:cs="仿宋"/>
                <w:szCs w:val="21"/>
              </w:rPr>
            </w:pPr>
            <w:r>
              <w:rPr>
                <w:rFonts w:hint="eastAsia" w:cs="仿宋"/>
                <w:szCs w:val="21"/>
              </w:rPr>
              <w:t>2</w:t>
            </w:r>
          </w:p>
        </w:tc>
        <w:tc>
          <w:tcPr>
            <w:tcW w:w="2035" w:type="pct"/>
            <w:shd w:val="clear" w:color="auto" w:fill="auto"/>
            <w:vAlign w:val="center"/>
          </w:tcPr>
          <w:p>
            <w:pPr>
              <w:adjustRightInd w:val="0"/>
              <w:snapToGrid w:val="0"/>
              <w:jc w:val="center"/>
              <w:rPr>
                <w:rFonts w:hint="eastAsia" w:ascii="Times New Roman" w:hAnsi="Times New Roman" w:eastAsia="宋体" w:cs="宋体"/>
                <w:kern w:val="2"/>
                <w:sz w:val="21"/>
                <w:szCs w:val="21"/>
                <w:lang w:val="pt-BR" w:eastAsia="zh-CN" w:bidi="ar-SA"/>
              </w:rPr>
            </w:pPr>
            <w:r>
              <w:rPr>
                <w:rFonts w:hint="eastAsia" w:ascii="Times New Roman" w:hAnsi="Times New Roman" w:eastAsia="宋体" w:cs="宋体"/>
                <w:szCs w:val="21"/>
              </w:rPr>
              <w:t>总迁移量</w:t>
            </w:r>
          </w:p>
        </w:tc>
        <w:tc>
          <w:tcPr>
            <w:tcW w:w="2318" w:type="pct"/>
            <w:shd w:val="clear" w:color="auto" w:fill="auto"/>
            <w:vAlign w:val="center"/>
          </w:tcPr>
          <w:p>
            <w:pPr>
              <w:adjustRightInd w:val="0"/>
              <w:snapToGrid w:val="0"/>
              <w:jc w:val="center"/>
              <w:rPr>
                <w:rFonts w:ascii="Times New Roman" w:hAnsi="Times New Roman" w:eastAsia="宋体" w:cs="Times New Roman"/>
                <w:kern w:val="2"/>
                <w:sz w:val="21"/>
                <w:szCs w:val="21"/>
                <w:lang w:val="pt-BR" w:eastAsia="zh-CN" w:bidi="ar-SA"/>
              </w:rPr>
            </w:pPr>
            <w:r>
              <w:rPr>
                <w:rFonts w:hint="eastAsia" w:cs="宋体"/>
                <w:szCs w:val="21"/>
              </w:rPr>
              <w:t>GB 31604.8</w:t>
            </w:r>
            <w:r>
              <w:rPr>
                <w:szCs w:val="21"/>
              </w:rPr>
              <w:t>—</w:t>
            </w:r>
            <w:r>
              <w:rPr>
                <w:rFonts w:hint="eastAsia" w:cs="宋体"/>
                <w:szCs w:val="21"/>
              </w:rPr>
              <w:t>20</w:t>
            </w:r>
            <w:r>
              <w:rPr>
                <w:rFonts w:cs="宋体"/>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Align w:val="center"/>
          </w:tcPr>
          <w:p>
            <w:pPr>
              <w:adjustRightInd w:val="0"/>
              <w:snapToGrid w:val="0"/>
              <w:jc w:val="center"/>
              <w:rPr>
                <w:rFonts w:cs="仿宋"/>
                <w:szCs w:val="21"/>
              </w:rPr>
            </w:pPr>
            <w:r>
              <w:rPr>
                <w:rFonts w:hint="eastAsia" w:cs="仿宋"/>
                <w:szCs w:val="21"/>
              </w:rPr>
              <w:t>3</w:t>
            </w:r>
          </w:p>
        </w:tc>
        <w:tc>
          <w:tcPr>
            <w:tcW w:w="2035" w:type="pct"/>
            <w:shd w:val="clear" w:color="auto" w:fill="auto"/>
            <w:vAlign w:val="center"/>
          </w:tcPr>
          <w:p>
            <w:pPr>
              <w:adjustRightInd w:val="0"/>
              <w:snapToGrid w:val="0"/>
              <w:jc w:val="center"/>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Cs w:val="21"/>
              </w:rPr>
              <w:t>高锰酸钾消耗量</w:t>
            </w:r>
          </w:p>
        </w:tc>
        <w:tc>
          <w:tcPr>
            <w:tcW w:w="2318" w:type="pct"/>
            <w:shd w:val="clear" w:color="auto" w:fill="auto"/>
            <w:vAlign w:val="center"/>
          </w:tcPr>
          <w:p>
            <w:pPr>
              <w:adjustRightInd w:val="0"/>
              <w:snapToGrid w:val="0"/>
              <w:jc w:val="center"/>
              <w:rPr>
                <w:rFonts w:ascii="Times New Roman" w:hAnsi="Times New Roman" w:eastAsia="宋体" w:cs="Times New Roman"/>
                <w:kern w:val="2"/>
                <w:sz w:val="21"/>
                <w:szCs w:val="21"/>
                <w:lang w:val="pt-BR" w:eastAsia="zh-CN" w:bidi="ar-SA"/>
              </w:rPr>
            </w:pPr>
            <w:r>
              <w:rPr>
                <w:rFonts w:hint="eastAsia" w:cs="宋体"/>
                <w:szCs w:val="21"/>
              </w:rPr>
              <w:t>GB 31604.2</w:t>
            </w:r>
            <w:r>
              <w:rPr>
                <w:szCs w:val="21"/>
              </w:rPr>
              <w:t>—</w:t>
            </w:r>
            <w:r>
              <w:rPr>
                <w:rFonts w:hint="eastAsia" w:cs="宋体"/>
                <w:szCs w:val="21"/>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Align w:val="center"/>
          </w:tcPr>
          <w:p>
            <w:pPr>
              <w:adjustRightInd w:val="0"/>
              <w:snapToGrid w:val="0"/>
              <w:jc w:val="center"/>
              <w:rPr>
                <w:rFonts w:cs="仿宋"/>
                <w:szCs w:val="21"/>
              </w:rPr>
            </w:pPr>
            <w:r>
              <w:rPr>
                <w:rFonts w:hint="eastAsia" w:cs="仿宋"/>
                <w:szCs w:val="21"/>
              </w:rPr>
              <w:t>4</w:t>
            </w:r>
          </w:p>
        </w:tc>
        <w:tc>
          <w:tcPr>
            <w:tcW w:w="2035" w:type="pct"/>
            <w:shd w:val="clear" w:color="auto" w:fill="auto"/>
            <w:vAlign w:val="center"/>
          </w:tcPr>
          <w:p>
            <w:pPr>
              <w:adjustRightInd w:val="0"/>
              <w:snapToGrid w:val="0"/>
              <w:jc w:val="center"/>
              <w:rPr>
                <w:rFonts w:hint="eastAsia" w:ascii="Times New Roman" w:hAnsi="Times New Roman" w:eastAsia="宋体" w:cs="宋体"/>
                <w:kern w:val="2"/>
                <w:sz w:val="21"/>
                <w:szCs w:val="21"/>
                <w:lang w:val="pt-BR" w:eastAsia="zh-CN" w:bidi="ar-SA"/>
              </w:rPr>
            </w:pPr>
            <w:r>
              <w:rPr>
                <w:rFonts w:hint="eastAsia" w:ascii="Times New Roman" w:hAnsi="Times New Roman" w:eastAsia="宋体" w:cs="宋体"/>
                <w:szCs w:val="21"/>
              </w:rPr>
              <w:t>重金属（以Pb计）</w:t>
            </w:r>
          </w:p>
        </w:tc>
        <w:tc>
          <w:tcPr>
            <w:tcW w:w="2318" w:type="pct"/>
            <w:shd w:val="clear" w:color="auto" w:fill="auto"/>
            <w:vAlign w:val="center"/>
          </w:tcPr>
          <w:p>
            <w:pPr>
              <w:adjustRightInd w:val="0"/>
              <w:snapToGrid w:val="0"/>
              <w:jc w:val="center"/>
              <w:rPr>
                <w:rFonts w:ascii="Times New Roman" w:hAnsi="Times New Roman" w:eastAsia="宋体" w:cs="Times New Roman"/>
                <w:kern w:val="2"/>
                <w:sz w:val="21"/>
                <w:szCs w:val="21"/>
                <w:lang w:val="pt-BR" w:eastAsia="zh-CN" w:bidi="ar-SA"/>
              </w:rPr>
            </w:pPr>
            <w:r>
              <w:rPr>
                <w:rFonts w:hint="eastAsia" w:cs="宋体"/>
                <w:szCs w:val="21"/>
              </w:rPr>
              <w:t>GB 31604.9</w:t>
            </w:r>
            <w:r>
              <w:rPr>
                <w:szCs w:val="21"/>
              </w:rPr>
              <w:t>—</w:t>
            </w:r>
            <w:r>
              <w:rPr>
                <w:rFonts w:hint="eastAsia" w:cs="宋体"/>
                <w:szCs w:val="21"/>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Align w:val="center"/>
          </w:tcPr>
          <w:p>
            <w:pPr>
              <w:adjustRightInd w:val="0"/>
              <w:snapToGrid w:val="0"/>
              <w:jc w:val="center"/>
              <w:rPr>
                <w:rFonts w:cs="仿宋"/>
                <w:szCs w:val="21"/>
              </w:rPr>
            </w:pPr>
            <w:r>
              <w:rPr>
                <w:rFonts w:hint="eastAsia" w:cs="仿宋"/>
                <w:szCs w:val="21"/>
              </w:rPr>
              <w:t>5</w:t>
            </w:r>
          </w:p>
        </w:tc>
        <w:tc>
          <w:tcPr>
            <w:tcW w:w="2035" w:type="pct"/>
            <w:shd w:val="clear" w:color="auto" w:fill="auto"/>
            <w:vAlign w:val="center"/>
          </w:tcPr>
          <w:p>
            <w:pPr>
              <w:adjustRightInd w:val="0"/>
              <w:snapToGrid w:val="0"/>
              <w:jc w:val="center"/>
              <w:rPr>
                <w:rFonts w:hint="eastAsia" w:ascii="Times New Roman" w:hAnsi="Times New Roman" w:eastAsia="宋体" w:cs="宋体"/>
                <w:kern w:val="2"/>
                <w:sz w:val="21"/>
                <w:szCs w:val="21"/>
                <w:lang w:val="pt-BR" w:eastAsia="zh-CN" w:bidi="ar-SA"/>
              </w:rPr>
            </w:pPr>
            <w:r>
              <w:rPr>
                <w:rFonts w:hint="eastAsia" w:ascii="Times New Roman" w:hAnsi="Times New Roman" w:eastAsia="宋体" w:cs="宋体"/>
                <w:szCs w:val="21"/>
              </w:rPr>
              <w:t>脱色试验</w:t>
            </w:r>
          </w:p>
        </w:tc>
        <w:tc>
          <w:tcPr>
            <w:tcW w:w="2318" w:type="pct"/>
            <w:shd w:val="clear" w:color="auto" w:fill="auto"/>
            <w:vAlign w:val="center"/>
          </w:tcPr>
          <w:p>
            <w:pPr>
              <w:adjustRightInd w:val="0"/>
              <w:snapToGrid w:val="0"/>
              <w:jc w:val="center"/>
              <w:rPr>
                <w:rFonts w:ascii="Times New Roman" w:hAnsi="Times New Roman" w:eastAsia="宋体" w:cs="Times New Roman"/>
                <w:kern w:val="2"/>
                <w:sz w:val="21"/>
                <w:szCs w:val="21"/>
                <w:lang w:val="pt-BR" w:eastAsia="zh-CN" w:bidi="ar-SA"/>
              </w:rPr>
            </w:pPr>
            <w:r>
              <w:rPr>
                <w:rFonts w:hint="eastAsia" w:cs="宋体"/>
                <w:szCs w:val="21"/>
              </w:rPr>
              <w:t>GB 31604.7</w:t>
            </w:r>
            <w:r>
              <w:rPr>
                <w:szCs w:val="21"/>
              </w:rPr>
              <w:t>—</w:t>
            </w:r>
            <w:r>
              <w:rPr>
                <w:rFonts w:hint="eastAsia" w:cs="宋体"/>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Align w:val="center"/>
          </w:tcPr>
          <w:p>
            <w:pPr>
              <w:jc w:val="center"/>
            </w:pPr>
            <w:r>
              <w:rPr>
                <w:rFonts w:hint="eastAsia"/>
              </w:rPr>
              <w:t>6</w:t>
            </w:r>
          </w:p>
        </w:tc>
        <w:tc>
          <w:tcPr>
            <w:tcW w:w="2035" w:type="pct"/>
            <w:shd w:val="clear" w:color="auto" w:fill="auto"/>
            <w:vAlign w:val="center"/>
          </w:tcPr>
          <w:p>
            <w:pPr>
              <w:adjustRightInd w:val="0"/>
              <w:snapToGrid w:val="0"/>
              <w:jc w:val="center"/>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Cs w:val="21"/>
              </w:rPr>
              <w:t>芳香族伯胺迁移总量</w:t>
            </w:r>
          </w:p>
        </w:tc>
        <w:tc>
          <w:tcPr>
            <w:tcW w:w="2318" w:type="pct"/>
            <w:shd w:val="clear" w:color="auto" w:fill="auto"/>
            <w:vAlign w:val="center"/>
          </w:tcPr>
          <w:p>
            <w:pPr>
              <w:adjustRightInd w:val="0"/>
              <w:snapToGrid w:val="0"/>
              <w:jc w:val="center"/>
              <w:rPr>
                <w:rFonts w:ascii="Times New Roman" w:hAnsi="Times New Roman" w:eastAsia="宋体" w:cs="宋体"/>
                <w:kern w:val="2"/>
                <w:sz w:val="21"/>
                <w:szCs w:val="21"/>
                <w:lang w:val="pt-BR" w:eastAsia="zh-CN" w:bidi="ar-SA"/>
              </w:rPr>
            </w:pPr>
            <w:r>
              <w:rPr>
                <w:rFonts w:hint="eastAsia" w:cs="宋体"/>
                <w:szCs w:val="21"/>
              </w:rPr>
              <w:t>GB 31604.52</w:t>
            </w:r>
            <w:r>
              <w:rPr>
                <w:szCs w:val="21"/>
              </w:rPr>
              <w:t>—</w:t>
            </w:r>
            <w:r>
              <w:rPr>
                <w:rFonts w:hint="eastAsia" w:cs="宋体"/>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Align w:val="center"/>
          </w:tcPr>
          <w:p>
            <w:pPr>
              <w:adjustRightInd w:val="0"/>
              <w:snapToGrid w:val="0"/>
              <w:jc w:val="center"/>
              <w:rPr>
                <w:rFonts w:cs="仿宋"/>
                <w:szCs w:val="21"/>
              </w:rPr>
            </w:pPr>
            <w:r>
              <w:rPr>
                <w:rFonts w:hint="eastAsia" w:cs="仿宋"/>
                <w:szCs w:val="21"/>
              </w:rPr>
              <w:t>7</w:t>
            </w:r>
          </w:p>
        </w:tc>
        <w:tc>
          <w:tcPr>
            <w:tcW w:w="2035" w:type="pct"/>
            <w:shd w:val="clear" w:color="auto" w:fill="auto"/>
            <w:vAlign w:val="center"/>
          </w:tcPr>
          <w:p>
            <w:pPr>
              <w:adjustRightInd w:val="0"/>
              <w:snapToGrid w:val="0"/>
              <w:jc w:val="center"/>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Cs w:val="21"/>
              </w:rPr>
              <w:t>添加剂（邻苯二甲酸二（α-乙基己酯）迁移量，邻苯二甲酸二烯丙酯迁移量，邻苯二甲酸二异壬酯迁移总量，邻苯二甲酸二正丁酯迁移量）</w:t>
            </w:r>
            <w:r>
              <w:rPr>
                <w:rFonts w:hint="eastAsia" w:ascii="Times New Roman" w:hAnsi="Times New Roman" w:eastAsia="宋体" w:cs="宋体"/>
                <w:szCs w:val="21"/>
                <w:lang w:val="en-US" w:eastAsia="zh-CN"/>
              </w:rPr>
              <w:t>（限PVC材质）</w:t>
            </w:r>
          </w:p>
        </w:tc>
        <w:tc>
          <w:tcPr>
            <w:tcW w:w="2318" w:type="pct"/>
            <w:shd w:val="clear" w:color="auto" w:fill="auto"/>
            <w:vAlign w:val="center"/>
          </w:tcPr>
          <w:p>
            <w:pPr>
              <w:adjustRightInd w:val="0"/>
              <w:snapToGrid w:val="0"/>
              <w:jc w:val="center"/>
              <w:rPr>
                <w:rFonts w:ascii="Times New Roman" w:hAnsi="Times New Roman" w:eastAsia="宋体" w:cs="Times New Roman"/>
                <w:kern w:val="2"/>
                <w:sz w:val="21"/>
                <w:szCs w:val="21"/>
                <w:lang w:val="pt-BR" w:eastAsia="zh-CN" w:bidi="ar-SA"/>
              </w:rPr>
            </w:pPr>
            <w:r>
              <w:rPr>
                <w:rFonts w:ascii="Times New Roman" w:hAnsi="Times New Roman" w:eastAsia="宋体" w:cs="仿宋"/>
                <w:szCs w:val="21"/>
              </w:rPr>
              <w:t>GB 31604.30-2016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Align w:val="center"/>
          </w:tcPr>
          <w:p>
            <w:pPr>
              <w:adjustRightInd w:val="0"/>
              <w:snapToGrid w:val="0"/>
              <w:jc w:val="center"/>
              <w:rPr>
                <w:rFonts w:cs="仿宋"/>
                <w:szCs w:val="21"/>
              </w:rPr>
            </w:pPr>
            <w:r>
              <w:rPr>
                <w:rFonts w:hint="eastAsia" w:cs="仿宋"/>
                <w:szCs w:val="21"/>
              </w:rPr>
              <w:t>8</w:t>
            </w:r>
          </w:p>
        </w:tc>
        <w:tc>
          <w:tcPr>
            <w:tcW w:w="2035" w:type="pct"/>
            <w:shd w:val="clear" w:color="auto" w:fill="auto"/>
            <w:vAlign w:val="center"/>
          </w:tcPr>
          <w:p>
            <w:pPr>
              <w:widowControl/>
              <w:adjustRightInd w:val="0"/>
              <w:snapToGrid w:val="0"/>
              <w:jc w:val="center"/>
              <w:rPr>
                <w:rFonts w:ascii="Times New Roman" w:hAnsi="Times New Roman" w:eastAsia="宋体" w:cs="仿宋"/>
                <w:color w:val="000000" w:themeColor="text1"/>
                <w:kern w:val="2"/>
                <w:sz w:val="21"/>
                <w:szCs w:val="21"/>
                <w:lang w:val="pt-BR" w:eastAsia="zh-CN" w:bidi="ar"/>
              </w:rPr>
            </w:pPr>
            <w:r>
              <w:rPr>
                <w:rFonts w:hint="eastAsia"/>
                <w:color w:val="000000" w:themeColor="text1"/>
                <w:lang w:val="pt-BR"/>
              </w:rPr>
              <w:t>耐干热性</w:t>
            </w:r>
          </w:p>
        </w:tc>
        <w:tc>
          <w:tcPr>
            <w:tcW w:w="2318" w:type="pct"/>
            <w:shd w:val="clear" w:color="auto" w:fill="auto"/>
            <w:vAlign w:val="center"/>
          </w:tcPr>
          <w:p>
            <w:pPr>
              <w:widowControl/>
              <w:adjustRightInd w:val="0"/>
              <w:snapToGrid w:val="0"/>
              <w:jc w:val="center"/>
              <w:rPr>
                <w:rFonts w:cs="仿宋"/>
                <w:color w:val="000000" w:themeColor="text1"/>
                <w:szCs w:val="21"/>
                <w:lang w:val="pt-BR" w:bidi="ar"/>
              </w:rPr>
            </w:pPr>
            <w:r>
              <w:rPr>
                <w:rFonts w:cs="仿宋"/>
                <w:color w:val="000000" w:themeColor="text1"/>
                <w:szCs w:val="21"/>
                <w:lang w:val="pt-BR" w:bidi="ar"/>
              </w:rPr>
              <w:t>QB/T 1999</w:t>
            </w:r>
            <w:r>
              <w:rPr>
                <w:rFonts w:hint="eastAsia" w:cs="仿宋"/>
                <w:color w:val="000000" w:themeColor="text1"/>
                <w:szCs w:val="21"/>
                <w:lang w:val="pt-BR" w:bidi="ar"/>
              </w:rPr>
              <w:t>—</w:t>
            </w:r>
            <w:r>
              <w:rPr>
                <w:rFonts w:cs="仿宋"/>
                <w:color w:val="000000" w:themeColor="text1"/>
                <w:szCs w:val="21"/>
                <w:lang w:val="pt-BR" w:bidi="ar"/>
              </w:rPr>
              <w:t xml:space="preserve">1994 </w:t>
            </w:r>
          </w:p>
          <w:p>
            <w:pPr>
              <w:widowControl/>
              <w:adjustRightInd w:val="0"/>
              <w:snapToGrid w:val="0"/>
              <w:jc w:val="center"/>
              <w:rPr>
                <w:rFonts w:ascii="Times New Roman" w:hAnsi="Times New Roman" w:eastAsia="宋体" w:cs="Times New Roman"/>
                <w:color w:val="000000" w:themeColor="text1"/>
                <w:kern w:val="2"/>
                <w:sz w:val="21"/>
                <w:szCs w:val="24"/>
                <w:lang w:val="pt-BR" w:eastAsia="zh-CN" w:bidi="ar-SA"/>
              </w:rPr>
            </w:pPr>
            <w:r>
              <w:rPr>
                <w:rFonts w:cs="仿宋"/>
                <w:color w:val="000000" w:themeColor="text1"/>
                <w:szCs w:val="21"/>
                <w:lang w:val="pt-BR" w:bidi="ar"/>
              </w:rPr>
              <w:t>GB/T 41001</w:t>
            </w:r>
            <w:r>
              <w:rPr>
                <w:rFonts w:hint="eastAsia" w:cs="仿宋"/>
                <w:color w:val="000000" w:themeColor="text1"/>
                <w:szCs w:val="21"/>
                <w:lang w:val="pt-BR" w:bidi="ar"/>
              </w:rPr>
              <w:t>—</w:t>
            </w:r>
            <w:r>
              <w:rPr>
                <w:rFonts w:cs="仿宋"/>
                <w:color w:val="000000" w:themeColor="text1"/>
                <w:szCs w:val="21"/>
                <w:lang w:val="pt-BR"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Align w:val="center"/>
          </w:tcPr>
          <w:p>
            <w:pPr>
              <w:adjustRightInd w:val="0"/>
              <w:snapToGrid w:val="0"/>
              <w:jc w:val="center"/>
              <w:rPr>
                <w:rFonts w:cs="仿宋"/>
                <w:szCs w:val="21"/>
              </w:rPr>
            </w:pPr>
            <w:r>
              <w:rPr>
                <w:rFonts w:hint="eastAsia" w:cs="仿宋"/>
                <w:szCs w:val="21"/>
              </w:rPr>
              <w:t>9</w:t>
            </w:r>
          </w:p>
        </w:tc>
        <w:tc>
          <w:tcPr>
            <w:tcW w:w="2035" w:type="pct"/>
            <w:shd w:val="clear" w:color="auto" w:fill="auto"/>
            <w:vAlign w:val="center"/>
          </w:tcPr>
          <w:p>
            <w:pPr>
              <w:widowControl/>
              <w:adjustRightInd w:val="0"/>
              <w:snapToGrid w:val="0"/>
              <w:jc w:val="center"/>
              <w:rPr>
                <w:rFonts w:ascii="Times New Roman" w:hAnsi="Times New Roman" w:eastAsia="宋体" w:cs="仿宋"/>
                <w:kern w:val="2"/>
                <w:sz w:val="21"/>
                <w:szCs w:val="21"/>
                <w:lang w:val="pt-BR" w:eastAsia="zh-CN" w:bidi="ar"/>
              </w:rPr>
            </w:pPr>
            <w:r>
              <w:rPr>
                <w:rFonts w:hint="eastAsia"/>
                <w:lang w:val="pt-BR"/>
              </w:rPr>
              <w:t>耐低温性</w:t>
            </w:r>
          </w:p>
        </w:tc>
        <w:tc>
          <w:tcPr>
            <w:tcW w:w="2318" w:type="pct"/>
            <w:shd w:val="clear" w:color="auto" w:fill="auto"/>
            <w:vAlign w:val="center"/>
          </w:tcPr>
          <w:p>
            <w:pPr>
              <w:widowControl/>
              <w:adjustRightInd w:val="0"/>
              <w:snapToGrid w:val="0"/>
              <w:jc w:val="center"/>
              <w:rPr>
                <w:rFonts w:cs="仿宋"/>
                <w:szCs w:val="21"/>
                <w:lang w:val="pt-BR" w:bidi="ar"/>
              </w:rPr>
            </w:pPr>
            <w:r>
              <w:rPr>
                <w:rFonts w:hint="eastAsia" w:cs="仿宋"/>
                <w:szCs w:val="21"/>
                <w:lang w:val="pt-BR" w:bidi="ar"/>
              </w:rPr>
              <w:t xml:space="preserve">QB/T 1999—1994 </w:t>
            </w:r>
          </w:p>
          <w:p>
            <w:pPr>
              <w:widowControl/>
              <w:adjustRightInd w:val="0"/>
              <w:snapToGrid w:val="0"/>
              <w:jc w:val="center"/>
              <w:rPr>
                <w:rFonts w:ascii="Times New Roman" w:hAnsi="Times New Roman" w:eastAsia="宋体" w:cs="Times New Roman"/>
                <w:kern w:val="2"/>
                <w:sz w:val="21"/>
                <w:szCs w:val="24"/>
                <w:lang w:val="pt-BR" w:eastAsia="zh-CN" w:bidi="ar-SA"/>
              </w:rPr>
            </w:pPr>
            <w:r>
              <w:rPr>
                <w:rFonts w:hint="eastAsia" w:cs="仿宋"/>
                <w:szCs w:val="21"/>
                <w:lang w:val="pt-BR" w:bidi="ar"/>
              </w:rPr>
              <w:t>GB/T 41001—2021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Align w:val="center"/>
          </w:tcPr>
          <w:p>
            <w:pPr>
              <w:adjustRightInd w:val="0"/>
              <w:snapToGrid w:val="0"/>
              <w:jc w:val="center"/>
              <w:rPr>
                <w:rFonts w:cs="仿宋"/>
                <w:szCs w:val="21"/>
              </w:rPr>
            </w:pPr>
            <w:r>
              <w:rPr>
                <w:rFonts w:hint="eastAsia" w:cs="仿宋"/>
                <w:szCs w:val="21"/>
              </w:rPr>
              <w:t>10</w:t>
            </w:r>
          </w:p>
        </w:tc>
        <w:tc>
          <w:tcPr>
            <w:tcW w:w="2035" w:type="pct"/>
            <w:shd w:val="clear" w:color="auto" w:fill="auto"/>
            <w:vAlign w:val="center"/>
          </w:tcPr>
          <w:p>
            <w:pPr>
              <w:adjustRightInd w:val="0"/>
              <w:snapToGrid w:val="0"/>
              <w:jc w:val="center"/>
              <w:rPr>
                <w:rFonts w:ascii="Times New Roman" w:hAnsi="Times New Roman" w:eastAsia="宋体" w:cs="仿宋"/>
                <w:kern w:val="2"/>
                <w:sz w:val="21"/>
                <w:szCs w:val="21"/>
                <w:lang w:val="pt-BR" w:eastAsia="zh-CN" w:bidi="ar-SA"/>
              </w:rPr>
            </w:pPr>
            <w:r>
              <w:rPr>
                <w:rFonts w:hint="eastAsia" w:cs="仿宋"/>
                <w:szCs w:val="21"/>
              </w:rPr>
              <w:t>耐湿热性</w:t>
            </w:r>
          </w:p>
        </w:tc>
        <w:tc>
          <w:tcPr>
            <w:tcW w:w="2318" w:type="pct"/>
            <w:shd w:val="clear" w:color="auto" w:fill="auto"/>
            <w:vAlign w:val="center"/>
          </w:tcPr>
          <w:p>
            <w:pPr>
              <w:adjustRightInd w:val="0"/>
              <w:snapToGrid w:val="0"/>
              <w:jc w:val="center"/>
              <w:rPr>
                <w:rFonts w:cs="仿宋"/>
                <w:szCs w:val="21"/>
              </w:rPr>
            </w:pPr>
            <w:r>
              <w:rPr>
                <w:rFonts w:hint="eastAsia" w:cs="仿宋"/>
                <w:szCs w:val="21"/>
              </w:rPr>
              <w:t>QB/T 1999—1994</w:t>
            </w:r>
          </w:p>
          <w:p>
            <w:pPr>
              <w:adjustRightInd w:val="0"/>
              <w:snapToGrid w:val="0"/>
              <w:jc w:val="center"/>
              <w:rPr>
                <w:rFonts w:ascii="Times New Roman" w:hAnsi="Times New Roman" w:eastAsia="宋体" w:cs="Times New Roman"/>
                <w:kern w:val="2"/>
                <w:sz w:val="21"/>
                <w:szCs w:val="24"/>
                <w:lang w:val="pt-BR" w:eastAsia="zh-CN" w:bidi="ar-SA"/>
              </w:rPr>
            </w:pPr>
            <w:r>
              <w:rPr>
                <w:rFonts w:hint="eastAsia"/>
                <w:szCs w:val="21"/>
              </w:rPr>
              <w:t>GB/T 41001—2021</w:t>
            </w:r>
            <w:r>
              <w:rPr>
                <w:rFonts w:hint="eastAsia"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Align w:val="center"/>
          </w:tcPr>
          <w:p>
            <w:pPr>
              <w:adjustRightInd w:val="0"/>
              <w:snapToGrid w:val="0"/>
              <w:jc w:val="center"/>
              <w:rPr>
                <w:rFonts w:cs="仿宋"/>
                <w:szCs w:val="21"/>
              </w:rPr>
            </w:pPr>
            <w:r>
              <w:rPr>
                <w:rFonts w:hint="eastAsia" w:cs="仿宋"/>
                <w:szCs w:val="21"/>
              </w:rPr>
              <w:t>11</w:t>
            </w:r>
          </w:p>
        </w:tc>
        <w:tc>
          <w:tcPr>
            <w:tcW w:w="2035" w:type="pct"/>
            <w:shd w:val="clear" w:color="auto" w:fill="auto"/>
            <w:vAlign w:val="center"/>
          </w:tcPr>
          <w:p>
            <w:pPr>
              <w:adjustRightInd w:val="0"/>
              <w:snapToGrid w:val="0"/>
              <w:jc w:val="center"/>
              <w:rPr>
                <w:rFonts w:ascii="Times New Roman" w:hAnsi="Times New Roman" w:eastAsia="宋体" w:cs="仿宋"/>
                <w:kern w:val="2"/>
                <w:sz w:val="21"/>
                <w:szCs w:val="21"/>
                <w:lang w:val="pt-BR" w:eastAsia="zh-CN" w:bidi="ar-SA"/>
              </w:rPr>
            </w:pPr>
            <w:r>
              <w:rPr>
                <w:rFonts w:hint="eastAsia" w:cs="仿宋"/>
                <w:szCs w:val="21"/>
              </w:rPr>
              <w:t>耐污染性</w:t>
            </w:r>
          </w:p>
        </w:tc>
        <w:tc>
          <w:tcPr>
            <w:tcW w:w="2318" w:type="pct"/>
            <w:shd w:val="clear" w:color="auto" w:fill="auto"/>
            <w:vAlign w:val="center"/>
          </w:tcPr>
          <w:p>
            <w:pPr>
              <w:adjustRightInd w:val="0"/>
              <w:snapToGrid w:val="0"/>
              <w:jc w:val="center"/>
              <w:rPr>
                <w:rFonts w:cs="仿宋"/>
                <w:szCs w:val="21"/>
              </w:rPr>
            </w:pPr>
            <w:r>
              <w:rPr>
                <w:rFonts w:hint="eastAsia" w:cs="仿宋"/>
                <w:szCs w:val="21"/>
              </w:rPr>
              <w:t>QB/T 1999—1994</w:t>
            </w:r>
          </w:p>
          <w:p>
            <w:pPr>
              <w:adjustRightInd w:val="0"/>
              <w:snapToGrid w:val="0"/>
              <w:jc w:val="center"/>
              <w:rPr>
                <w:rFonts w:ascii="Times New Roman" w:hAnsi="Times New Roman" w:eastAsia="宋体" w:cs="Times New Roman"/>
                <w:kern w:val="2"/>
                <w:sz w:val="21"/>
                <w:szCs w:val="24"/>
                <w:lang w:val="en-US" w:eastAsia="zh-CN" w:bidi="ar-SA"/>
              </w:rPr>
            </w:pPr>
            <w:r>
              <w:rPr>
                <w:rFonts w:hint="eastAsia"/>
                <w:szCs w:val="21"/>
              </w:rPr>
              <w:t>GB/T 41001—2021</w:t>
            </w:r>
            <w:r>
              <w:rPr>
                <w:rFonts w:hint="eastAsia"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Align w:val="center"/>
          </w:tcPr>
          <w:p>
            <w:pPr>
              <w:adjustRightInd w:val="0"/>
              <w:snapToGrid w:val="0"/>
              <w:jc w:val="center"/>
              <w:rPr>
                <w:rFonts w:cs="仿宋"/>
                <w:szCs w:val="21"/>
              </w:rPr>
            </w:pPr>
            <w:r>
              <w:rPr>
                <w:rFonts w:hint="eastAsia" w:cs="仿宋"/>
                <w:szCs w:val="21"/>
              </w:rPr>
              <w:t>12</w:t>
            </w:r>
          </w:p>
        </w:tc>
        <w:tc>
          <w:tcPr>
            <w:tcW w:w="2035" w:type="pct"/>
            <w:shd w:val="clear" w:color="auto" w:fill="auto"/>
            <w:vAlign w:val="center"/>
          </w:tcPr>
          <w:p>
            <w:pPr>
              <w:adjustRightInd w:val="0"/>
              <w:snapToGrid w:val="0"/>
              <w:jc w:val="center"/>
              <w:rPr>
                <w:rFonts w:ascii="Times New Roman" w:hAnsi="Times New Roman" w:eastAsia="宋体" w:cs="仿宋"/>
                <w:kern w:val="2"/>
                <w:sz w:val="21"/>
                <w:szCs w:val="21"/>
                <w:lang w:val="pt-BR" w:eastAsia="zh-CN" w:bidi="ar-SA"/>
              </w:rPr>
            </w:pPr>
            <w:r>
              <w:rPr>
                <w:rFonts w:hint="eastAsia" w:cs="仿宋"/>
                <w:szCs w:val="21"/>
              </w:rPr>
              <w:t>翘曲（底部）</w:t>
            </w:r>
          </w:p>
        </w:tc>
        <w:tc>
          <w:tcPr>
            <w:tcW w:w="2318" w:type="pct"/>
            <w:shd w:val="clear" w:color="auto" w:fill="auto"/>
            <w:vAlign w:val="center"/>
          </w:tcPr>
          <w:p>
            <w:pPr>
              <w:adjustRightInd w:val="0"/>
              <w:snapToGrid w:val="0"/>
              <w:jc w:val="center"/>
              <w:rPr>
                <w:rFonts w:cs="仿宋"/>
                <w:szCs w:val="21"/>
              </w:rPr>
            </w:pPr>
            <w:r>
              <w:rPr>
                <w:rFonts w:hint="eastAsia" w:cs="仿宋"/>
                <w:szCs w:val="21"/>
              </w:rPr>
              <w:t xml:space="preserve">QB/T 1999—1994 </w:t>
            </w:r>
          </w:p>
          <w:p>
            <w:pPr>
              <w:adjustRightInd w:val="0"/>
              <w:snapToGrid w:val="0"/>
              <w:jc w:val="center"/>
              <w:rPr>
                <w:rFonts w:ascii="Times New Roman" w:hAnsi="Times New Roman" w:eastAsia="宋体" w:cs="Times New Roman"/>
                <w:kern w:val="2"/>
                <w:sz w:val="21"/>
                <w:szCs w:val="24"/>
                <w:lang w:val="en-US" w:eastAsia="zh-CN" w:bidi="ar-SA"/>
              </w:rPr>
            </w:pPr>
            <w:r>
              <w:rPr>
                <w:rFonts w:hint="eastAsia"/>
                <w:szCs w:val="21"/>
              </w:rPr>
              <w:t>GB/T 41001—2021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Align w:val="center"/>
          </w:tcPr>
          <w:p>
            <w:pPr>
              <w:adjustRightInd w:val="0"/>
              <w:snapToGrid w:val="0"/>
              <w:jc w:val="center"/>
              <w:rPr>
                <w:rFonts w:cs="仿宋"/>
                <w:szCs w:val="21"/>
              </w:rPr>
            </w:pPr>
            <w:r>
              <w:rPr>
                <w:rFonts w:hint="eastAsia" w:cs="仿宋"/>
                <w:szCs w:val="21"/>
              </w:rPr>
              <w:t>13</w:t>
            </w:r>
          </w:p>
        </w:tc>
        <w:tc>
          <w:tcPr>
            <w:tcW w:w="2035" w:type="pct"/>
            <w:shd w:val="clear" w:color="auto" w:fill="auto"/>
            <w:vAlign w:val="center"/>
          </w:tcPr>
          <w:p>
            <w:pPr>
              <w:adjustRightInd w:val="0"/>
              <w:snapToGrid w:val="0"/>
              <w:jc w:val="center"/>
              <w:rPr>
                <w:rFonts w:ascii="Times New Roman" w:hAnsi="Times New Roman" w:eastAsia="宋体" w:cs="仿宋"/>
                <w:kern w:val="2"/>
                <w:sz w:val="21"/>
                <w:szCs w:val="21"/>
                <w:lang w:val="pt-BR" w:eastAsia="zh-CN" w:bidi="ar-SA"/>
              </w:rPr>
            </w:pPr>
            <w:r>
              <w:rPr>
                <w:rFonts w:hint="eastAsia" w:cs="仿宋"/>
                <w:szCs w:val="21"/>
              </w:rPr>
              <w:t>跌落</w:t>
            </w:r>
          </w:p>
        </w:tc>
        <w:tc>
          <w:tcPr>
            <w:tcW w:w="2318" w:type="pct"/>
            <w:shd w:val="clear" w:color="auto" w:fill="auto"/>
            <w:vAlign w:val="center"/>
          </w:tcPr>
          <w:p>
            <w:pPr>
              <w:adjustRightInd w:val="0"/>
              <w:snapToGrid w:val="0"/>
              <w:jc w:val="center"/>
              <w:rPr>
                <w:rFonts w:cs="仿宋"/>
                <w:szCs w:val="21"/>
              </w:rPr>
            </w:pPr>
            <w:r>
              <w:rPr>
                <w:rFonts w:hint="eastAsia" w:cs="仿宋"/>
                <w:szCs w:val="21"/>
              </w:rPr>
              <w:t xml:space="preserve">QB/T 1999—1994 </w:t>
            </w:r>
          </w:p>
          <w:p>
            <w:pPr>
              <w:adjustRightInd w:val="0"/>
              <w:snapToGrid w:val="0"/>
              <w:jc w:val="center"/>
              <w:rPr>
                <w:rFonts w:ascii="Times New Roman" w:hAnsi="Times New Roman" w:eastAsia="宋体" w:cs="Times New Roman"/>
                <w:kern w:val="2"/>
                <w:sz w:val="21"/>
                <w:szCs w:val="24"/>
                <w:lang w:val="en-US" w:eastAsia="zh-CN" w:bidi="ar-SA"/>
              </w:rPr>
            </w:pPr>
            <w:r>
              <w:rPr>
                <w:rFonts w:hint="eastAsia"/>
                <w:szCs w:val="21"/>
              </w:rPr>
              <w:t>GB/T 41001—2021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3"/>
          </w:tcPr>
          <w:p>
            <w:pPr>
              <w:adjustRightInd w:val="0"/>
              <w:snapToGrid w:val="0"/>
              <w:jc w:val="left"/>
              <w:rPr>
                <w:color w:val="000000"/>
              </w:rPr>
            </w:pPr>
            <w:r>
              <w:rPr>
                <w:rFonts w:hint="eastAsia"/>
                <w:color w:val="000000" w:themeColor="text1"/>
                <w:szCs w:val="21"/>
              </w:rPr>
              <w:t>注：</w:t>
            </w:r>
            <w:r>
              <w:rPr>
                <w:rFonts w:hint="eastAsia"/>
                <w:color w:val="000000"/>
              </w:rPr>
              <w:t xml:space="preserve"> </w:t>
            </w:r>
            <w:r>
              <w:rPr>
                <w:color w:val="000000"/>
                <w:szCs w:val="21"/>
              </w:rPr>
              <w:t>1</w:t>
            </w:r>
            <w:r>
              <w:rPr>
                <w:rFonts w:hint="eastAsia"/>
                <w:color w:val="000000"/>
                <w:szCs w:val="21"/>
              </w:rPr>
              <w:t>.</w:t>
            </w:r>
            <w:r>
              <w:rPr>
                <w:rFonts w:hint="eastAsia"/>
                <w:color w:val="000000"/>
              </w:rPr>
              <w:t>芳香族伯胺迁移总量</w:t>
            </w:r>
            <w:r>
              <w:rPr>
                <w:color w:val="000000"/>
              </w:rPr>
              <w:t>适用于执行标准为</w:t>
            </w:r>
            <w:r>
              <w:rPr>
                <w:rFonts w:hint="eastAsia"/>
                <w:color w:val="000000"/>
              </w:rPr>
              <w:t>G</w:t>
            </w:r>
            <w:r>
              <w:rPr>
                <w:color w:val="000000"/>
              </w:rPr>
              <w:t>B 4806.7</w:t>
            </w:r>
            <w:r>
              <w:rPr>
                <w:rFonts w:hint="eastAsia"/>
                <w:color w:val="000000" w:themeColor="text1"/>
                <w:szCs w:val="21"/>
              </w:rPr>
              <w:t>—</w:t>
            </w:r>
            <w:r>
              <w:rPr>
                <w:color w:val="000000"/>
              </w:rPr>
              <w:t>2023</w:t>
            </w:r>
            <w:r>
              <w:rPr>
                <w:rFonts w:hint="eastAsia"/>
                <w:color w:val="000000"/>
              </w:rPr>
              <w:t>，且含有芳香族异氰酸酯和偶氮类着色剂等可能产生芳香族伯胺类物质的产品。</w:t>
            </w:r>
          </w:p>
          <w:p>
            <w:pPr>
              <w:adjustRightInd w:val="0"/>
              <w:snapToGrid w:val="0"/>
              <w:ind w:firstLine="420" w:firstLineChars="200"/>
              <w:rPr>
                <w:color w:val="FF0000"/>
                <w:szCs w:val="21"/>
              </w:rPr>
            </w:pPr>
            <w:r>
              <w:rPr>
                <w:color w:val="000000"/>
              </w:rPr>
              <w:t>2.</w:t>
            </w:r>
            <w:r>
              <w:rPr>
                <w:rFonts w:hint="eastAsia"/>
              </w:rPr>
              <w:t xml:space="preserve"> </w:t>
            </w:r>
            <w:r>
              <w:rPr>
                <w:rFonts w:hint="eastAsia"/>
                <w:color w:val="000000"/>
              </w:rPr>
              <w:t>脱色试验仅适用于添加了着色剂的产品。</w:t>
            </w:r>
          </w:p>
        </w:tc>
      </w:tr>
    </w:tbl>
    <w:p>
      <w:pPr>
        <w:adjustRightInd w:val="0"/>
        <w:snapToGrid w:val="0"/>
        <w:spacing w:line="440" w:lineRule="exact"/>
        <w:ind w:firstLine="420" w:firstLineChars="200"/>
        <w:rPr>
          <w:color w:val="000000"/>
          <w:szCs w:val="21"/>
        </w:rPr>
      </w:pPr>
      <w:bookmarkStart w:id="0" w:name="_Hlk40347690"/>
      <w:r>
        <w:rPr>
          <w:rFonts w:hint="eastAsia"/>
          <w:color w:val="000000"/>
          <w:szCs w:val="21"/>
        </w:rPr>
        <w:t>执行企业标准、团体标准、地方标准的产品，检验项目参照上述内容执行。</w:t>
      </w:r>
    </w:p>
    <w:bookmarkEnd w:id="0"/>
    <w:p>
      <w:pPr>
        <w:adjustRightInd w:val="0"/>
        <w:snapToGrid w:val="0"/>
        <w:spacing w:line="440" w:lineRule="exact"/>
        <w:ind w:firstLine="420" w:firstLineChars="200"/>
        <w:rPr>
          <w:rFonts w:cs="仿宋_GB2312"/>
          <w:szCs w:val="21"/>
        </w:rPr>
      </w:pPr>
      <w:r>
        <w:rPr>
          <w:rFonts w:hint="eastAsia" w:cs="仿宋_GB2312"/>
          <w:szCs w:val="21"/>
        </w:rPr>
        <w:t>凡是注日期的文件，其随后所有的修改单（不包括勘误的内容）或修订版不适用于本细则。凡是不注日期的文件，其最新版本适用于本细则。</w:t>
      </w:r>
    </w:p>
    <w:p>
      <w:pPr>
        <w:spacing w:line="440" w:lineRule="exact"/>
        <w:rPr>
          <w:rFonts w:eastAsia="黑体"/>
          <w:color w:val="000000"/>
          <w:szCs w:val="21"/>
        </w:rPr>
      </w:pPr>
    </w:p>
    <w:p>
      <w:pPr>
        <w:spacing w:line="440" w:lineRule="exact"/>
        <w:rPr>
          <w:rFonts w:eastAsia="黑体"/>
          <w:color w:val="000000"/>
          <w:szCs w:val="21"/>
        </w:rPr>
      </w:pPr>
      <w:r>
        <w:rPr>
          <w:rFonts w:hint="eastAsia" w:eastAsia="黑体"/>
          <w:color w:val="000000"/>
          <w:szCs w:val="21"/>
        </w:rPr>
        <w:t>3 判定规则</w:t>
      </w:r>
    </w:p>
    <w:p>
      <w:pPr>
        <w:snapToGrid w:val="0"/>
        <w:spacing w:line="440" w:lineRule="exact"/>
        <w:rPr>
          <w:color w:val="000000"/>
          <w:szCs w:val="21"/>
        </w:rPr>
      </w:pPr>
      <w:r>
        <w:rPr>
          <w:rFonts w:hint="eastAsia"/>
          <w:color w:val="000000"/>
          <w:szCs w:val="21"/>
        </w:rPr>
        <w:t>3.1依据标准</w:t>
      </w:r>
    </w:p>
    <w:p>
      <w:pPr>
        <w:adjustRightInd w:val="0"/>
        <w:snapToGrid w:val="0"/>
        <w:spacing w:line="440" w:lineRule="exact"/>
        <w:ind w:firstLine="420" w:firstLineChars="200"/>
        <w:rPr>
          <w:color w:val="000000" w:themeColor="text1"/>
          <w:szCs w:val="21"/>
        </w:rPr>
      </w:pPr>
      <w:r>
        <w:rPr>
          <w:color w:val="000000" w:themeColor="text1"/>
          <w:szCs w:val="21"/>
        </w:rPr>
        <w:t>GB 4806.7</w:t>
      </w:r>
      <w:r>
        <w:rPr>
          <w:rFonts w:hint="eastAsia"/>
          <w:color w:val="000000" w:themeColor="text1"/>
          <w:szCs w:val="21"/>
        </w:rPr>
        <w:t>—</w:t>
      </w:r>
      <w:r>
        <w:rPr>
          <w:color w:val="000000" w:themeColor="text1"/>
          <w:szCs w:val="21"/>
        </w:rPr>
        <w:t>2023</w:t>
      </w:r>
      <w:r>
        <w:rPr>
          <w:rFonts w:hint="eastAsia"/>
          <w:color w:val="000000" w:themeColor="text1"/>
          <w:szCs w:val="21"/>
        </w:rPr>
        <w:t>食品安全国家标准</w:t>
      </w:r>
      <w:r>
        <w:rPr>
          <w:color w:val="000000" w:themeColor="text1"/>
          <w:szCs w:val="21"/>
        </w:rPr>
        <w:t xml:space="preserve"> </w:t>
      </w:r>
      <w:r>
        <w:rPr>
          <w:rFonts w:hint="eastAsia"/>
          <w:color w:val="000000" w:themeColor="text1"/>
          <w:szCs w:val="21"/>
        </w:rPr>
        <w:t>食品接触用塑料材料及制品</w:t>
      </w:r>
    </w:p>
    <w:p>
      <w:pPr>
        <w:adjustRightInd w:val="0"/>
        <w:snapToGrid w:val="0"/>
        <w:spacing w:line="440" w:lineRule="exact"/>
        <w:ind w:firstLine="420" w:firstLineChars="200"/>
        <w:rPr>
          <w:color w:val="000000" w:themeColor="text1"/>
          <w:szCs w:val="21"/>
        </w:rPr>
      </w:pPr>
      <w:r>
        <w:rPr>
          <w:color w:val="000000" w:themeColor="text1"/>
          <w:szCs w:val="21"/>
        </w:rPr>
        <w:t>GB/T 41001</w:t>
      </w:r>
      <w:r>
        <w:rPr>
          <w:rFonts w:hint="eastAsia"/>
          <w:color w:val="000000" w:themeColor="text1"/>
          <w:szCs w:val="21"/>
        </w:rPr>
        <w:t>—</w:t>
      </w:r>
      <w:r>
        <w:rPr>
          <w:color w:val="000000" w:themeColor="text1"/>
          <w:szCs w:val="21"/>
        </w:rPr>
        <w:t xml:space="preserve">2021 </w:t>
      </w:r>
      <w:r>
        <w:rPr>
          <w:rFonts w:hint="eastAsia"/>
          <w:color w:val="000000" w:themeColor="text1"/>
          <w:szCs w:val="21"/>
        </w:rPr>
        <w:t>密胺塑料餐饮具</w:t>
      </w:r>
    </w:p>
    <w:p>
      <w:pPr>
        <w:adjustRightInd w:val="0"/>
        <w:snapToGrid w:val="0"/>
        <w:spacing w:line="440" w:lineRule="exact"/>
        <w:ind w:firstLine="420" w:firstLineChars="200"/>
        <w:rPr>
          <w:rFonts w:hint="eastAsia"/>
          <w:szCs w:val="21"/>
        </w:rPr>
      </w:pPr>
      <w:r>
        <w:rPr>
          <w:szCs w:val="21"/>
        </w:rPr>
        <w:t>QB/T 1999</w:t>
      </w:r>
      <w:r>
        <w:rPr>
          <w:rFonts w:hint="eastAsia"/>
          <w:szCs w:val="21"/>
        </w:rPr>
        <w:t>—</w:t>
      </w:r>
      <w:r>
        <w:rPr>
          <w:szCs w:val="21"/>
        </w:rPr>
        <w:t xml:space="preserve">1994 </w:t>
      </w:r>
      <w:r>
        <w:rPr>
          <w:rFonts w:hint="eastAsia"/>
          <w:szCs w:val="21"/>
        </w:rPr>
        <w:t>密胺塑料餐具</w:t>
      </w:r>
    </w:p>
    <w:p>
      <w:pPr>
        <w:adjustRightInd w:val="0"/>
        <w:snapToGrid w:val="0"/>
        <w:spacing w:line="440" w:lineRule="exact"/>
        <w:ind w:firstLine="360" w:firstLineChars="200"/>
        <w:rPr>
          <w:rFonts w:hint="eastAsia"/>
          <w:szCs w:val="21"/>
        </w:rPr>
      </w:pPr>
      <w:r>
        <w:rPr>
          <w:rFonts w:hint="eastAsia" w:ascii="宋体" w:hAnsi="宋体" w:eastAsia="宋体" w:cs="宋体"/>
          <w:color w:val="auto"/>
          <w:kern w:val="2"/>
          <w:sz w:val="18"/>
          <w:szCs w:val="18"/>
          <w:lang w:val="en-US" w:eastAsia="zh-CN" w:bidi="ar"/>
        </w:rPr>
        <w:t>《食品相关产品生产许可实施细则（一）食品用塑料包装容器工具等制品部分》</w:t>
      </w:r>
    </w:p>
    <w:p>
      <w:pPr>
        <w:snapToGrid w:val="0"/>
        <w:spacing w:line="440" w:lineRule="exact"/>
        <w:ind w:firstLine="359" w:firstLineChars="171"/>
        <w:rPr>
          <w:rFonts w:hint="eastAsia"/>
          <w:color w:val="000000"/>
          <w:szCs w:val="21"/>
        </w:rPr>
      </w:pPr>
      <w:r>
        <w:rPr>
          <w:rFonts w:hint="eastAsia"/>
          <w:color w:val="000000"/>
          <w:szCs w:val="21"/>
        </w:rPr>
        <w:t>现行有效的企业标准、团体标准、地方标准及产品明示质量要求</w:t>
      </w:r>
    </w:p>
    <w:p>
      <w:pPr>
        <w:snapToGrid w:val="0"/>
        <w:spacing w:line="440" w:lineRule="exact"/>
        <w:ind w:firstLine="359" w:firstLineChars="171"/>
        <w:rPr>
          <w:rFonts w:hint="eastAsia"/>
          <w:color w:val="000000"/>
          <w:szCs w:val="21"/>
        </w:rPr>
      </w:pPr>
    </w:p>
    <w:p>
      <w:pPr>
        <w:adjustRightInd w:val="0"/>
        <w:snapToGrid w:val="0"/>
        <w:spacing w:line="440" w:lineRule="exact"/>
        <w:rPr>
          <w:color w:val="000000"/>
          <w:szCs w:val="21"/>
        </w:rPr>
      </w:pPr>
      <w:r>
        <w:rPr>
          <w:rFonts w:hint="eastAsia"/>
          <w:color w:val="000000"/>
          <w:szCs w:val="21"/>
        </w:rPr>
        <w:t>3.2判定原则</w:t>
      </w:r>
    </w:p>
    <w:p>
      <w:pPr>
        <w:snapToGrid w:val="0"/>
        <w:spacing w:line="440" w:lineRule="exact"/>
        <w:ind w:firstLine="420" w:firstLineChars="200"/>
        <w:rPr>
          <w:color w:val="000000"/>
          <w:szCs w:val="21"/>
        </w:rPr>
      </w:pPr>
      <w:r>
        <w:rPr>
          <w:rFonts w:hint="eastAsia"/>
          <w:color w:val="000000"/>
          <w:szCs w:val="21"/>
        </w:rPr>
        <w:t>经检验，检验项目全部合格，判定为被抽查产品所检项目未发现不</w:t>
      </w:r>
      <w:r>
        <w:rPr>
          <w:color w:val="000000"/>
          <w:szCs w:val="21"/>
        </w:rPr>
        <w:t>合格</w:t>
      </w:r>
      <w:r>
        <w:rPr>
          <w:rFonts w:hint="eastAsia"/>
          <w:color w:val="000000"/>
          <w:szCs w:val="21"/>
        </w:rPr>
        <w:t>；检验项目中任一项或一项以上不合格，判定为被抽查产品不合格。</w:t>
      </w:r>
    </w:p>
    <w:p>
      <w:pPr>
        <w:snapToGrid w:val="0"/>
        <w:spacing w:line="440" w:lineRule="exact"/>
        <w:ind w:firstLine="417" w:firstLineChars="199"/>
        <w:rPr>
          <w:color w:val="000000"/>
          <w:szCs w:val="21"/>
        </w:rPr>
      </w:pPr>
      <w:r>
        <w:rPr>
          <w:rFonts w:hint="eastAsia"/>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rFonts w:hint="eastAsia"/>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rFonts w:hint="eastAsia"/>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rFonts w:hint="eastAsia"/>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rFonts w:hint="eastAsia"/>
          <w:color w:val="000000"/>
          <w:szCs w:val="21"/>
        </w:rPr>
        <w:t>若被检产品明示的质量要求缺少本细则中检验项目依据的推荐性标准要求时，该项目不参与判定。</w:t>
      </w:r>
    </w:p>
    <w:p>
      <w:pPr>
        <w:snapToGrid w:val="0"/>
        <w:spacing w:line="440" w:lineRule="exact"/>
        <w:ind w:firstLine="417" w:firstLineChars="199"/>
        <w:rPr>
          <w:color w:val="000000" w:themeColor="text1"/>
          <w:szCs w:val="21"/>
        </w:rPr>
      </w:pPr>
    </w:p>
    <w:p>
      <w:pPr>
        <w:spacing w:line="440" w:lineRule="exact"/>
        <w:rPr>
          <w:rFonts w:eastAsia="黑体"/>
          <w:color w:val="000000" w:themeColor="text1"/>
          <w:szCs w:val="21"/>
        </w:rPr>
      </w:pPr>
      <w:r>
        <w:rPr>
          <w:rFonts w:eastAsia="黑体"/>
          <w:color w:val="000000" w:themeColor="text1"/>
          <w:szCs w:val="21"/>
        </w:rPr>
        <w:t xml:space="preserve">4 </w:t>
      </w:r>
      <w:r>
        <w:rPr>
          <w:rFonts w:hint="eastAsia" w:eastAsia="黑体"/>
          <w:color w:val="000000" w:themeColor="text1"/>
          <w:szCs w:val="21"/>
        </w:rPr>
        <w:t>附则</w:t>
      </w:r>
    </w:p>
    <w:p>
      <w:pPr>
        <w:snapToGrid w:val="0"/>
        <w:spacing w:line="440" w:lineRule="exact"/>
        <w:ind w:firstLine="417" w:firstLineChars="199"/>
        <w:jc w:val="left"/>
        <w:rPr>
          <w:color w:val="000000" w:themeColor="text1"/>
          <w:szCs w:val="21"/>
        </w:rPr>
      </w:pPr>
      <w:r>
        <w:rPr>
          <w:rFonts w:hint="eastAsia"/>
          <w:color w:val="000000" w:themeColor="text1"/>
        </w:rPr>
        <w:t>本细则</w:t>
      </w:r>
      <w:r>
        <w:rPr>
          <w:rFonts w:hint="eastAsia"/>
          <w:color w:val="000000" w:themeColor="text1"/>
          <w:lang w:val="en-US" w:eastAsia="zh-CN"/>
        </w:rPr>
        <w:t>首次发布</w:t>
      </w:r>
      <w:r>
        <w:rPr>
          <w:rFonts w:hint="eastAsia"/>
          <w:color w:val="000000" w:themeColor="text1"/>
          <w:szCs w:val="21"/>
        </w:rPr>
        <w:t>。</w:t>
      </w:r>
    </w:p>
    <w:p>
      <w:pPr>
        <w:snapToGrid w:val="0"/>
        <w:spacing w:line="440" w:lineRule="exact"/>
        <w:ind w:firstLine="417" w:firstLineChars="199"/>
        <w:rPr>
          <w:color w:val="FF0000"/>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2"/>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00000000000000000"/>
    <w:charset w:val="86"/>
    <w:family w:val="script"/>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k1M2Q0ZDQxODNhNzdiNDJlNGIzZjgzMjU0MmMwYTUifQ=="/>
  </w:docVars>
  <w:rsids>
    <w:rsidRoot w:val="00172A27"/>
    <w:rsid w:val="000057BC"/>
    <w:rsid w:val="00051A44"/>
    <w:rsid w:val="00063DA6"/>
    <w:rsid w:val="000723C0"/>
    <w:rsid w:val="00081CBD"/>
    <w:rsid w:val="000976DE"/>
    <w:rsid w:val="000C060E"/>
    <w:rsid w:val="000C0F50"/>
    <w:rsid w:val="001007A0"/>
    <w:rsid w:val="00140EA1"/>
    <w:rsid w:val="0014189E"/>
    <w:rsid w:val="00151340"/>
    <w:rsid w:val="00164B69"/>
    <w:rsid w:val="00172A27"/>
    <w:rsid w:val="001809DD"/>
    <w:rsid w:val="00184451"/>
    <w:rsid w:val="001A0FE7"/>
    <w:rsid w:val="001D712A"/>
    <w:rsid w:val="00232466"/>
    <w:rsid w:val="00253624"/>
    <w:rsid w:val="0025484D"/>
    <w:rsid w:val="00287220"/>
    <w:rsid w:val="002A6693"/>
    <w:rsid w:val="002B7D83"/>
    <w:rsid w:val="002C3D42"/>
    <w:rsid w:val="002D7F8A"/>
    <w:rsid w:val="002E0D1D"/>
    <w:rsid w:val="0030049F"/>
    <w:rsid w:val="003203A3"/>
    <w:rsid w:val="00325A92"/>
    <w:rsid w:val="00352FD5"/>
    <w:rsid w:val="00366375"/>
    <w:rsid w:val="00374965"/>
    <w:rsid w:val="00394F15"/>
    <w:rsid w:val="003C388C"/>
    <w:rsid w:val="003D327F"/>
    <w:rsid w:val="003E0084"/>
    <w:rsid w:val="003E61BF"/>
    <w:rsid w:val="00400212"/>
    <w:rsid w:val="00413F27"/>
    <w:rsid w:val="00445E86"/>
    <w:rsid w:val="00457231"/>
    <w:rsid w:val="0047158E"/>
    <w:rsid w:val="00474E04"/>
    <w:rsid w:val="004A0808"/>
    <w:rsid w:val="004D0C5A"/>
    <w:rsid w:val="004E1396"/>
    <w:rsid w:val="00507B8D"/>
    <w:rsid w:val="005252DB"/>
    <w:rsid w:val="005264E1"/>
    <w:rsid w:val="00536822"/>
    <w:rsid w:val="005631CA"/>
    <w:rsid w:val="00563EBC"/>
    <w:rsid w:val="00564076"/>
    <w:rsid w:val="005C64E4"/>
    <w:rsid w:val="005F7F13"/>
    <w:rsid w:val="0069709C"/>
    <w:rsid w:val="006F0971"/>
    <w:rsid w:val="006F4B81"/>
    <w:rsid w:val="0072334C"/>
    <w:rsid w:val="00754F1B"/>
    <w:rsid w:val="00801877"/>
    <w:rsid w:val="008166CF"/>
    <w:rsid w:val="008431E5"/>
    <w:rsid w:val="00855508"/>
    <w:rsid w:val="00895BEA"/>
    <w:rsid w:val="008A1305"/>
    <w:rsid w:val="008A3497"/>
    <w:rsid w:val="008D2A5F"/>
    <w:rsid w:val="008F5A19"/>
    <w:rsid w:val="00912280"/>
    <w:rsid w:val="00917A54"/>
    <w:rsid w:val="00946AD5"/>
    <w:rsid w:val="00962206"/>
    <w:rsid w:val="00963610"/>
    <w:rsid w:val="00987F0E"/>
    <w:rsid w:val="009B729B"/>
    <w:rsid w:val="009E10F9"/>
    <w:rsid w:val="009F5414"/>
    <w:rsid w:val="00A236EC"/>
    <w:rsid w:val="00A43553"/>
    <w:rsid w:val="00A44198"/>
    <w:rsid w:val="00A44EBA"/>
    <w:rsid w:val="00A7698F"/>
    <w:rsid w:val="00AF4D86"/>
    <w:rsid w:val="00B227C5"/>
    <w:rsid w:val="00B358F7"/>
    <w:rsid w:val="00B41AF8"/>
    <w:rsid w:val="00B66320"/>
    <w:rsid w:val="00BC2824"/>
    <w:rsid w:val="00BE01F4"/>
    <w:rsid w:val="00BE45F4"/>
    <w:rsid w:val="00C01BDA"/>
    <w:rsid w:val="00C059D0"/>
    <w:rsid w:val="00C26074"/>
    <w:rsid w:val="00C3641D"/>
    <w:rsid w:val="00C66CA6"/>
    <w:rsid w:val="00C83B0A"/>
    <w:rsid w:val="00C907AB"/>
    <w:rsid w:val="00CA7D37"/>
    <w:rsid w:val="00CC269C"/>
    <w:rsid w:val="00CD5A63"/>
    <w:rsid w:val="00CE1E0C"/>
    <w:rsid w:val="00CE277E"/>
    <w:rsid w:val="00CF5FF6"/>
    <w:rsid w:val="00D4540F"/>
    <w:rsid w:val="00D46745"/>
    <w:rsid w:val="00D51E46"/>
    <w:rsid w:val="00D56867"/>
    <w:rsid w:val="00D75A28"/>
    <w:rsid w:val="00D85948"/>
    <w:rsid w:val="00DF3062"/>
    <w:rsid w:val="00E02A7F"/>
    <w:rsid w:val="00E07880"/>
    <w:rsid w:val="00E2780B"/>
    <w:rsid w:val="00E37AAD"/>
    <w:rsid w:val="00E576D7"/>
    <w:rsid w:val="00E82621"/>
    <w:rsid w:val="00E84B2B"/>
    <w:rsid w:val="00E97F8E"/>
    <w:rsid w:val="00EA2FA0"/>
    <w:rsid w:val="00ED194C"/>
    <w:rsid w:val="00F02518"/>
    <w:rsid w:val="00F20C4E"/>
    <w:rsid w:val="00F36092"/>
    <w:rsid w:val="00F6363F"/>
    <w:rsid w:val="00F77C9A"/>
    <w:rsid w:val="00F843BB"/>
    <w:rsid w:val="00FB576C"/>
    <w:rsid w:val="00FD0100"/>
    <w:rsid w:val="00FD1A4F"/>
    <w:rsid w:val="00FD2AA6"/>
    <w:rsid w:val="00FE7E8A"/>
    <w:rsid w:val="00FF5827"/>
    <w:rsid w:val="04BF1C5E"/>
    <w:rsid w:val="077A6878"/>
    <w:rsid w:val="0A5B13DE"/>
    <w:rsid w:val="0C216E2C"/>
    <w:rsid w:val="0C9E04A8"/>
    <w:rsid w:val="0E197DBB"/>
    <w:rsid w:val="10717588"/>
    <w:rsid w:val="12170BBD"/>
    <w:rsid w:val="12DA55EB"/>
    <w:rsid w:val="15280BA9"/>
    <w:rsid w:val="18F73B84"/>
    <w:rsid w:val="193D4FDD"/>
    <w:rsid w:val="1F0A52F7"/>
    <w:rsid w:val="232F1F02"/>
    <w:rsid w:val="2411613C"/>
    <w:rsid w:val="24C70119"/>
    <w:rsid w:val="255F78B5"/>
    <w:rsid w:val="25B535C6"/>
    <w:rsid w:val="2607542D"/>
    <w:rsid w:val="26FE3B9A"/>
    <w:rsid w:val="27E3725A"/>
    <w:rsid w:val="290735BE"/>
    <w:rsid w:val="2D773A7A"/>
    <w:rsid w:val="2FBB2F70"/>
    <w:rsid w:val="337C6572"/>
    <w:rsid w:val="35C44201"/>
    <w:rsid w:val="36487721"/>
    <w:rsid w:val="36B27CD4"/>
    <w:rsid w:val="36FD7351"/>
    <w:rsid w:val="3B7E7F68"/>
    <w:rsid w:val="491D0C6F"/>
    <w:rsid w:val="4C001FDF"/>
    <w:rsid w:val="4F4533AE"/>
    <w:rsid w:val="4F5E5934"/>
    <w:rsid w:val="5D6F6A36"/>
    <w:rsid w:val="5ED42459"/>
    <w:rsid w:val="616E1341"/>
    <w:rsid w:val="6256252C"/>
    <w:rsid w:val="62A24A2C"/>
    <w:rsid w:val="66AA1B11"/>
    <w:rsid w:val="66EB18C0"/>
    <w:rsid w:val="685E2BB3"/>
    <w:rsid w:val="698E07D2"/>
    <w:rsid w:val="69A47054"/>
    <w:rsid w:val="6C19711F"/>
    <w:rsid w:val="6D126103"/>
    <w:rsid w:val="6F571666"/>
    <w:rsid w:val="71A64DF1"/>
    <w:rsid w:val="75DC7CFA"/>
    <w:rsid w:val="7A201923"/>
    <w:rsid w:val="7BCB31C0"/>
    <w:rsid w:val="7EC76C0A"/>
    <w:rsid w:val="CB67D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character" w:styleId="9">
    <w:name w:val="page number"/>
    <w:qFormat/>
    <w:uiPriority w:val="0"/>
  </w:style>
  <w:style w:type="character" w:styleId="10">
    <w:name w:val="annotation reference"/>
    <w:unhideWhenUsed/>
    <w:qFormat/>
    <w:uiPriority w:val="99"/>
    <w:rPr>
      <w:sz w:val="21"/>
      <w:szCs w:val="21"/>
    </w:rPr>
  </w:style>
  <w:style w:type="character" w:customStyle="1" w:styleId="11">
    <w:name w:val="批注文字 字符"/>
    <w:link w:val="2"/>
    <w:qFormat/>
    <w:uiPriority w:val="99"/>
    <w:rPr>
      <w:kern w:val="2"/>
      <w:sz w:val="21"/>
      <w:szCs w:val="24"/>
    </w:rPr>
  </w:style>
  <w:style w:type="character" w:customStyle="1" w:styleId="12">
    <w:name w:val="批注框文本 字符"/>
    <w:link w:val="3"/>
    <w:semiHidden/>
    <w:qFormat/>
    <w:uiPriority w:val="99"/>
    <w:rPr>
      <w:kern w:val="2"/>
      <w:sz w:val="18"/>
      <w:szCs w:val="18"/>
    </w:rPr>
  </w:style>
  <w:style w:type="character" w:customStyle="1" w:styleId="13">
    <w:name w:val="页脚 字符"/>
    <w:link w:val="4"/>
    <w:qFormat/>
    <w:uiPriority w:val="99"/>
    <w:rPr>
      <w:kern w:val="2"/>
      <w:sz w:val="18"/>
      <w:szCs w:val="18"/>
    </w:rPr>
  </w:style>
  <w:style w:type="character" w:customStyle="1" w:styleId="14">
    <w:name w:val="页眉 字符"/>
    <w:link w:val="5"/>
    <w:semiHidden/>
    <w:qFormat/>
    <w:uiPriority w:val="99"/>
    <w:rPr>
      <w:kern w:val="2"/>
      <w:sz w:val="18"/>
      <w:szCs w:val="18"/>
    </w:rPr>
  </w:style>
  <w:style w:type="character" w:customStyle="1" w:styleId="15">
    <w:name w:val="批注主题 字符"/>
    <w:link w:val="6"/>
    <w:semiHidden/>
    <w:qFormat/>
    <w:uiPriority w:val="99"/>
    <w:rPr>
      <w:b/>
      <w:bCs/>
      <w:kern w:val="2"/>
      <w:sz w:val="21"/>
      <w:szCs w:val="24"/>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936</Words>
  <Characters>1195</Characters>
  <Lines>10</Lines>
  <Paragraphs>2</Paragraphs>
  <TotalTime>0</TotalTime>
  <ScaleCrop>false</ScaleCrop>
  <LinksUpToDate>false</LinksUpToDate>
  <CharactersWithSpaces>1262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2019-12-27T03:39:00Z</dcterms:created>
  <dc:creator>Administrator</dc:creator>
  <cp:lastModifiedBy>11</cp:lastModifiedBy>
  <cp:lastPrinted>2019-12-05T15:53:00Z</cp:lastPrinted>
  <dcterms:modified xsi:type="dcterms:W3CDTF">2025-06-03T16:05:57Z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7A892CB13DD64825815F3C087715FA19_13</vt:lpwstr>
  </property>
  <property fmtid="{D5CDD505-2E9C-101B-9397-08002B2CF9AE}" pid="4" name="KSOTemplateDocerSaveRecord">
    <vt:lpwstr>eyJoZGlkIjoiZjk0ODA0MjBlZDZhYjY0NzJkODczMTUzNTE0MDg3YWQiLCJ1c2VySWQiOiIzMDk4MTEzMDYifQ==</vt:lpwstr>
  </property>
</Properties>
</file>