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750" w:lineRule="atLeast"/>
        <w:ind w:left="0" w:right="0" w:firstLine="418" w:firstLineChars="100"/>
        <w:jc w:val="both"/>
        <w:rPr>
          <w:rFonts w:hint="eastAsia" w:ascii="方正小标宋简体" w:hAnsi="方正小标宋简体" w:eastAsia="方正小标宋简体" w:cs="方正小标宋简体"/>
          <w:b w:val="0"/>
          <w:bCs w:val="0"/>
          <w:spacing w:val="-11"/>
          <w:kern w:val="2"/>
          <w:sz w:val="44"/>
          <w:szCs w:val="44"/>
          <w:lang w:val="en-US" w:eastAsia="zh-CN" w:bidi="ar-SA"/>
        </w:rPr>
      </w:pPr>
      <w:r>
        <w:rPr>
          <w:rFonts w:hint="eastAsia" w:ascii="方正小标宋简体" w:hAnsi="方正小标宋简体" w:eastAsia="方正小标宋简体" w:cs="方正小标宋简体"/>
          <w:b w:val="0"/>
          <w:bCs w:val="0"/>
          <w:spacing w:val="-11"/>
          <w:kern w:val="2"/>
          <w:sz w:val="44"/>
          <w:szCs w:val="44"/>
          <w:lang w:val="en-US" w:eastAsia="zh-CN" w:bidi="ar-SA"/>
        </w:rPr>
        <w:t>《建德市关于加快解决不动产登记涉及</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750" w:lineRule="atLeast"/>
        <w:ind w:left="0" w:right="0" w:firstLine="0"/>
        <w:jc w:val="center"/>
        <w:rPr>
          <w:rFonts w:hint="default" w:ascii="仿宋_GB2312" w:hAnsi="仿宋" w:eastAsia="仿宋_GB2312" w:cs="Times New Roman"/>
          <w:color w:val="000000"/>
          <w:sz w:val="44"/>
          <w:szCs w:val="44"/>
          <w:lang w:val="en-US" w:eastAsia="zh-CN"/>
        </w:rPr>
      </w:pPr>
      <w:r>
        <w:rPr>
          <w:rFonts w:hint="eastAsia" w:ascii="方正小标宋简体" w:hAnsi="方正小标宋简体" w:eastAsia="方正小标宋简体" w:cs="方正小标宋简体"/>
          <w:b w:val="0"/>
          <w:bCs w:val="0"/>
          <w:spacing w:val="-11"/>
          <w:kern w:val="2"/>
          <w:sz w:val="44"/>
          <w:szCs w:val="44"/>
          <w:lang w:val="en-US" w:eastAsia="zh-CN" w:bidi="ar-SA"/>
        </w:rPr>
        <w:t>历史遗留问题的通知</w:t>
      </w:r>
      <w:r>
        <w:rPr>
          <w:rFonts w:hint="eastAsia" w:ascii="方正小标宋简体" w:hAnsi="方正小标宋简体" w:eastAsia="方正小标宋简体" w:cs="方正小标宋简体"/>
          <w:spacing w:val="-11"/>
          <w:sz w:val="44"/>
          <w:szCs w:val="44"/>
          <w:lang w:val="en-US" w:eastAsia="zh-CN"/>
        </w:rPr>
        <w:t>》</w:t>
      </w:r>
      <w:r>
        <w:rPr>
          <w:rFonts w:hint="eastAsia" w:ascii="方正小标宋简体" w:hAnsi="方正小标宋简体" w:eastAsia="方正小标宋简体" w:cs="方正小标宋简体"/>
          <w:b w:val="0"/>
          <w:bCs w:val="0"/>
          <w:spacing w:val="-11"/>
          <w:sz w:val="44"/>
          <w:szCs w:val="44"/>
          <w:lang w:val="en-US" w:eastAsia="zh-CN"/>
        </w:rPr>
        <w:t>起草说明</w:t>
      </w:r>
    </w:p>
    <w:p>
      <w:pPr>
        <w:widowControl/>
        <w:wordWrap/>
        <w:adjustRightInd/>
        <w:snapToGrid/>
        <w:spacing w:line="540" w:lineRule="exact"/>
        <w:ind w:left="0" w:leftChars="0" w:firstLine="640" w:firstLineChars="200"/>
        <w:jc w:val="both"/>
        <w:textAlignment w:val="auto"/>
        <w:rPr>
          <w:rFonts w:hint="eastAsia" w:ascii="黑体" w:hAnsi="黑体" w:eastAsia="黑体" w:cs="黑体"/>
          <w:color w:val="000000"/>
          <w:sz w:val="32"/>
          <w:szCs w:val="32"/>
          <w:lang w:val="en-US" w:eastAsia="zh-CN"/>
        </w:rPr>
      </w:pPr>
    </w:p>
    <w:p>
      <w:pPr>
        <w:widowControl/>
        <w:wordWrap/>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一、起草背景</w:t>
      </w:r>
    </w:p>
    <w:p>
      <w:pPr>
        <w:widowControl/>
        <w:wordWrap/>
        <w:adjustRightInd/>
        <w:snapToGrid/>
        <w:spacing w:line="560" w:lineRule="exact"/>
        <w:ind w:left="0" w:leftChars="0" w:firstLine="640" w:firstLineChars="200"/>
        <w:jc w:val="both"/>
        <w:textAlignment w:val="auto"/>
        <w:rPr>
          <w:rFonts w:hint="eastAsia"/>
          <w:lang w:val="en-US" w:eastAsia="zh-CN"/>
        </w:rPr>
      </w:pPr>
      <w:r>
        <w:rPr>
          <w:rFonts w:hint="eastAsia" w:ascii="仿宋" w:hAnsi="仿宋" w:eastAsia="仿宋" w:cs="仿宋"/>
          <w:color w:val="000000"/>
          <w:kern w:val="0"/>
          <w:sz w:val="32"/>
          <w:szCs w:val="32"/>
          <w:lang w:val="en-US" w:eastAsia="zh-CN"/>
        </w:rPr>
        <w:t>不动产登记涉及千家万户，事关人民群众的切身利益。为落实以人民为中心的发展思想，切实维护群众权益，</w:t>
      </w:r>
      <w:r>
        <w:rPr>
          <w:rFonts w:hint="eastAsia" w:ascii="仿宋_GB2312" w:hAnsi="仿宋" w:eastAsia="仿宋_GB2312" w:cs="Times New Roman"/>
          <w:color w:val="000000"/>
          <w:sz w:val="32"/>
          <w:szCs w:val="32"/>
          <w:lang w:eastAsia="zh-CN"/>
        </w:rPr>
        <w:t>根据《自然资源部关于加快解决不动产登记若干历史遗留问题的通知》(自然资发〔2021〕1号）</w:t>
      </w:r>
      <w:r>
        <w:rPr>
          <w:rFonts w:hint="eastAsia" w:ascii="仿宋" w:hAnsi="仿宋" w:eastAsia="仿宋" w:cs="仿宋"/>
          <w:color w:val="000000"/>
          <w:kern w:val="0"/>
          <w:sz w:val="32"/>
          <w:szCs w:val="32"/>
          <w:lang w:val="en-US" w:eastAsia="zh-CN"/>
        </w:rPr>
        <w:t>《浙江省自然资源厅关于加快解决不动产登记若干历史遗留问题的指导意见》（浙自然资规〔2023〕3号）</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杭州市人民政府办公厅关于加快解决不动产登记涉及历史遗留问题的通知</w:t>
      </w:r>
      <w:r>
        <w:rPr>
          <w:rFonts w:hint="eastAsia" w:ascii="仿宋" w:hAnsi="仿宋" w:eastAsia="仿宋" w:cs="仿宋"/>
          <w:color w:val="000000"/>
          <w:sz w:val="32"/>
          <w:szCs w:val="32"/>
          <w:lang w:val="en-US" w:eastAsia="zh-CN"/>
        </w:rPr>
        <w:t>》（</w:t>
      </w:r>
      <w:r>
        <w:rPr>
          <w:rFonts w:ascii="仿宋_GB2312" w:hAnsi="仿宋_GB2312" w:eastAsia="仿宋_GB2312" w:cs="仿宋_GB2312"/>
          <w:b w:val="0"/>
          <w:bCs w:val="0"/>
          <w:color w:val="000000"/>
          <w:sz w:val="31"/>
          <w:szCs w:val="31"/>
        </w:rPr>
        <w:t>杭政办函〔2023〕12号</w:t>
      </w:r>
      <w:r>
        <w:rPr>
          <w:rFonts w:hint="eastAsia" w:ascii="仿宋" w:hAnsi="仿宋" w:eastAsia="仿宋" w:cs="仿宋"/>
          <w:color w:val="000000"/>
          <w:sz w:val="32"/>
          <w:szCs w:val="32"/>
          <w:lang w:val="en-US" w:eastAsia="zh-CN"/>
        </w:rPr>
        <w:t>）等</w:t>
      </w:r>
      <w:r>
        <w:rPr>
          <w:rFonts w:hint="eastAsia" w:ascii="仿宋_GB2312" w:hAnsi="仿宋" w:eastAsia="仿宋_GB2312" w:cs="Times New Roman"/>
          <w:color w:val="000000"/>
          <w:sz w:val="32"/>
          <w:szCs w:val="32"/>
          <w:lang w:eastAsia="zh-CN"/>
        </w:rPr>
        <w:t>文件精神，总结我市不动产登记历史遗留问题，</w:t>
      </w:r>
      <w:r>
        <w:rPr>
          <w:rFonts w:hint="eastAsia" w:ascii="仿宋_GB2312" w:hAnsi="仿宋" w:eastAsia="仿宋_GB2312" w:cs="Times New Roman"/>
          <w:color w:val="000000"/>
          <w:sz w:val="32"/>
          <w:szCs w:val="32"/>
          <w:lang w:val="en-US" w:eastAsia="zh-CN"/>
        </w:rPr>
        <w:t>及</w:t>
      </w:r>
      <w:r>
        <w:rPr>
          <w:rFonts w:hint="eastAsia" w:ascii="仿宋_GB2312" w:hAnsi="仿宋" w:eastAsia="仿宋_GB2312" w:cs="Times New Roman"/>
          <w:color w:val="000000"/>
          <w:sz w:val="32"/>
          <w:szCs w:val="32"/>
          <w:lang w:eastAsia="zh-CN"/>
        </w:rPr>
        <w:t>历年来解决</w:t>
      </w:r>
      <w:r>
        <w:rPr>
          <w:rFonts w:hint="eastAsia" w:ascii="仿宋_GB2312" w:hAnsi="仿宋" w:eastAsia="仿宋_GB2312" w:cs="Times New Roman"/>
          <w:color w:val="000000"/>
          <w:sz w:val="32"/>
          <w:szCs w:val="32"/>
          <w:lang w:val="en-US" w:eastAsia="zh-CN"/>
        </w:rPr>
        <w:t>不动产登记问题</w:t>
      </w:r>
      <w:r>
        <w:rPr>
          <w:rFonts w:hint="eastAsia" w:ascii="仿宋_GB2312" w:hAnsi="仿宋" w:eastAsia="仿宋_GB2312" w:cs="Times New Roman"/>
          <w:color w:val="000000"/>
          <w:sz w:val="32"/>
          <w:szCs w:val="32"/>
          <w:lang w:eastAsia="zh-CN"/>
        </w:rPr>
        <w:t>的做法实践，</w:t>
      </w:r>
      <w:r>
        <w:rPr>
          <w:rFonts w:hint="eastAsia" w:ascii="仿宋_GB2312" w:hAnsi="仿宋" w:eastAsia="仿宋_GB2312" w:cs="Times New Roman"/>
          <w:color w:val="000000"/>
          <w:sz w:val="32"/>
          <w:szCs w:val="32"/>
          <w:lang w:val="en-US" w:eastAsia="zh-CN"/>
        </w:rPr>
        <w:t>拟定</w:t>
      </w:r>
      <w:r>
        <w:rPr>
          <w:rFonts w:hint="eastAsia" w:ascii="仿宋_GB2312" w:hAnsi="仿宋_GB2312" w:eastAsia="仿宋_GB2312" w:cs="仿宋_GB2312"/>
          <w:b w:val="0"/>
          <w:bCs w:val="0"/>
          <w:spacing w:val="6"/>
          <w:kern w:val="2"/>
          <w:sz w:val="32"/>
          <w:szCs w:val="32"/>
          <w:lang w:val="en-US" w:eastAsia="zh-CN" w:bidi="ar-SA"/>
        </w:rPr>
        <w:t>《建德市关于加快解决不动产登记涉及历史遗留问题的通知》。</w:t>
      </w:r>
      <w:r>
        <w:rPr>
          <w:rFonts w:hint="eastAsia" w:ascii="仿宋_GB2312" w:hAnsi="仿宋" w:eastAsia="仿宋_GB2312" w:cs="Times New Roman"/>
          <w:color w:val="000000"/>
          <w:sz w:val="32"/>
          <w:szCs w:val="32"/>
          <w:lang w:eastAsia="zh-CN"/>
        </w:rPr>
        <w:t>妥善解决因缺少用地、规划、竣工验收等审批手续导致的不动产“登记难”问题，保障城市更新过程中群众合法权益，有效化解社会矛盾。</w:t>
      </w:r>
    </w:p>
    <w:p>
      <w:pPr>
        <w:widowControl/>
        <w:wordWrap/>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二、起草依据</w:t>
      </w:r>
    </w:p>
    <w:p>
      <w:pPr>
        <w:pStyle w:val="8"/>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20"/>
        <w:jc w:val="left"/>
        <w:textAlignment w:val="auto"/>
        <w:rPr>
          <w:rFonts w:hint="eastAsia" w:ascii="仿宋_GB2312" w:hAnsi="黑体" w:eastAsia="仿宋_GB2312" w:cs="楷体_GB2312"/>
          <w:kern w:val="2"/>
          <w:sz w:val="32"/>
          <w:szCs w:val="32"/>
          <w:highlight w:val="none"/>
          <w:lang w:val="en-US" w:eastAsia="zh-CN" w:bidi="ar-SA"/>
        </w:rPr>
      </w:pPr>
      <w:r>
        <w:rPr>
          <w:rFonts w:hint="eastAsia" w:ascii="仿宋_GB2312" w:hAnsi="黑体" w:eastAsia="仿宋_GB2312" w:cs="楷体_GB2312"/>
          <w:kern w:val="2"/>
          <w:sz w:val="32"/>
          <w:szCs w:val="32"/>
          <w:highlight w:val="none"/>
          <w:lang w:val="en-US" w:eastAsia="zh-CN" w:bidi="ar-SA"/>
        </w:rPr>
        <w:t>《中华人民共和国民法典》</w:t>
      </w:r>
    </w:p>
    <w:p>
      <w:pPr>
        <w:pStyle w:val="8"/>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20"/>
        <w:jc w:val="left"/>
        <w:textAlignment w:val="auto"/>
        <w:rPr>
          <w:rFonts w:hint="eastAsia" w:ascii="仿宋_GB2312" w:hAnsi="黑体" w:eastAsia="仿宋_GB2312" w:cs="楷体_GB2312"/>
          <w:kern w:val="2"/>
          <w:sz w:val="32"/>
          <w:szCs w:val="32"/>
          <w:highlight w:val="none"/>
          <w:lang w:val="en-US" w:eastAsia="zh-CN" w:bidi="ar-SA"/>
        </w:rPr>
      </w:pPr>
      <w:r>
        <w:rPr>
          <w:rFonts w:hint="eastAsia" w:ascii="仿宋_GB2312" w:hAnsi="黑体" w:eastAsia="仿宋_GB2312" w:cs="楷体_GB2312"/>
          <w:kern w:val="2"/>
          <w:sz w:val="32"/>
          <w:szCs w:val="32"/>
          <w:highlight w:val="none"/>
          <w:lang w:val="en-US" w:eastAsia="zh-CN" w:bidi="ar-SA"/>
        </w:rPr>
        <w:t>《不动产登记暂行条例》</w:t>
      </w:r>
    </w:p>
    <w:p>
      <w:pPr>
        <w:pStyle w:val="8"/>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20"/>
        <w:jc w:val="left"/>
        <w:textAlignment w:val="auto"/>
        <w:rPr>
          <w:rFonts w:hint="eastAsia" w:ascii="仿宋_GB2312" w:hAnsi="仿宋" w:eastAsia="仿宋_GB2312" w:cs="Times New Roman"/>
          <w:color w:val="000000"/>
          <w:sz w:val="32"/>
          <w:szCs w:val="32"/>
          <w:lang w:eastAsia="zh-CN"/>
        </w:rPr>
      </w:pPr>
      <w:r>
        <w:rPr>
          <w:rFonts w:hint="eastAsia" w:ascii="仿宋_GB2312" w:hAnsi="仿宋" w:eastAsia="仿宋_GB2312" w:cs="Times New Roman"/>
          <w:color w:val="000000"/>
          <w:sz w:val="32"/>
          <w:szCs w:val="32"/>
          <w:lang w:eastAsia="zh-CN"/>
        </w:rPr>
        <w:t>《自然资源部关于加快解决不动产登记若干历史遗留问题的通知》(自然资发〔2021〕1号）</w:t>
      </w:r>
    </w:p>
    <w:p>
      <w:pPr>
        <w:pStyle w:val="8"/>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2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《浙江省自然资源厅关于加快解决不动产登记若干历史遗留问题的指导意见》（浙自然资规〔2023〕3号）</w:t>
      </w:r>
    </w:p>
    <w:p>
      <w:pPr>
        <w:pStyle w:val="8"/>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20"/>
        <w:jc w:val="left"/>
        <w:textAlignment w:val="auto"/>
        <w:rPr>
          <w:rFonts w:hint="default" w:ascii="仿宋_GB2312" w:hAnsi="黑体" w:eastAsia="仿宋_GB2312" w:cs="楷体_GB2312"/>
          <w:kern w:val="2"/>
          <w:sz w:val="32"/>
          <w:szCs w:val="32"/>
          <w:highlight w:val="none"/>
          <w:lang w:val="en-US" w:eastAsia="zh-CN" w:bidi="ar-SA"/>
        </w:rPr>
      </w:pP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杭州市人民政府办公厅关于加快解决不动产登记涉及历史遗留问题的通知</w:t>
      </w:r>
      <w:r>
        <w:rPr>
          <w:rFonts w:hint="eastAsia" w:ascii="仿宋" w:hAnsi="仿宋" w:eastAsia="仿宋" w:cs="仿宋"/>
          <w:color w:val="000000"/>
          <w:sz w:val="32"/>
          <w:szCs w:val="32"/>
          <w:lang w:val="en-US" w:eastAsia="zh-CN"/>
        </w:rPr>
        <w:t>》（</w:t>
      </w:r>
      <w:r>
        <w:rPr>
          <w:rFonts w:ascii="仿宋_GB2312" w:hAnsi="仿宋_GB2312" w:eastAsia="仿宋_GB2312" w:cs="仿宋_GB2312"/>
          <w:b w:val="0"/>
          <w:bCs w:val="0"/>
          <w:color w:val="000000"/>
          <w:sz w:val="31"/>
          <w:szCs w:val="31"/>
        </w:rPr>
        <w:t>杭政办函〔2023〕12号</w:t>
      </w:r>
      <w:r>
        <w:rPr>
          <w:rFonts w:hint="eastAsia" w:ascii="仿宋" w:hAnsi="仿宋" w:eastAsia="仿宋" w:cs="仿宋"/>
          <w:color w:val="000000"/>
          <w:sz w:val="32"/>
          <w:szCs w:val="32"/>
          <w:lang w:val="en-US" w:eastAsia="zh-CN"/>
        </w:rPr>
        <w:t>）</w:t>
      </w:r>
    </w:p>
    <w:p>
      <w:pPr>
        <w:pStyle w:val="8"/>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20"/>
        <w:jc w:val="left"/>
        <w:textAlignment w:val="auto"/>
        <w:rPr>
          <w:rFonts w:hint="eastAsia" w:ascii="仿宋_GB2312" w:hAnsi="黑体" w:eastAsia="仿宋_GB2312" w:cs="楷体_GB2312"/>
          <w:kern w:val="2"/>
          <w:sz w:val="32"/>
          <w:szCs w:val="32"/>
          <w:highlight w:val="none"/>
          <w:lang w:val="en-US" w:eastAsia="zh-CN" w:bidi="ar-SA"/>
        </w:rPr>
      </w:pPr>
      <w:r>
        <w:rPr>
          <w:rFonts w:hint="eastAsia" w:ascii="仿宋_GB2312" w:hAnsi="黑体" w:eastAsia="仿宋_GB2312" w:cs="楷体_GB2312"/>
          <w:kern w:val="2"/>
          <w:sz w:val="32"/>
          <w:szCs w:val="32"/>
          <w:highlight w:val="none"/>
          <w:lang w:val="en-US" w:eastAsia="zh-CN" w:bidi="ar-SA"/>
        </w:rPr>
        <w:t>《中华人民共和国消防法》</w:t>
      </w:r>
    </w:p>
    <w:p>
      <w:pPr>
        <w:pStyle w:val="8"/>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420"/>
        <w:jc w:val="left"/>
        <w:textAlignment w:val="auto"/>
        <w:rPr>
          <w:rFonts w:hint="eastAsia" w:ascii="仿宋_GB2312" w:hAnsi="黑体" w:eastAsia="仿宋_GB2312" w:cs="楷体_GB2312"/>
          <w:kern w:val="2"/>
          <w:sz w:val="32"/>
          <w:szCs w:val="32"/>
          <w:highlight w:val="none"/>
          <w:lang w:val="en-US" w:eastAsia="zh-CN" w:bidi="ar-SA"/>
        </w:rPr>
      </w:pPr>
      <w:r>
        <w:rPr>
          <w:rFonts w:hint="eastAsia" w:ascii="仿宋_GB2312" w:hAnsi="黑体" w:eastAsia="仿宋_GB2312" w:cs="楷体_GB2312"/>
          <w:kern w:val="2"/>
          <w:sz w:val="32"/>
          <w:szCs w:val="32"/>
          <w:highlight w:val="none"/>
          <w:lang w:val="en-US" w:eastAsia="zh-CN" w:bidi="ar-SA"/>
        </w:rPr>
        <w:t>《中华人民共和国城乡规划法》</w:t>
      </w:r>
    </w:p>
    <w:p>
      <w:pPr>
        <w:wordWrap/>
        <w:adjustRightInd/>
        <w:snapToGrid/>
        <w:spacing w:line="560" w:lineRule="exact"/>
        <w:ind w:firstLine="640" w:firstLineChars="200"/>
        <w:textAlignment w:val="auto"/>
        <w:rPr>
          <w:rFonts w:ascii="仿宋" w:hAnsi="仿宋" w:eastAsia="仿宋" w:cs="仿宋"/>
          <w:color w:val="333333"/>
          <w:sz w:val="32"/>
          <w:szCs w:val="32"/>
          <w:shd w:val="clear" w:color="auto" w:fill="FFFFFF"/>
        </w:rPr>
      </w:pPr>
      <w:r>
        <w:rPr>
          <w:rFonts w:hint="eastAsia" w:ascii="黑体" w:hAnsi="黑体" w:eastAsia="黑体" w:cs="黑体"/>
          <w:color w:val="000000"/>
          <w:sz w:val="32"/>
          <w:szCs w:val="32"/>
          <w:lang w:val="en-US" w:eastAsia="zh-CN"/>
        </w:rPr>
        <w:t>三、起草过程</w:t>
      </w:r>
    </w:p>
    <w:p>
      <w:pPr>
        <w:pStyle w:val="8"/>
        <w:widowControl/>
        <w:wordWrap/>
        <w:adjustRightInd/>
        <w:snapToGrid/>
        <w:spacing w:before="0" w:beforeAutospacing="0" w:after="0" w:afterAutospacing="0" w:line="560" w:lineRule="exact"/>
        <w:ind w:firstLine="640" w:firstLineChars="200"/>
        <w:textAlignment w:val="auto"/>
        <w:rPr>
          <w:rFonts w:hint="eastAsia" w:ascii="仿宋_GB2312" w:hAnsi="黑体" w:eastAsia="仿宋_GB2312" w:cs="楷体_GB2312"/>
          <w:kern w:val="2"/>
          <w:sz w:val="32"/>
          <w:szCs w:val="32"/>
          <w:highlight w:val="none"/>
          <w:lang w:val="en-US" w:eastAsia="zh-CN" w:bidi="ar-SA"/>
        </w:rPr>
      </w:pPr>
      <w:r>
        <w:rPr>
          <w:rFonts w:hint="eastAsia" w:ascii="仿宋" w:hAnsi="仿宋" w:eastAsia="仿宋" w:cs="仿宋"/>
          <w:b w:val="0"/>
          <w:bCs w:val="0"/>
          <w:color w:val="auto"/>
          <w:kern w:val="0"/>
          <w:sz w:val="32"/>
          <w:szCs w:val="32"/>
          <w:lang w:val="en-US" w:eastAsia="zh-CN" w:bidi="ar-SA"/>
        </w:rPr>
        <w:t>根据自然资源部、省厅、市局相关通知，市自然资源局立即组织相关起草人员认真学习，并梳理我市存在的历史遗留办证问题，并在自然资源系统内部和各相关单位进行多次沟通、商议，拟定初稿。后按程序进行了书面征求相关单位意见，面向社会公开征求意见，市司法局合法性审查等工作，最后报市政府常务会议讨论。</w:t>
      </w:r>
    </w:p>
    <w:p>
      <w:pPr>
        <w:widowControl/>
        <w:numPr>
          <w:ilvl w:val="0"/>
          <w:numId w:val="2"/>
        </w:numPr>
        <w:wordWrap/>
        <w:adjustRightInd/>
        <w:snapToGrid/>
        <w:spacing w:line="560" w:lineRule="exact"/>
        <w:ind w:left="0" w:lef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主要内容</w:t>
      </w:r>
    </w:p>
    <w:p>
      <w:pPr>
        <w:pStyle w:val="8"/>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firstLine="630" w:firstLineChars="200"/>
        <w:textAlignment w:val="auto"/>
      </w:pPr>
      <w:r>
        <w:rPr>
          <w:rFonts w:ascii="仿宋" w:hAnsi="仿宋" w:eastAsia="仿宋" w:cs="仿宋"/>
          <w:sz w:val="31"/>
          <w:szCs w:val="31"/>
        </w:rPr>
        <w:t>《</w:t>
      </w:r>
      <w:r>
        <w:rPr>
          <w:rFonts w:hint="eastAsia" w:ascii="仿宋" w:hAnsi="仿宋" w:eastAsia="仿宋" w:cs="仿宋"/>
          <w:sz w:val="31"/>
          <w:szCs w:val="31"/>
          <w:lang w:val="en-US" w:eastAsia="zh-CN"/>
        </w:rPr>
        <w:t>通知</w:t>
      </w:r>
      <w:r>
        <w:rPr>
          <w:rFonts w:ascii="仿宋" w:hAnsi="仿宋" w:eastAsia="仿宋" w:cs="仿宋"/>
          <w:sz w:val="31"/>
          <w:szCs w:val="31"/>
        </w:rPr>
        <w:t>》主要包括五部分内容，分别是</w:t>
      </w:r>
      <w:r>
        <w:rPr>
          <w:rFonts w:hint="eastAsia" w:ascii="Times New Roman" w:hAnsi="Times New Roman" w:eastAsia="仿宋" w:cs="Times New Roman"/>
          <w:sz w:val="31"/>
          <w:szCs w:val="31"/>
          <w:lang w:val="en-US" w:eastAsia="zh-CN"/>
        </w:rPr>
        <w:t>工作原则</w:t>
      </w:r>
      <w:r>
        <w:rPr>
          <w:rFonts w:hint="eastAsia" w:ascii="仿宋" w:hAnsi="仿宋" w:eastAsia="仿宋" w:cs="仿宋"/>
          <w:sz w:val="31"/>
          <w:szCs w:val="31"/>
        </w:rPr>
        <w:t>、</w:t>
      </w:r>
      <w:r>
        <w:rPr>
          <w:rFonts w:hint="eastAsia" w:ascii="Times New Roman" w:hAnsi="Times New Roman" w:eastAsia="仿宋" w:cs="Times New Roman"/>
          <w:sz w:val="31"/>
          <w:szCs w:val="31"/>
          <w:lang w:val="en-US" w:eastAsia="zh-CN"/>
        </w:rPr>
        <w:t>适用范围</w:t>
      </w:r>
      <w:r>
        <w:rPr>
          <w:rFonts w:hint="eastAsia" w:ascii="仿宋" w:hAnsi="仿宋" w:eastAsia="仿宋" w:cs="仿宋"/>
          <w:sz w:val="31"/>
          <w:szCs w:val="31"/>
        </w:rPr>
        <w:t>、</w:t>
      </w:r>
      <w:r>
        <w:rPr>
          <w:rFonts w:hint="eastAsia" w:ascii="Times New Roman" w:hAnsi="Times New Roman" w:eastAsia="仿宋" w:cs="Times New Roman"/>
          <w:sz w:val="31"/>
          <w:szCs w:val="31"/>
          <w:lang w:val="en-US" w:eastAsia="zh-CN"/>
        </w:rPr>
        <w:t>分类处置意见</w:t>
      </w:r>
      <w:r>
        <w:rPr>
          <w:rFonts w:hint="eastAsia" w:ascii="仿宋" w:hAnsi="仿宋" w:eastAsia="仿宋" w:cs="仿宋"/>
          <w:sz w:val="31"/>
          <w:szCs w:val="31"/>
        </w:rPr>
        <w:t>。</w:t>
      </w:r>
    </w:p>
    <w:p>
      <w:pPr>
        <w:pStyle w:val="8"/>
        <w:widowControl/>
        <w:wordWrap/>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第一部分工作原则，主要是尊重历史，实事求是；依法依规，守住底线；先易后难，公正公平；明确主体，协同推进。</w:t>
      </w:r>
    </w:p>
    <w:p>
      <w:pPr>
        <w:pStyle w:val="8"/>
        <w:widowControl/>
        <w:wordWrap/>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color w:val="auto"/>
          <w:kern w:val="0"/>
          <w:sz w:val="32"/>
          <w:szCs w:val="32"/>
          <w:lang w:val="en-US" w:eastAsia="zh-CN" w:bidi="ar-SA"/>
        </w:rPr>
      </w:pPr>
      <w:r>
        <w:rPr>
          <w:rFonts w:hint="default" w:ascii="仿宋" w:hAnsi="仿宋" w:eastAsia="仿宋" w:cs="仿宋"/>
          <w:b w:val="0"/>
          <w:bCs w:val="0"/>
          <w:color w:val="auto"/>
          <w:kern w:val="0"/>
          <w:sz w:val="32"/>
          <w:szCs w:val="32"/>
          <w:lang w:val="en-US" w:eastAsia="zh-CN" w:bidi="ar-SA"/>
        </w:rPr>
        <w:t>第二部分</w:t>
      </w:r>
      <w:r>
        <w:rPr>
          <w:rFonts w:hint="eastAsia" w:ascii="仿宋" w:hAnsi="仿宋" w:eastAsia="仿宋" w:cs="仿宋"/>
          <w:b w:val="0"/>
          <w:bCs w:val="0"/>
          <w:color w:val="auto"/>
          <w:kern w:val="0"/>
          <w:sz w:val="32"/>
          <w:szCs w:val="32"/>
          <w:lang w:val="en-US" w:eastAsia="zh-CN" w:bidi="ar-SA"/>
        </w:rPr>
        <w:t>适用范围</w:t>
      </w:r>
      <w:r>
        <w:rPr>
          <w:rFonts w:hint="default" w:ascii="仿宋" w:hAnsi="仿宋" w:eastAsia="仿宋" w:cs="仿宋"/>
          <w:b w:val="0"/>
          <w:bCs w:val="0"/>
          <w:color w:val="auto"/>
          <w:kern w:val="0"/>
          <w:sz w:val="32"/>
          <w:szCs w:val="32"/>
          <w:lang w:val="en-US" w:eastAsia="zh-CN" w:bidi="ar-SA"/>
        </w:rPr>
        <w:t>，</w:t>
      </w:r>
      <w:r>
        <w:rPr>
          <w:rFonts w:hint="eastAsia" w:ascii="仿宋" w:hAnsi="仿宋" w:eastAsia="仿宋" w:cs="仿宋"/>
          <w:b w:val="0"/>
          <w:bCs w:val="0"/>
          <w:color w:val="auto"/>
          <w:kern w:val="0"/>
          <w:sz w:val="32"/>
          <w:szCs w:val="32"/>
          <w:lang w:val="en-US" w:eastAsia="zh-CN" w:bidi="ar-SA"/>
        </w:rPr>
        <w:t>明确为2021年 1月 4日（含）前房屋已建成，因各种历史原因无法按现行规定办理不动产登记的项目。</w:t>
      </w:r>
    </w:p>
    <w:p>
      <w:pPr>
        <w:pStyle w:val="8"/>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color w:val="auto"/>
          <w:sz w:val="32"/>
          <w:szCs w:val="32"/>
        </w:rPr>
      </w:pPr>
      <w:r>
        <w:rPr>
          <w:rFonts w:hint="default" w:ascii="仿宋" w:hAnsi="仿宋" w:eastAsia="仿宋" w:cs="仿宋"/>
          <w:b w:val="0"/>
          <w:bCs w:val="0"/>
          <w:color w:val="auto"/>
          <w:kern w:val="0"/>
          <w:sz w:val="32"/>
          <w:szCs w:val="32"/>
          <w:lang w:val="en-US" w:eastAsia="zh-CN" w:bidi="ar-SA"/>
        </w:rPr>
        <w:t>第三部分</w:t>
      </w:r>
      <w:r>
        <w:rPr>
          <w:rFonts w:hint="eastAsia" w:ascii="仿宋" w:hAnsi="仿宋" w:eastAsia="仿宋" w:cs="仿宋"/>
          <w:b w:val="0"/>
          <w:bCs w:val="0"/>
          <w:color w:val="auto"/>
          <w:kern w:val="0"/>
          <w:sz w:val="32"/>
          <w:szCs w:val="32"/>
          <w:lang w:val="en-US" w:eastAsia="zh-CN" w:bidi="ar-SA"/>
        </w:rPr>
        <w:t>分类处置</w:t>
      </w:r>
      <w:r>
        <w:rPr>
          <w:rFonts w:hint="default" w:ascii="仿宋" w:hAnsi="仿宋" w:eastAsia="仿宋" w:cs="仿宋"/>
          <w:b w:val="0"/>
          <w:bCs w:val="0"/>
          <w:color w:val="auto"/>
          <w:kern w:val="0"/>
          <w:sz w:val="32"/>
          <w:szCs w:val="32"/>
          <w:lang w:val="en-US" w:eastAsia="zh-CN" w:bidi="ar-SA"/>
        </w:rPr>
        <w:t>，</w:t>
      </w:r>
      <w:r>
        <w:rPr>
          <w:rFonts w:hint="eastAsia" w:ascii="仿宋" w:hAnsi="仿宋" w:eastAsia="仿宋" w:cs="仿宋"/>
          <w:b w:val="0"/>
          <w:bCs w:val="0"/>
          <w:color w:val="auto"/>
          <w:sz w:val="32"/>
          <w:szCs w:val="32"/>
          <w:lang w:eastAsia="zh-CN"/>
        </w:rPr>
        <w:t>本</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通知</w:t>
      </w:r>
      <w:r>
        <w:rPr>
          <w:rFonts w:hint="eastAsia" w:ascii="仿宋" w:hAnsi="仿宋" w:eastAsia="仿宋" w:cs="仿宋"/>
          <w:b w:val="0"/>
          <w:bCs w:val="0"/>
          <w:color w:val="auto"/>
          <w:sz w:val="32"/>
          <w:szCs w:val="32"/>
        </w:rPr>
        <w:t>》分为</w:t>
      </w:r>
      <w:r>
        <w:rPr>
          <w:rFonts w:hint="eastAsia" w:ascii="仿宋" w:hAnsi="仿宋" w:eastAsia="仿宋" w:cs="仿宋"/>
          <w:b w:val="0"/>
          <w:bCs w:val="0"/>
          <w:color w:val="auto"/>
          <w:sz w:val="32"/>
          <w:szCs w:val="32"/>
          <w:lang w:val="en-US" w:eastAsia="zh-CN"/>
        </w:rPr>
        <w:t>九类处置措施</w:t>
      </w:r>
      <w:r>
        <w:rPr>
          <w:rFonts w:hint="eastAsia" w:ascii="仿宋" w:hAnsi="仿宋" w:eastAsia="仿宋" w:cs="仿宋"/>
          <w:b w:val="0"/>
          <w:bCs w:val="0"/>
          <w:color w:val="auto"/>
          <w:sz w:val="32"/>
          <w:szCs w:val="32"/>
        </w:rPr>
        <w:t>，</w:t>
      </w:r>
    </w:p>
    <w:p>
      <w:pPr>
        <w:widowControl/>
        <w:numPr>
          <w:numId w:val="0"/>
        </w:numPr>
        <w:wordWrap/>
        <w:adjustRightInd/>
        <w:snapToGrid/>
        <w:spacing w:line="560" w:lineRule="exact"/>
        <w:ind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一是解决</w:t>
      </w:r>
      <w:r>
        <w:rPr>
          <w:rFonts w:hint="eastAsia" w:ascii="仿宋" w:hAnsi="仿宋" w:eastAsia="仿宋" w:cs="仿宋"/>
          <w:b w:val="0"/>
          <w:bCs w:val="0"/>
          <w:color w:val="auto"/>
          <w:kern w:val="0"/>
          <w:sz w:val="32"/>
          <w:szCs w:val="32"/>
          <w:lang w:val="en-US" w:eastAsia="zh-CN"/>
        </w:rPr>
        <w:t>开发建设单位主体缺失或不明确问题。由承继单位或上级主管部门或</w:t>
      </w:r>
      <w:r>
        <w:rPr>
          <w:rFonts w:hint="eastAsia" w:ascii="仿宋" w:hAnsi="仿宋" w:eastAsia="仿宋" w:cs="仿宋"/>
          <w:b w:val="0"/>
          <w:bCs w:val="0"/>
          <w:color w:val="auto"/>
          <w:kern w:val="0"/>
          <w:sz w:val="32"/>
          <w:szCs w:val="32"/>
          <w:highlight w:val="none"/>
          <w:lang w:val="en-US" w:eastAsia="zh-CN"/>
        </w:rPr>
        <w:t>所在乡镇（街道）</w:t>
      </w:r>
      <w:r>
        <w:rPr>
          <w:rFonts w:hint="eastAsia" w:ascii="仿宋" w:hAnsi="仿宋" w:eastAsia="仿宋" w:cs="仿宋"/>
          <w:b w:val="0"/>
          <w:bCs w:val="0"/>
          <w:color w:val="auto"/>
          <w:kern w:val="0"/>
          <w:sz w:val="32"/>
          <w:szCs w:val="32"/>
          <w:lang w:val="en-US" w:eastAsia="zh-CN"/>
        </w:rPr>
        <w:t>代为申请办理。二是解决征迁项目超面积安置问题。安置户自建存在超面积，分两种情形，一是安置协议或政策文件有结算标准的，按原标准处理；二是没有结算标准的，超安置面积35%以内，原则上应按照回迁时的市场评估价进行结算。三是解决安置房项目出现集体、国有土地交叉问题。</w:t>
      </w:r>
      <w:r>
        <w:rPr>
          <w:rFonts w:hint="eastAsia" w:ascii="仿宋" w:hAnsi="仿宋" w:eastAsia="仿宋" w:cs="仿宋"/>
          <w:b w:val="0"/>
          <w:bCs w:val="0"/>
          <w:color w:val="auto"/>
          <w:kern w:val="0"/>
          <w:sz w:val="32"/>
          <w:szCs w:val="32"/>
          <w:highlight w:val="none"/>
          <w:lang w:val="en-US" w:eastAsia="zh-CN"/>
        </w:rPr>
        <w:t>为了统一、公平，经属地政府出具意见后，可以先按集体土地登记。待后续土地性质调整到位再变更。四是解决农户在国有土地上自建安置房问题。</w:t>
      </w:r>
      <w:r>
        <w:rPr>
          <w:rFonts w:hint="eastAsia" w:ascii="仿宋" w:hAnsi="仿宋" w:eastAsia="仿宋" w:cs="仿宋"/>
          <w:b w:val="0"/>
          <w:bCs w:val="0"/>
          <w:color w:val="auto"/>
          <w:kern w:val="0"/>
          <w:sz w:val="32"/>
          <w:szCs w:val="32"/>
          <w:highlight w:val="none"/>
          <w:u w:val="none"/>
          <w:lang w:val="en-US" w:eastAsia="zh-CN"/>
        </w:rPr>
        <w:t>安置户有原拆原建需求，且符合建房资格的，属地政府可按宅基地进行审批并确权，登记为国有土地，参照宅基地管理。五是解决</w:t>
      </w:r>
      <w:r>
        <w:rPr>
          <w:rFonts w:hint="eastAsia" w:ascii="仿宋" w:hAnsi="仿宋" w:eastAsia="仿宋" w:cs="仿宋"/>
          <w:b w:val="0"/>
          <w:bCs w:val="0"/>
          <w:color w:val="auto"/>
          <w:kern w:val="2"/>
          <w:sz w:val="32"/>
          <w:szCs w:val="32"/>
          <w:highlight w:val="none"/>
          <w:lang w:val="en-US" w:eastAsia="zh-CN" w:bidi="ar-SA"/>
        </w:rPr>
        <w:t>公建公益类的村集体土地审批问题。</w:t>
      </w:r>
      <w:r>
        <w:rPr>
          <w:rFonts w:hint="eastAsia" w:ascii="仿宋" w:hAnsi="仿宋" w:eastAsia="仿宋" w:cs="仿宋"/>
          <w:b w:val="0"/>
          <w:bCs w:val="0"/>
          <w:color w:val="auto"/>
          <w:kern w:val="0"/>
          <w:sz w:val="32"/>
          <w:szCs w:val="32"/>
          <w:highlight w:val="none"/>
          <w:u w:val="none"/>
          <w:lang w:val="en-US" w:eastAsia="zh-CN" w:bidi="ar-SA"/>
        </w:rPr>
        <w:t>二调、三调</w:t>
      </w:r>
      <w:r>
        <w:rPr>
          <w:rFonts w:hint="eastAsia" w:ascii="仿宋" w:hAnsi="仿宋" w:eastAsia="仿宋" w:cs="仿宋"/>
          <w:b w:val="0"/>
          <w:bCs w:val="0"/>
          <w:color w:val="auto"/>
          <w:sz w:val="32"/>
          <w:szCs w:val="32"/>
        </w:rPr>
        <w:t>均认定为建设用地的</w:t>
      </w:r>
      <w:r>
        <w:rPr>
          <w:rFonts w:hint="eastAsia" w:ascii="仿宋" w:hAnsi="仿宋" w:eastAsia="仿宋" w:cs="仿宋"/>
          <w:b w:val="0"/>
          <w:bCs w:val="0"/>
          <w:color w:val="auto"/>
          <w:kern w:val="2"/>
          <w:sz w:val="32"/>
          <w:szCs w:val="32"/>
          <w:highlight w:val="none"/>
          <w:lang w:val="en-US" w:eastAsia="zh-CN" w:bidi="ar-SA"/>
        </w:rPr>
        <w:t>，符合规划，可以按现状简易补办土地手续。六是解决国有划拨的公建公益类项目超用地面积问题。超批准用地面积在100平方米以内，</w:t>
      </w:r>
      <w:r>
        <w:rPr>
          <w:rFonts w:hint="eastAsia" w:ascii="仿宋" w:hAnsi="仿宋" w:eastAsia="仿宋" w:cs="仿宋"/>
          <w:b w:val="0"/>
          <w:bCs w:val="0"/>
          <w:color w:val="auto"/>
          <w:kern w:val="0"/>
          <w:sz w:val="32"/>
          <w:szCs w:val="32"/>
          <w:highlight w:val="none"/>
          <w:u w:val="none"/>
          <w:lang w:val="en-US" w:eastAsia="zh-CN" w:bidi="ar-SA"/>
        </w:rPr>
        <w:t>二调、三调均</w:t>
      </w:r>
      <w:r>
        <w:rPr>
          <w:rFonts w:hint="eastAsia" w:ascii="仿宋" w:hAnsi="仿宋" w:eastAsia="仿宋" w:cs="仿宋"/>
          <w:b w:val="0"/>
          <w:bCs w:val="0"/>
          <w:color w:val="auto"/>
          <w:sz w:val="32"/>
          <w:szCs w:val="32"/>
        </w:rPr>
        <w:t>认定为建设用地的</w:t>
      </w:r>
      <w:r>
        <w:rPr>
          <w:rFonts w:hint="eastAsia" w:ascii="仿宋" w:hAnsi="仿宋" w:eastAsia="仿宋" w:cs="仿宋"/>
          <w:b w:val="0"/>
          <w:bCs w:val="0"/>
          <w:color w:val="auto"/>
          <w:kern w:val="2"/>
          <w:sz w:val="32"/>
          <w:szCs w:val="32"/>
          <w:highlight w:val="none"/>
          <w:lang w:val="en-US" w:eastAsia="zh-CN" w:bidi="ar-SA"/>
        </w:rPr>
        <w:t>，经所在村、镇（街道）确认土地补偿到位后，可简易补办超用地的划拨手续。七是解决因政府</w:t>
      </w:r>
      <w:r>
        <w:rPr>
          <w:rFonts w:hint="eastAsia" w:ascii="仿宋" w:hAnsi="仿宋" w:eastAsia="仿宋" w:cs="仿宋"/>
          <w:b w:val="0"/>
          <w:bCs w:val="0"/>
          <w:color w:val="auto"/>
          <w:kern w:val="2"/>
          <w:sz w:val="32"/>
          <w:szCs w:val="32"/>
          <w:lang w:val="en-US" w:eastAsia="zh-CN" w:bidi="ar-SA"/>
        </w:rPr>
        <w:t>统一实施的，未办理审批手续，导致私房住宅发生变化的办证问题。可由属地政府出具房屋改造情况说明及规划意见，房屋安全经鉴定合格后可办证。八是解决</w:t>
      </w:r>
      <w:r>
        <w:rPr>
          <w:rFonts w:hint="eastAsia" w:ascii="仿宋" w:hAnsi="仿宋" w:eastAsia="仿宋" w:cs="仿宋"/>
          <w:b w:val="0"/>
          <w:bCs w:val="0"/>
          <w:color w:val="auto"/>
          <w:kern w:val="2"/>
          <w:sz w:val="32"/>
          <w:szCs w:val="32"/>
          <w:highlight w:val="none"/>
          <w:lang w:val="en-US" w:eastAsia="zh-CN" w:bidi="ar-SA"/>
        </w:rPr>
        <w:t>公建公益类的项目缺少</w:t>
      </w:r>
      <w:r>
        <w:rPr>
          <w:rFonts w:hint="eastAsia" w:ascii="仿宋" w:hAnsi="仿宋" w:eastAsia="仿宋" w:cs="仿宋"/>
          <w:b w:val="0"/>
          <w:bCs w:val="0"/>
          <w:color w:val="auto"/>
          <w:kern w:val="2"/>
          <w:sz w:val="32"/>
          <w:szCs w:val="32"/>
          <w:lang w:val="en-US" w:eastAsia="zh-CN" w:bidi="ar-SA"/>
        </w:rPr>
        <w:t>规划验收问题。在符合国土空间规划的前提下，无需补办工程许可，规划部门按现状出具规划意见。九是解决</w:t>
      </w:r>
      <w:r>
        <w:rPr>
          <w:rFonts w:hint="eastAsia" w:ascii="仿宋" w:hAnsi="仿宋" w:eastAsia="仿宋" w:cs="仿宋"/>
          <w:b w:val="0"/>
          <w:bCs w:val="0"/>
          <w:color w:val="auto"/>
          <w:kern w:val="2"/>
          <w:sz w:val="32"/>
          <w:szCs w:val="32"/>
          <w:highlight w:val="none"/>
          <w:lang w:val="en-US" w:eastAsia="zh-CN" w:bidi="ar-SA"/>
        </w:rPr>
        <w:t>公建公益类的项目缺少竣工验收问题。</w:t>
      </w:r>
      <w:r>
        <w:rPr>
          <w:rFonts w:hint="eastAsia" w:ascii="仿宋" w:hAnsi="仿宋" w:eastAsia="仿宋" w:cs="仿宋"/>
          <w:b w:val="0"/>
          <w:bCs w:val="0"/>
          <w:color w:val="auto"/>
          <w:kern w:val="2"/>
          <w:sz w:val="32"/>
          <w:szCs w:val="32"/>
          <w:lang w:val="en-US" w:eastAsia="zh-CN" w:bidi="ar-SA"/>
        </w:rPr>
        <w:t>房屋安全经</w:t>
      </w:r>
      <w:r>
        <w:rPr>
          <w:rFonts w:hint="default" w:ascii="仿宋" w:hAnsi="仿宋" w:eastAsia="仿宋" w:cs="仿宋"/>
          <w:b w:val="0"/>
          <w:bCs w:val="0"/>
          <w:color w:val="auto"/>
          <w:kern w:val="2"/>
          <w:sz w:val="32"/>
          <w:szCs w:val="32"/>
          <w:lang w:val="en-US" w:eastAsia="zh-CN" w:bidi="ar-SA"/>
        </w:rPr>
        <w:t>屋安全鉴定机构出具房屋安全鉴定报告</w:t>
      </w:r>
      <w:r>
        <w:rPr>
          <w:rFonts w:hint="eastAsia" w:ascii="仿宋" w:hAnsi="仿宋" w:eastAsia="仿宋" w:cs="仿宋"/>
          <w:b w:val="0"/>
          <w:bCs w:val="0"/>
          <w:color w:val="auto"/>
          <w:kern w:val="2"/>
          <w:sz w:val="32"/>
          <w:szCs w:val="32"/>
          <w:lang w:val="en-US" w:eastAsia="zh-CN" w:bidi="ar-SA"/>
        </w:rPr>
        <w:t>，消防安全由</w:t>
      </w:r>
      <w:r>
        <w:rPr>
          <w:rFonts w:hint="eastAsia" w:ascii="仿宋" w:hAnsi="仿宋" w:eastAsia="仿宋" w:cs="仿宋"/>
          <w:b w:val="0"/>
          <w:bCs w:val="0"/>
          <w:i w:val="0"/>
          <w:iCs w:val="0"/>
          <w:caps w:val="0"/>
          <w:color w:val="auto"/>
          <w:spacing w:val="-6"/>
          <w:kern w:val="0"/>
          <w:sz w:val="32"/>
          <w:szCs w:val="32"/>
          <w:shd w:val="clear" w:color="0B0000" w:fill="FFFFFF"/>
          <w:lang w:val="en-US" w:eastAsia="zh-CN"/>
        </w:rPr>
        <w:t>消防专业技术服务机构排查安全隐</w:t>
      </w:r>
      <w:r>
        <w:rPr>
          <w:rFonts w:hint="eastAsia" w:ascii="仿宋" w:hAnsi="仿宋" w:eastAsia="仿宋" w:cs="仿宋"/>
          <w:b w:val="0"/>
          <w:bCs w:val="0"/>
          <w:color w:val="auto"/>
          <w:kern w:val="2"/>
          <w:sz w:val="32"/>
          <w:szCs w:val="32"/>
          <w:lang w:val="en-US" w:eastAsia="zh-CN" w:bidi="ar-SA"/>
        </w:rPr>
        <w:t>患和风险，整改完成后，出具消防安全评估报告。</w:t>
      </w:r>
    </w:p>
    <w:p>
      <w:pPr>
        <w:pStyle w:val="8"/>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000000"/>
          <w:sz w:val="32"/>
          <w:szCs w:val="32"/>
          <w:lang w:val="en-US" w:eastAsia="zh-CN"/>
        </w:rPr>
      </w:pPr>
      <w:r>
        <w:rPr>
          <w:rFonts w:hint="eastAsia" w:ascii="仿宋" w:hAnsi="仿宋" w:eastAsia="仿宋" w:cs="仿宋"/>
          <w:b w:val="0"/>
          <w:bCs w:val="0"/>
          <w:color w:val="auto"/>
          <w:kern w:val="2"/>
          <w:sz w:val="32"/>
          <w:szCs w:val="32"/>
          <w:highlight w:val="none"/>
          <w:lang w:val="en-US" w:eastAsia="zh-CN" w:bidi="ar-SA"/>
        </w:rPr>
        <w:t>同时提出</w:t>
      </w:r>
      <w:r>
        <w:rPr>
          <w:rFonts w:hint="eastAsia" w:ascii="仿宋" w:hAnsi="仿宋" w:eastAsia="仿宋" w:cs="仿宋"/>
          <w:b w:val="0"/>
          <w:bCs w:val="0"/>
          <w:color w:val="auto"/>
          <w:kern w:val="2"/>
          <w:sz w:val="32"/>
          <w:szCs w:val="32"/>
          <w:lang w:val="en-US" w:eastAsia="zh-CN" w:bidi="ar-SA"/>
        </w:rPr>
        <w:t>涉及历史遗留问题的项目，需属地乡镇（街道）、主管部门、自然资源部门、住建部门联合审批，严格把关。</w:t>
      </w:r>
    </w:p>
    <w:p>
      <w:pPr>
        <w:widowControl/>
        <w:wordWrap/>
        <w:spacing w:line="58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p>
    <w:p>
      <w:pPr>
        <w:widowControl/>
        <w:wordWrap/>
        <w:spacing w:line="58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p>
    <w:p>
      <w:pPr>
        <w:widowControl/>
        <w:wordWrap/>
        <w:spacing w:line="580" w:lineRule="exact"/>
        <w:ind w:firstLine="640" w:firstLineChars="200"/>
        <w:jc w:val="right"/>
        <w:textAlignment w:val="auto"/>
        <w:rPr>
          <w:rFonts w:hint="eastAsia" w:ascii="仿宋" w:hAnsi="仿宋" w:eastAsia="仿宋" w:cs="仿宋"/>
          <w:b w:val="0"/>
          <w:bCs w:val="0"/>
          <w:color w:val="auto"/>
          <w:kern w:val="2"/>
          <w:sz w:val="32"/>
          <w:szCs w:val="32"/>
          <w:lang w:val="en-US" w:eastAsia="zh-CN" w:bidi="ar-SA"/>
        </w:rPr>
      </w:pPr>
    </w:p>
    <w:p>
      <w:pPr>
        <w:pStyle w:val="2"/>
        <w:jc w:val="right"/>
        <w:rPr>
          <w:rFonts w:hint="default"/>
          <w:lang w:val="en-US" w:eastAsia="zh-CN"/>
        </w:rPr>
      </w:pPr>
      <w:r>
        <w:rPr>
          <w:rFonts w:hint="eastAsia" w:ascii="仿宋" w:hAnsi="仿宋" w:eastAsia="仿宋" w:cs="仿宋"/>
          <w:b w:val="0"/>
          <w:bCs w:val="0"/>
          <w:color w:val="auto"/>
          <w:kern w:val="2"/>
          <w:sz w:val="32"/>
          <w:szCs w:val="32"/>
          <w:lang w:val="en-US" w:eastAsia="zh-CN" w:bidi="ar-SA"/>
        </w:rPr>
        <w:t xml:space="preserve"> </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
    <w:nsid w:val="0000000D"/>
    <w:multiLevelType w:val="multilevel"/>
    <w:tmpl w:val="0000000D"/>
    <w:lvl w:ilvl="0" w:tentative="1">
      <w:start w:val="1"/>
      <w:numFmt w:val="decimal"/>
      <w:pStyle w:val="6"/>
      <w:lvlText w:val="%1."/>
      <w:lvlJc w:val="left"/>
      <w:pPr>
        <w:tabs>
          <w:tab w:val="left" w:pos="780"/>
        </w:tabs>
        <w:ind w:left="790" w:hanging="430"/>
      </w:pPr>
      <w:rPr>
        <w:rFonts w:hint="eastAsia"/>
      </w:rPr>
    </w:lvl>
    <w:lvl w:ilvl="1" w:tentative="1">
      <w:start w:val="1"/>
      <w:numFmt w:val="decimal"/>
      <w:lvlText w:val="%1.%2"/>
      <w:lvlJc w:val="left"/>
      <w:pPr>
        <w:tabs>
          <w:tab w:val="left" w:pos="880"/>
        </w:tabs>
        <w:ind w:left="880" w:hanging="700"/>
      </w:pPr>
      <w:rPr>
        <w:rFonts w:ascii="宋体" w:hAnsi="宋体" w:eastAsia="宋体" w:cs="Times New Roman"/>
        <w:lang w:val="en-US"/>
      </w:rPr>
    </w:lvl>
    <w:lvl w:ilvl="2" w:tentative="1">
      <w:start w:val="1"/>
      <w:numFmt w:val="decimal"/>
      <w:lvlText w:val="%1.%2.%3"/>
      <w:lvlJc w:val="left"/>
      <w:pPr>
        <w:tabs>
          <w:tab w:val="left" w:pos="1360"/>
        </w:tabs>
        <w:ind w:left="1360" w:hanging="1000"/>
      </w:pPr>
      <w:rPr>
        <w:rFonts w:hint="eastAsia"/>
      </w:rPr>
    </w:lvl>
    <w:lvl w:ilvl="3" w:tentative="1">
      <w:start w:val="1"/>
      <w:numFmt w:val="decimal"/>
      <w:lvlText w:val="%1.%2.%3.%4"/>
      <w:lvlJc w:val="left"/>
      <w:pPr>
        <w:tabs>
          <w:tab w:val="left" w:pos="360"/>
        </w:tabs>
        <w:ind w:left="2344" w:hanging="1984"/>
      </w:pPr>
      <w:rPr>
        <w:rFonts w:hint="eastAsia"/>
      </w:rPr>
    </w:lvl>
    <w:lvl w:ilvl="4" w:tentative="1">
      <w:start w:val="1"/>
      <w:numFmt w:val="decimal"/>
      <w:lvlText w:val="%1.%2.%3.%4.%5"/>
      <w:lvlJc w:val="left"/>
      <w:pPr>
        <w:tabs>
          <w:tab w:val="left" w:pos="2911"/>
        </w:tabs>
        <w:ind w:left="2911" w:hanging="850"/>
      </w:pPr>
      <w:rPr>
        <w:rFonts w:hint="eastAsia"/>
      </w:rPr>
    </w:lvl>
    <w:lvl w:ilvl="5" w:tentative="1">
      <w:start w:val="1"/>
      <w:numFmt w:val="decimal"/>
      <w:lvlText w:val="%1.%2.%3.%4.%5.%6"/>
      <w:lvlJc w:val="left"/>
      <w:pPr>
        <w:tabs>
          <w:tab w:val="left" w:pos="3620"/>
        </w:tabs>
        <w:ind w:left="3620" w:hanging="1134"/>
      </w:pPr>
      <w:rPr>
        <w:rFonts w:hint="eastAsia"/>
      </w:rPr>
    </w:lvl>
    <w:lvl w:ilvl="6" w:tentative="1">
      <w:start w:val="1"/>
      <w:numFmt w:val="decimal"/>
      <w:lvlText w:val="%1.%2.%3.%4.%5.%6.%7"/>
      <w:lvlJc w:val="left"/>
      <w:pPr>
        <w:tabs>
          <w:tab w:val="left" w:pos="4187"/>
        </w:tabs>
        <w:ind w:left="4187" w:hanging="1276"/>
      </w:pPr>
      <w:rPr>
        <w:rFonts w:hint="eastAsia"/>
      </w:rPr>
    </w:lvl>
    <w:lvl w:ilvl="7" w:tentative="1">
      <w:start w:val="1"/>
      <w:numFmt w:val="decimal"/>
      <w:lvlText w:val="%1.%2.%3.%4.%5.%6.%7.%8"/>
      <w:lvlJc w:val="left"/>
      <w:pPr>
        <w:tabs>
          <w:tab w:val="left" w:pos="4754"/>
        </w:tabs>
        <w:ind w:left="4754" w:hanging="1418"/>
      </w:pPr>
      <w:rPr>
        <w:rFonts w:hint="eastAsia"/>
      </w:rPr>
    </w:lvl>
    <w:lvl w:ilvl="8" w:tentative="1">
      <w:start w:val="1"/>
      <w:numFmt w:val="decimal"/>
      <w:lvlText w:val="%1.%2.%3.%4.%5.%6.%7.%8.%9"/>
      <w:lvlJc w:val="left"/>
      <w:pPr>
        <w:tabs>
          <w:tab w:val="left" w:pos="5462"/>
        </w:tabs>
        <w:ind w:left="5462" w:hanging="1700"/>
      </w:pPr>
      <w:rPr>
        <w:rFonts w:hint="eastAsia"/>
      </w:rPr>
    </w:lvl>
  </w:abstractNum>
  <w:abstractNum w:abstractNumId="1790347898">
    <w:nsid w:val="6AB68A7A"/>
    <w:multiLevelType w:val="singleLevel"/>
    <w:tmpl w:val="6AB68A7A"/>
    <w:lvl w:ilvl="0" w:tentative="1">
      <w:start w:val="4"/>
      <w:numFmt w:val="chineseCounting"/>
      <w:suff w:val="nothing"/>
      <w:lvlText w:val="%1、"/>
      <w:lvlJc w:val="left"/>
      <w:rPr>
        <w:rFonts w:hint="eastAsia"/>
      </w:rPr>
    </w:lvl>
  </w:abstractNum>
  <w:num w:numId="1">
    <w:abstractNumId w:val="13"/>
  </w:num>
  <w:num w:numId="2">
    <w:abstractNumId w:val="17903478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ZmZjg3MTJkYmYxNDAxMDhlODRkMjMxOTEzZDdiYmIifQ=="/>
    <w:docVar w:name="KSO_WPS_MARK_KEY" w:val="4effb799-9951-4633-a0c4-a22b621e5014"/>
  </w:docVars>
  <w:rsids>
    <w:rsidRoot w:val="0DA30446"/>
    <w:rsid w:val="00B975F2"/>
    <w:rsid w:val="01C1212C"/>
    <w:rsid w:val="02A429BD"/>
    <w:rsid w:val="05B13C1D"/>
    <w:rsid w:val="09B83533"/>
    <w:rsid w:val="0DA30446"/>
    <w:rsid w:val="0F334EAC"/>
    <w:rsid w:val="11F1711C"/>
    <w:rsid w:val="16E80942"/>
    <w:rsid w:val="18770412"/>
    <w:rsid w:val="1AA06919"/>
    <w:rsid w:val="1CBB66DF"/>
    <w:rsid w:val="1D843DE8"/>
    <w:rsid w:val="243A6885"/>
    <w:rsid w:val="247104F9"/>
    <w:rsid w:val="27BF3329"/>
    <w:rsid w:val="28B7076D"/>
    <w:rsid w:val="2CAA58DC"/>
    <w:rsid w:val="32755CDF"/>
    <w:rsid w:val="343B2D53"/>
    <w:rsid w:val="351F007C"/>
    <w:rsid w:val="36432172"/>
    <w:rsid w:val="36FA0940"/>
    <w:rsid w:val="386822A7"/>
    <w:rsid w:val="3F074467"/>
    <w:rsid w:val="4770749D"/>
    <w:rsid w:val="4910358D"/>
    <w:rsid w:val="491969FE"/>
    <w:rsid w:val="4A800BE6"/>
    <w:rsid w:val="54A9354A"/>
    <w:rsid w:val="586B47D6"/>
    <w:rsid w:val="5A491961"/>
    <w:rsid w:val="5A6776CD"/>
    <w:rsid w:val="5AAD51C9"/>
    <w:rsid w:val="5AC63050"/>
    <w:rsid w:val="5C4D336B"/>
    <w:rsid w:val="5D92680F"/>
    <w:rsid w:val="5E6B6F71"/>
    <w:rsid w:val="5F3337AA"/>
    <w:rsid w:val="62021B57"/>
    <w:rsid w:val="623757B2"/>
    <w:rsid w:val="63177907"/>
    <w:rsid w:val="63B854D2"/>
    <w:rsid w:val="64550596"/>
    <w:rsid w:val="650A75D2"/>
    <w:rsid w:val="65EF31EC"/>
    <w:rsid w:val="68C77CB4"/>
    <w:rsid w:val="6B4C7E6D"/>
    <w:rsid w:val="70CE38CA"/>
    <w:rsid w:val="71EC253A"/>
    <w:rsid w:val="75FE0A8D"/>
    <w:rsid w:val="771542E1"/>
    <w:rsid w:val="7AF10BC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character" w:default="1" w:styleId="9">
    <w:name w:val="Default Paragraph Font"/>
    <w:semiHidden/>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tcPr>
      <w:textDirection w:val="lrTb"/>
    </w:tcPr>
  </w:style>
  <w:style w:type="paragraph" w:styleId="2">
    <w:name w:val="Body Text First Indent 2"/>
    <w:basedOn w:val="3"/>
    <w:unhideWhenUsed/>
    <w:qFormat/>
    <w:uiPriority w:val="99"/>
    <w:pPr>
      <w:ind w:firstLine="420" w:firstLineChars="200"/>
    </w:pPr>
  </w:style>
  <w:style w:type="paragraph" w:styleId="3">
    <w:name w:val="Body Text Indent"/>
    <w:basedOn w:val="1"/>
    <w:uiPriority w:val="0"/>
    <w:pPr>
      <w:ind w:firstLine="360"/>
    </w:pPr>
    <w:rPr>
      <w:sz w:val="24"/>
    </w:rPr>
  </w:style>
  <w:style w:type="paragraph" w:styleId="5">
    <w:name w:val="Body Text First Indent"/>
    <w:basedOn w:val="6"/>
    <w:next w:val="1"/>
    <w:unhideWhenUsed/>
    <w:qFormat/>
    <w:uiPriority w:val="99"/>
    <w:pPr>
      <w:numPr>
        <w:ilvl w:val="0"/>
        <w:numId w:val="0"/>
      </w:numPr>
      <w:tabs>
        <w:tab w:val="left" w:pos="780"/>
      </w:tabs>
      <w:spacing w:after="120"/>
      <w:ind w:firstLine="420" w:firstLineChars="100"/>
    </w:pPr>
    <w:rPr>
      <w:rFonts w:ascii="Calibri" w:eastAsia="宋体"/>
      <w:sz w:val="24"/>
    </w:rPr>
  </w:style>
  <w:style w:type="paragraph" w:styleId="6">
    <w:name w:val="Body Text"/>
    <w:basedOn w:val="1"/>
    <w:next w:val="5"/>
    <w:qFormat/>
    <w:uiPriority w:val="99"/>
    <w:pPr>
      <w:numPr>
        <w:ilvl w:val="0"/>
        <w:numId w:val="1"/>
      </w:numPr>
    </w:pPr>
    <w:rPr>
      <w:rFonts w:ascii="黑体" w:eastAsia="黑体"/>
      <w:sz w:val="22"/>
    </w:rPr>
  </w:style>
  <w:style w:type="paragraph" w:styleId="7">
    <w:name w:val="table of figures"/>
    <w:basedOn w:val="1"/>
    <w:next w:val="1"/>
    <w:unhideWhenUsed/>
    <w:qFormat/>
    <w:uiPriority w:val="99"/>
    <w:pPr>
      <w:ind w:left="200" w:leftChars="200" w:hanging="200" w:hangingChars="200"/>
    </w:pPr>
    <w:rPr>
      <w:rFonts w:ascii="Times New Roman" w:hAnsi="Times New Roman" w:eastAsia="宋体" w:cs="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1652</Words>
  <Characters>1700</Characters>
  <Lines>0</Lines>
  <Paragraphs>0</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2022-07-10T02:41:00Z</dcterms:created>
  <dc:creator>朱朱</dc:creator>
  <cp:lastModifiedBy>张俊凯</cp:lastModifiedBy>
  <cp:lastPrinted>2023-02-07T08:45:00Z</cp:lastPrinted>
  <dcterms:modified xsi:type="dcterms:W3CDTF">2024-12-02T00:47:38Z</dcterms:modified>
  <dc:title>《建德市关于加快解决不动产登记涉及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A4CF43115D304FACA6C10AC9A454A1B5_13</vt:lpwstr>
  </property>
</Properties>
</file>