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CAE60" w14:textId="41587AA3" w:rsidR="007C6E74" w:rsidRPr="00467B62" w:rsidRDefault="00C139C3" w:rsidP="002F06AE">
      <w:pPr>
        <w:ind w:firstLineChars="0" w:firstLine="0"/>
        <w:jc w:val="center"/>
        <w:rPr>
          <w:rFonts w:ascii="黑体" w:eastAsia="黑体" w:hAnsi="黑体"/>
          <w:sz w:val="44"/>
          <w:szCs w:val="44"/>
        </w:rPr>
      </w:pPr>
      <w:r w:rsidRPr="00467B62">
        <w:rPr>
          <w:rFonts w:ascii="黑体" w:eastAsia="黑体" w:hAnsi="黑体" w:hint="eastAsia"/>
          <w:sz w:val="44"/>
          <w:szCs w:val="44"/>
        </w:rPr>
        <w:t>宁波市</w:t>
      </w:r>
      <w:r w:rsidR="00554FBA" w:rsidRPr="00467B62">
        <w:rPr>
          <w:rFonts w:ascii="黑体" w:eastAsia="黑体" w:hAnsi="黑体" w:hint="eastAsia"/>
          <w:sz w:val="44"/>
          <w:szCs w:val="44"/>
        </w:rPr>
        <w:t>城市</w:t>
      </w:r>
      <w:r w:rsidRPr="00467B62">
        <w:rPr>
          <w:rFonts w:ascii="黑体" w:eastAsia="黑体" w:hAnsi="黑体"/>
          <w:sz w:val="44"/>
          <w:szCs w:val="44"/>
        </w:rPr>
        <w:t>绿线</w:t>
      </w:r>
      <w:r w:rsidRPr="00467B62">
        <w:rPr>
          <w:rFonts w:ascii="黑体" w:eastAsia="黑体" w:hAnsi="黑体" w:hint="eastAsia"/>
          <w:sz w:val="44"/>
          <w:szCs w:val="44"/>
        </w:rPr>
        <w:t>规划</w:t>
      </w:r>
    </w:p>
    <w:p w14:paraId="5EA97783" w14:textId="0A3857C6" w:rsidR="00467B62" w:rsidRPr="00467B62" w:rsidRDefault="00467B62" w:rsidP="002F06AE">
      <w:pPr>
        <w:ind w:firstLineChars="0" w:firstLine="0"/>
        <w:jc w:val="center"/>
        <w:rPr>
          <w:rFonts w:ascii="黑体" w:eastAsia="黑体" w:hAnsi="黑体"/>
          <w:sz w:val="44"/>
          <w:szCs w:val="44"/>
        </w:rPr>
      </w:pPr>
      <w:r w:rsidRPr="00467B62">
        <w:rPr>
          <w:rFonts w:ascii="黑体" w:eastAsia="黑体" w:hAnsi="黑体" w:hint="eastAsia"/>
          <w:sz w:val="44"/>
          <w:szCs w:val="44"/>
        </w:rPr>
        <w:t>（公示稿）</w:t>
      </w:r>
    </w:p>
    <w:p w14:paraId="494091A4" w14:textId="2F7F0227" w:rsidR="00D94E14" w:rsidRPr="00467B62" w:rsidRDefault="00467B62" w:rsidP="00467B62">
      <w:pPr>
        <w:pStyle w:val="1"/>
      </w:pPr>
      <w:bookmarkStart w:id="0" w:name="_Toc103695081"/>
      <w:bookmarkStart w:id="1" w:name="_Toc157585711"/>
      <w:r w:rsidRPr="00467B62">
        <w:rPr>
          <w:rFonts w:hint="eastAsia"/>
        </w:rPr>
        <w:t>一、</w:t>
      </w:r>
      <w:r>
        <w:rPr>
          <w:rFonts w:hint="eastAsia"/>
        </w:rPr>
        <w:t>规划</w:t>
      </w:r>
      <w:r w:rsidR="00D94E14" w:rsidRPr="00467B62">
        <w:t>总则</w:t>
      </w:r>
      <w:bookmarkEnd w:id="0"/>
      <w:bookmarkEnd w:id="1"/>
    </w:p>
    <w:p w14:paraId="0F9EC140" w14:textId="03C811B9" w:rsidR="000E6EDB" w:rsidRDefault="00467B62" w:rsidP="00467B62">
      <w:pPr>
        <w:pStyle w:val="2"/>
      </w:pPr>
      <w:r>
        <w:rPr>
          <w:rFonts w:hint="eastAsia"/>
        </w:rPr>
        <w:t>（一）</w:t>
      </w:r>
      <w:r w:rsidR="000E6EDB">
        <w:rPr>
          <w:rFonts w:hint="eastAsia"/>
        </w:rPr>
        <w:t>规划背景</w:t>
      </w:r>
    </w:p>
    <w:p w14:paraId="4D2023A2" w14:textId="0990B5E5" w:rsidR="00D94E14" w:rsidRPr="00826A2C" w:rsidRDefault="00D94E14" w:rsidP="0023379B">
      <w:r w:rsidRPr="00826A2C">
        <w:t>为</w:t>
      </w:r>
      <w:r w:rsidR="0024036B" w:rsidRPr="00826A2C">
        <w:rPr>
          <w:rFonts w:hint="eastAsia"/>
        </w:rPr>
        <w:t>推进</w:t>
      </w:r>
      <w:r w:rsidRPr="00826A2C">
        <w:t>生态</w:t>
      </w:r>
      <w:r w:rsidR="0024036B" w:rsidRPr="00826A2C">
        <w:rPr>
          <w:rFonts w:hint="eastAsia"/>
        </w:rPr>
        <w:t>文明</w:t>
      </w:r>
      <w:r w:rsidRPr="00826A2C">
        <w:t>建设，</w:t>
      </w:r>
      <w:r w:rsidR="0024036B" w:rsidRPr="00826A2C">
        <w:rPr>
          <w:rFonts w:hint="eastAsia"/>
        </w:rPr>
        <w:t>创造良好的城乡人居环境</w:t>
      </w:r>
      <w:r w:rsidRPr="00826A2C">
        <w:t>，</w:t>
      </w:r>
      <w:r w:rsidR="00AA5EFC" w:rsidRPr="00826A2C">
        <w:rPr>
          <w:rFonts w:hint="eastAsia"/>
        </w:rPr>
        <w:t>确保</w:t>
      </w:r>
      <w:r w:rsidR="0024036B" w:rsidRPr="00826A2C">
        <w:rPr>
          <w:rFonts w:hint="eastAsia"/>
        </w:rPr>
        <w:t>城市绿地规划建设水平</w:t>
      </w:r>
      <w:r w:rsidR="00AA5EFC" w:rsidRPr="00826A2C">
        <w:rPr>
          <w:rFonts w:hint="eastAsia"/>
        </w:rPr>
        <w:t>稳步有序发展</w:t>
      </w:r>
      <w:r w:rsidRPr="00826A2C">
        <w:t>，促进</w:t>
      </w:r>
      <w:r w:rsidR="0024036B" w:rsidRPr="00826A2C">
        <w:rPr>
          <w:rFonts w:hint="eastAsia"/>
        </w:rPr>
        <w:t>城市美丽、宜居、</w:t>
      </w:r>
      <w:r w:rsidRPr="00826A2C">
        <w:t>可持续发展</w:t>
      </w:r>
      <w:r w:rsidR="00AA5EFC" w:rsidRPr="00826A2C">
        <w:rPr>
          <w:rFonts w:hint="eastAsia"/>
        </w:rPr>
        <w:t>，</w:t>
      </w:r>
      <w:r w:rsidR="002F06AE" w:rsidRPr="00826A2C">
        <w:rPr>
          <w:rFonts w:hint="eastAsia"/>
        </w:rPr>
        <w:t>依据</w:t>
      </w:r>
      <w:r w:rsidRPr="00826A2C">
        <w:t>《中华人民共和国城乡规划法》《</w:t>
      </w:r>
      <w:bookmarkStart w:id="2" w:name="OLE_LINK1"/>
      <w:bookmarkStart w:id="3" w:name="OLE_LINK2"/>
      <w:r w:rsidRPr="00826A2C">
        <w:t>城市绿线管理办法</w:t>
      </w:r>
      <w:bookmarkEnd w:id="2"/>
      <w:bookmarkEnd w:id="3"/>
      <w:r w:rsidRPr="00826A2C">
        <w:t>》(建设部第112号文)</w:t>
      </w:r>
      <w:r w:rsidR="002F06AE" w:rsidRPr="00826A2C">
        <w:rPr>
          <w:rFonts w:hint="eastAsia"/>
        </w:rPr>
        <w:t>《城市绿线划定技术规范（G</w:t>
      </w:r>
      <w:r w:rsidR="002F06AE" w:rsidRPr="00826A2C">
        <w:t>BT51163-2016</w:t>
      </w:r>
      <w:r w:rsidR="002F06AE" w:rsidRPr="00826A2C">
        <w:rPr>
          <w:rFonts w:hint="eastAsia"/>
        </w:rPr>
        <w:t>）》</w:t>
      </w:r>
      <w:r w:rsidRPr="00826A2C">
        <w:t>等，</w:t>
      </w:r>
      <w:r w:rsidR="002F06AE" w:rsidRPr="00826A2C">
        <w:rPr>
          <w:rFonts w:hint="eastAsia"/>
        </w:rPr>
        <w:t>编制《宁波市城市绿线规划》</w:t>
      </w:r>
      <w:r w:rsidRPr="00826A2C">
        <w:t>。</w:t>
      </w:r>
    </w:p>
    <w:p w14:paraId="1EEE8DC2" w14:textId="7FB5CED9" w:rsidR="002D6844" w:rsidRPr="00826A2C" w:rsidRDefault="00467B62" w:rsidP="00467B62">
      <w:pPr>
        <w:pStyle w:val="2"/>
      </w:pPr>
      <w:bookmarkStart w:id="4" w:name="_Toc103695082"/>
      <w:bookmarkStart w:id="5" w:name="_Toc157585712"/>
      <w:r>
        <w:rPr>
          <w:rFonts w:hint="eastAsia"/>
        </w:rPr>
        <w:t>（二）</w:t>
      </w:r>
      <w:r w:rsidR="00FC08EE" w:rsidRPr="00826A2C">
        <w:rPr>
          <w:rFonts w:hint="eastAsia"/>
        </w:rPr>
        <w:t>规划</w:t>
      </w:r>
      <w:r w:rsidR="002D6844" w:rsidRPr="00826A2C">
        <w:rPr>
          <w:rFonts w:hint="eastAsia"/>
        </w:rPr>
        <w:t>范围</w:t>
      </w:r>
      <w:bookmarkEnd w:id="4"/>
      <w:bookmarkEnd w:id="5"/>
    </w:p>
    <w:p w14:paraId="5F242C94" w14:textId="48928B8C" w:rsidR="002D6844" w:rsidRPr="00826A2C" w:rsidRDefault="002D6844" w:rsidP="0023379B">
      <w:r w:rsidRPr="00826A2C">
        <w:rPr>
          <w:rFonts w:hint="eastAsia"/>
        </w:rPr>
        <w:t>本次</w:t>
      </w:r>
      <w:r w:rsidR="00FC08EE" w:rsidRPr="00826A2C">
        <w:rPr>
          <w:rFonts w:hint="eastAsia"/>
        </w:rPr>
        <w:t>规划范围</w:t>
      </w:r>
      <w:r w:rsidRPr="00826A2C">
        <w:rPr>
          <w:rFonts w:hint="eastAsia"/>
        </w:rPr>
        <w:t>为宁波市辖区</w:t>
      </w:r>
      <w:r w:rsidR="0073569C" w:rsidRPr="00826A2C">
        <w:rPr>
          <w:rFonts w:hint="eastAsia"/>
        </w:rPr>
        <w:t>，包括</w:t>
      </w:r>
      <w:r w:rsidRPr="00826A2C">
        <w:rPr>
          <w:rFonts w:hint="eastAsia"/>
        </w:rPr>
        <w:t>海曙区、江北区、镇海区、北仑区、鄞州区、奉化区，</w:t>
      </w:r>
      <w:r w:rsidR="00FC08EE" w:rsidRPr="00826A2C">
        <w:rPr>
          <w:rFonts w:hint="eastAsia"/>
        </w:rPr>
        <w:t>面积</w:t>
      </w:r>
      <w:r w:rsidRPr="00826A2C">
        <w:rPr>
          <w:rFonts w:hint="eastAsia"/>
        </w:rPr>
        <w:t>约</w:t>
      </w:r>
      <w:r w:rsidRPr="00826A2C">
        <w:t>3</w:t>
      </w:r>
      <w:r w:rsidR="0060746D" w:rsidRPr="00826A2C">
        <w:t>730</w:t>
      </w:r>
      <w:r w:rsidRPr="00826A2C">
        <w:rPr>
          <w:rFonts w:hint="eastAsia"/>
        </w:rPr>
        <w:t>平方公里。</w:t>
      </w:r>
    </w:p>
    <w:p w14:paraId="05026BEE" w14:textId="433F2143" w:rsidR="002D6844" w:rsidRPr="00826A2C" w:rsidRDefault="00467B62" w:rsidP="00467B62">
      <w:pPr>
        <w:pStyle w:val="2"/>
      </w:pPr>
      <w:bookmarkStart w:id="6" w:name="_Toc103695083"/>
      <w:bookmarkStart w:id="7" w:name="_Toc157585713"/>
      <w:r>
        <w:rPr>
          <w:rFonts w:hint="eastAsia"/>
        </w:rPr>
        <w:t>（三）</w:t>
      </w:r>
      <w:r w:rsidR="002D6844" w:rsidRPr="00826A2C">
        <w:rPr>
          <w:rFonts w:hint="eastAsia"/>
        </w:rPr>
        <w:t>规划期限</w:t>
      </w:r>
      <w:bookmarkEnd w:id="6"/>
      <w:bookmarkEnd w:id="7"/>
    </w:p>
    <w:p w14:paraId="08F79476" w14:textId="7FB5ADD4" w:rsidR="002D6844" w:rsidRPr="00826A2C" w:rsidRDefault="009452DA" w:rsidP="0023379B">
      <w:r w:rsidRPr="00826A2C">
        <w:rPr>
          <w:rFonts w:hint="eastAsia"/>
        </w:rPr>
        <w:t>规划</w:t>
      </w:r>
      <w:r w:rsidRPr="00826A2C">
        <w:t>期限</w:t>
      </w:r>
      <w:r w:rsidRPr="00826A2C">
        <w:rPr>
          <w:rFonts w:hint="eastAsia"/>
        </w:rPr>
        <w:t>与《宁波市生态绿地系统专项规划》（2</w:t>
      </w:r>
      <w:r w:rsidRPr="00826A2C">
        <w:t>021</w:t>
      </w:r>
      <w:r w:rsidRPr="00826A2C">
        <w:rPr>
          <w:rFonts w:hint="eastAsia"/>
        </w:rPr>
        <w:t>-</w:t>
      </w:r>
      <w:r w:rsidRPr="00826A2C">
        <w:t>2035</w:t>
      </w:r>
      <w:r w:rsidRPr="00826A2C">
        <w:rPr>
          <w:rFonts w:hint="eastAsia"/>
        </w:rPr>
        <w:t>）</w:t>
      </w:r>
      <w:r w:rsidRPr="00826A2C">
        <w:t>一致</w:t>
      </w:r>
      <w:r w:rsidR="000F1E0B" w:rsidRPr="00826A2C">
        <w:rPr>
          <w:rFonts w:hint="eastAsia"/>
        </w:rPr>
        <w:t>，至2</w:t>
      </w:r>
      <w:r w:rsidR="000F1E0B" w:rsidRPr="00826A2C">
        <w:t>035</w:t>
      </w:r>
      <w:r w:rsidR="000F1E0B" w:rsidRPr="00826A2C">
        <w:rPr>
          <w:rFonts w:hint="eastAsia"/>
        </w:rPr>
        <w:t>年</w:t>
      </w:r>
      <w:r w:rsidRPr="00826A2C">
        <w:t>。</w:t>
      </w:r>
    </w:p>
    <w:p w14:paraId="4CD6131F" w14:textId="7A1B4133" w:rsidR="00051F7F" w:rsidRPr="00826A2C" w:rsidRDefault="00467B62" w:rsidP="00467B62">
      <w:pPr>
        <w:pStyle w:val="1"/>
      </w:pPr>
      <w:bookmarkStart w:id="8" w:name="_Toc103695086"/>
      <w:bookmarkStart w:id="9" w:name="_Toc157585716"/>
      <w:r>
        <w:rPr>
          <w:rFonts w:hint="eastAsia"/>
        </w:rPr>
        <w:t>二、</w:t>
      </w:r>
      <w:r w:rsidR="00051F7F" w:rsidRPr="00826A2C">
        <w:rPr>
          <w:rFonts w:hint="eastAsia"/>
        </w:rPr>
        <w:t>规划目标及</w:t>
      </w:r>
      <w:bookmarkEnd w:id="8"/>
      <w:r w:rsidR="00051F7F" w:rsidRPr="00826A2C">
        <w:rPr>
          <w:rFonts w:hint="eastAsia"/>
        </w:rPr>
        <w:t>划定思路</w:t>
      </w:r>
      <w:bookmarkEnd w:id="9"/>
    </w:p>
    <w:p w14:paraId="5E5BD02B" w14:textId="1B46416B" w:rsidR="003C7505" w:rsidRPr="00826A2C" w:rsidRDefault="00467B62" w:rsidP="00467B62">
      <w:pPr>
        <w:pStyle w:val="2"/>
      </w:pPr>
      <w:bookmarkStart w:id="10" w:name="_Toc103695087"/>
      <w:bookmarkStart w:id="11" w:name="_Toc157585717"/>
      <w:r>
        <w:rPr>
          <w:rFonts w:hint="eastAsia"/>
        </w:rPr>
        <w:t>（一）</w:t>
      </w:r>
      <w:r w:rsidRPr="00826A2C">
        <w:t>规划目标</w:t>
      </w:r>
      <w:bookmarkEnd w:id="10"/>
      <w:bookmarkEnd w:id="11"/>
    </w:p>
    <w:p w14:paraId="034DF191" w14:textId="7418C06A" w:rsidR="00AA5EFC" w:rsidRPr="00826A2C" w:rsidRDefault="00AA5EFC" w:rsidP="0023379B">
      <w:r w:rsidRPr="00826A2C">
        <w:rPr>
          <w:rFonts w:hint="eastAsia"/>
        </w:rPr>
        <w:t>通过对宁波城市绿线划定，形成系统完整的规划技术成果，强化政府部门对生态环境和城市绿化的保护、建设、控制与监管，强化社会和公众对生态控制线、城市绿线和政府行为的监督和约束，</w:t>
      </w:r>
      <w:r w:rsidR="004C0CF4" w:rsidRPr="00826A2C">
        <w:rPr>
          <w:rFonts w:hint="eastAsia"/>
        </w:rPr>
        <w:t>逐步</w:t>
      </w:r>
      <w:r w:rsidRPr="00826A2C">
        <w:rPr>
          <w:rFonts w:hint="eastAsia"/>
        </w:rPr>
        <w:t>实现</w:t>
      </w:r>
      <w:r w:rsidR="004C0CF4" w:rsidRPr="00826A2C">
        <w:rPr>
          <w:rFonts w:hint="eastAsia"/>
        </w:rPr>
        <w:t>生态绿地系统专项规划确定的发展目标，</w:t>
      </w:r>
      <w:r w:rsidRPr="00826A2C">
        <w:rPr>
          <w:rFonts w:hint="eastAsia"/>
        </w:rPr>
        <w:t>促进城市可持续</w:t>
      </w:r>
      <w:r w:rsidRPr="00826A2C">
        <w:rPr>
          <w:rFonts w:hint="eastAsia"/>
        </w:rPr>
        <w:lastRenderedPageBreak/>
        <w:t>发展</w:t>
      </w:r>
      <w:r w:rsidR="00826A2C" w:rsidRPr="00826A2C">
        <w:rPr>
          <w:rFonts w:hint="eastAsia"/>
        </w:rPr>
        <w:t>，</w:t>
      </w:r>
      <w:r w:rsidR="00D337C7" w:rsidRPr="00826A2C">
        <w:rPr>
          <w:rFonts w:hint="eastAsia"/>
        </w:rPr>
        <w:t>争创国家生态园林城市</w:t>
      </w:r>
      <w:r w:rsidRPr="00826A2C">
        <w:rPr>
          <w:rFonts w:hint="eastAsia"/>
        </w:rPr>
        <w:t>。</w:t>
      </w:r>
    </w:p>
    <w:p w14:paraId="60390963" w14:textId="74E9A01A" w:rsidR="003C7505" w:rsidRPr="00826A2C" w:rsidRDefault="00467B62" w:rsidP="00467B62">
      <w:pPr>
        <w:pStyle w:val="2"/>
      </w:pPr>
      <w:bookmarkStart w:id="12" w:name="_Toc103695088"/>
      <w:bookmarkStart w:id="13" w:name="_Toc157585718"/>
      <w:r>
        <w:rPr>
          <w:rFonts w:hint="eastAsia"/>
        </w:rPr>
        <w:t>（二）</w:t>
      </w:r>
      <w:r w:rsidR="003C7505" w:rsidRPr="00826A2C">
        <w:rPr>
          <w:rFonts w:hint="eastAsia"/>
        </w:rPr>
        <w:t>划定原则</w:t>
      </w:r>
      <w:bookmarkEnd w:id="12"/>
      <w:bookmarkEnd w:id="13"/>
    </w:p>
    <w:p w14:paraId="227ADAD3" w14:textId="61A23B85" w:rsidR="00B34A8E" w:rsidRPr="00826A2C" w:rsidRDefault="00A13712" w:rsidP="00467B62">
      <w:r>
        <w:rPr>
          <w:rFonts w:hint="eastAsia"/>
        </w:rPr>
        <w:t>1、</w:t>
      </w:r>
      <w:r w:rsidR="00B34A8E" w:rsidRPr="00826A2C">
        <w:rPr>
          <w:rFonts w:hint="eastAsia"/>
        </w:rPr>
        <w:t>生态优先、系统完整</w:t>
      </w:r>
    </w:p>
    <w:p w14:paraId="7C2E7B98" w14:textId="608E3959" w:rsidR="00B34A8E" w:rsidRPr="00826A2C" w:rsidRDefault="00A13712" w:rsidP="00467B62">
      <w:r>
        <w:rPr>
          <w:rFonts w:hint="eastAsia"/>
        </w:rPr>
        <w:t>2、</w:t>
      </w:r>
      <w:r w:rsidR="00B34A8E" w:rsidRPr="00826A2C">
        <w:rPr>
          <w:rFonts w:hint="eastAsia"/>
        </w:rPr>
        <w:t>科学合理、多规合一</w:t>
      </w:r>
    </w:p>
    <w:p w14:paraId="7F5EC373" w14:textId="222D41B2" w:rsidR="00B34A8E" w:rsidRPr="00826A2C" w:rsidRDefault="00A13712" w:rsidP="00467B62">
      <w:r>
        <w:rPr>
          <w:rFonts w:hint="eastAsia"/>
        </w:rPr>
        <w:t>3、</w:t>
      </w:r>
      <w:r w:rsidR="00B34A8E" w:rsidRPr="00826A2C">
        <w:rPr>
          <w:rFonts w:hint="eastAsia"/>
        </w:rPr>
        <w:t>分类控制、分级调整</w:t>
      </w:r>
    </w:p>
    <w:p w14:paraId="65904177" w14:textId="78346B6C" w:rsidR="00B34A8E" w:rsidRPr="00826A2C" w:rsidRDefault="00A13712" w:rsidP="00467B62">
      <w:r>
        <w:rPr>
          <w:rFonts w:hint="eastAsia"/>
        </w:rPr>
        <w:t>4、</w:t>
      </w:r>
      <w:r w:rsidR="00B34A8E" w:rsidRPr="00826A2C">
        <w:rPr>
          <w:rFonts w:hint="eastAsia"/>
        </w:rPr>
        <w:t>严格管理、动态维护</w:t>
      </w:r>
    </w:p>
    <w:p w14:paraId="41F04EE2" w14:textId="7F491BE7" w:rsidR="00B34A8E" w:rsidRPr="00826A2C" w:rsidRDefault="00A13712" w:rsidP="00467B62">
      <w:r>
        <w:rPr>
          <w:rFonts w:hint="eastAsia"/>
        </w:rPr>
        <w:t>5、</w:t>
      </w:r>
      <w:r w:rsidR="00B34A8E" w:rsidRPr="00826A2C">
        <w:t>尊重</w:t>
      </w:r>
      <w:r w:rsidR="00B34A8E" w:rsidRPr="00826A2C">
        <w:rPr>
          <w:rFonts w:hint="eastAsia"/>
        </w:rPr>
        <w:t>现实、保障实施</w:t>
      </w:r>
    </w:p>
    <w:p w14:paraId="2DF2A0A8" w14:textId="3A6354A7" w:rsidR="008B3E78" w:rsidRPr="00826A2C" w:rsidRDefault="00467B62" w:rsidP="00467B62">
      <w:pPr>
        <w:pStyle w:val="2"/>
      </w:pPr>
      <w:bookmarkStart w:id="14" w:name="_Toc103695084"/>
      <w:bookmarkStart w:id="15" w:name="_Toc157585719"/>
      <w:r>
        <w:rPr>
          <w:rFonts w:hint="eastAsia"/>
        </w:rPr>
        <w:t>（三）</w:t>
      </w:r>
      <w:r w:rsidRPr="00826A2C">
        <w:rPr>
          <w:rFonts w:hint="eastAsia"/>
        </w:rPr>
        <w:t>划定对象</w:t>
      </w:r>
      <w:bookmarkEnd w:id="14"/>
      <w:bookmarkEnd w:id="15"/>
    </w:p>
    <w:p w14:paraId="452541CD" w14:textId="5C73858C" w:rsidR="00A80B47" w:rsidRPr="00826A2C" w:rsidRDefault="00A13712" w:rsidP="00A80B47">
      <w:pPr>
        <w:pStyle w:val="3"/>
      </w:pPr>
      <w:r>
        <w:rPr>
          <w:rFonts w:hint="eastAsia"/>
        </w:rPr>
        <w:t>1、</w:t>
      </w:r>
      <w:r w:rsidR="00A80B47" w:rsidRPr="00826A2C">
        <w:rPr>
          <w:rFonts w:hint="eastAsia"/>
        </w:rPr>
        <w:t>划定对象</w:t>
      </w:r>
    </w:p>
    <w:p w14:paraId="5340996B" w14:textId="2E69A9D1" w:rsidR="005A47F3" w:rsidRPr="00826A2C" w:rsidRDefault="008B3E78" w:rsidP="00ED0F38">
      <w:r w:rsidRPr="00826A2C">
        <w:rPr>
          <w:rFonts w:hint="eastAsia"/>
        </w:rPr>
        <w:t>宁波市城市绿线规划为总体规划阶段的绿线规划，</w:t>
      </w:r>
      <w:r w:rsidR="005A47F3" w:rsidRPr="00826A2C">
        <w:rPr>
          <w:rFonts w:hint="eastAsia"/>
        </w:rPr>
        <w:t>包括现状绿线、规划绿线以及</w:t>
      </w:r>
      <w:r w:rsidR="00676443" w:rsidRPr="00826A2C">
        <w:rPr>
          <w:rFonts w:hint="eastAsia"/>
        </w:rPr>
        <w:t>生态控制线。</w:t>
      </w:r>
    </w:p>
    <w:p w14:paraId="7C539DDE" w14:textId="38804C32" w:rsidR="005171A5" w:rsidRPr="00826A2C" w:rsidRDefault="008B3E78" w:rsidP="005171A5">
      <w:r w:rsidRPr="00826A2C">
        <w:rPr>
          <w:rFonts w:hint="eastAsia"/>
        </w:rPr>
        <w:t>现状绿线为现状建成区范围内已建成</w:t>
      </w:r>
      <w:r w:rsidR="00826A2C" w:rsidRPr="00826A2C">
        <w:rPr>
          <w:rFonts w:hint="eastAsia"/>
        </w:rPr>
        <w:t>、</w:t>
      </w:r>
      <w:r w:rsidRPr="00826A2C">
        <w:rPr>
          <w:rFonts w:hint="eastAsia"/>
        </w:rPr>
        <w:t>并纳入法定规划的各类绿地边界线。通过现状绿线的划定与控制，有效管理城市现状绿地，保护现有绿化成果。</w:t>
      </w:r>
    </w:p>
    <w:p w14:paraId="43C80906" w14:textId="77DA88EF" w:rsidR="005171A5" w:rsidRPr="00826A2C" w:rsidRDefault="008B3E78" w:rsidP="005171A5">
      <w:pPr>
        <w:rPr>
          <w:rFonts w:ascii="宋体" w:hAnsi="宋体"/>
        </w:rPr>
      </w:pPr>
      <w:r w:rsidRPr="00826A2C">
        <w:rPr>
          <w:rFonts w:ascii="宋体" w:hAnsi="宋体" w:hint="eastAsia"/>
        </w:rPr>
        <w:t>规划绿线</w:t>
      </w:r>
      <w:r w:rsidR="00826A2C" w:rsidRPr="00826A2C">
        <w:rPr>
          <w:rFonts w:ascii="宋体" w:hAnsi="宋体" w:hint="eastAsia"/>
        </w:rPr>
        <w:t>划定范围</w:t>
      </w:r>
      <w:r w:rsidRPr="00826A2C">
        <w:rPr>
          <w:rFonts w:ascii="宋体" w:hAnsi="宋体" w:hint="eastAsia"/>
        </w:rPr>
        <w:t>为中心城区</w:t>
      </w:r>
      <w:r w:rsidR="00826A2C" w:rsidRPr="00826A2C">
        <w:rPr>
          <w:rFonts w:ascii="宋体" w:hAnsi="宋体" w:hint="eastAsia"/>
        </w:rPr>
        <w:t>。规划绿线</w:t>
      </w:r>
      <w:r w:rsidR="00826A2C" w:rsidRPr="00826A2C">
        <w:rPr>
          <w:rFonts w:hint="eastAsia"/>
        </w:rPr>
        <w:t>依据《城市绿线划定技术规范》</w:t>
      </w:r>
      <w:r w:rsidR="00826A2C" w:rsidRPr="00826A2C">
        <w:rPr>
          <w:rFonts w:ascii="宋体" w:hAnsi="宋体" w:hint="eastAsia"/>
        </w:rPr>
        <w:t>，</w:t>
      </w:r>
      <w:r w:rsidR="00C23A24" w:rsidRPr="00826A2C">
        <w:rPr>
          <w:rFonts w:ascii="宋体" w:hAnsi="宋体" w:hint="eastAsia"/>
        </w:rPr>
        <w:t>衔接</w:t>
      </w:r>
      <w:r w:rsidRPr="00826A2C">
        <w:rPr>
          <w:rFonts w:ascii="宋体" w:hAnsi="宋体" w:hint="eastAsia"/>
        </w:rPr>
        <w:t>《宁波市国土空间总体规划（</w:t>
      </w:r>
      <w:r w:rsidRPr="00826A2C">
        <w:rPr>
          <w:rFonts w:ascii="宋体" w:hAnsi="宋体" w:hint="eastAsia"/>
        </w:rPr>
        <w:t>2</w:t>
      </w:r>
      <w:r w:rsidRPr="00826A2C">
        <w:rPr>
          <w:rFonts w:ascii="宋体" w:hAnsi="宋体"/>
        </w:rPr>
        <w:t>020</w:t>
      </w:r>
      <w:r w:rsidRPr="00826A2C">
        <w:rPr>
          <w:rFonts w:ascii="宋体" w:hAnsi="宋体" w:hint="eastAsia"/>
        </w:rPr>
        <w:t>-</w:t>
      </w:r>
      <w:r w:rsidRPr="00826A2C">
        <w:rPr>
          <w:rFonts w:ascii="宋体" w:hAnsi="宋体"/>
        </w:rPr>
        <w:t>2035</w:t>
      </w:r>
      <w:r w:rsidRPr="00826A2C">
        <w:rPr>
          <w:rFonts w:ascii="宋体" w:hAnsi="宋体" w:hint="eastAsia"/>
        </w:rPr>
        <w:t>年）》《宁波市生态绿地系统专项规划（</w:t>
      </w:r>
      <w:r w:rsidRPr="00826A2C">
        <w:rPr>
          <w:rFonts w:ascii="宋体" w:hAnsi="宋体" w:hint="eastAsia"/>
        </w:rPr>
        <w:t>2</w:t>
      </w:r>
      <w:r w:rsidRPr="00826A2C">
        <w:rPr>
          <w:rFonts w:ascii="宋体" w:hAnsi="宋体"/>
        </w:rPr>
        <w:t>020</w:t>
      </w:r>
      <w:r w:rsidRPr="00826A2C">
        <w:rPr>
          <w:rFonts w:ascii="宋体" w:hAnsi="宋体" w:hint="eastAsia"/>
        </w:rPr>
        <w:t>-</w:t>
      </w:r>
      <w:r w:rsidRPr="00826A2C">
        <w:rPr>
          <w:rFonts w:ascii="宋体" w:hAnsi="宋体"/>
        </w:rPr>
        <w:t>2035</w:t>
      </w:r>
      <w:r w:rsidRPr="00826A2C">
        <w:rPr>
          <w:rFonts w:ascii="宋体" w:hAnsi="宋体" w:hint="eastAsia"/>
        </w:rPr>
        <w:t>）》、已编制的详细规划</w:t>
      </w:r>
      <w:r w:rsidR="00826A2C" w:rsidRPr="00826A2C">
        <w:rPr>
          <w:rFonts w:ascii="宋体" w:hAnsi="宋体" w:hint="eastAsia"/>
        </w:rPr>
        <w:t>统筹划定</w:t>
      </w:r>
      <w:r w:rsidRPr="00826A2C">
        <w:rPr>
          <w:rFonts w:ascii="宋体" w:hAnsi="宋体" w:hint="eastAsia"/>
        </w:rPr>
        <w:t>。通过规划绿线的划定与控制，指导城市绿地系统建设，保障城市可持续发展，为创建“国家生态园林城市”提供有力支撑。</w:t>
      </w:r>
    </w:p>
    <w:p w14:paraId="143BFDB9" w14:textId="15C440D2" w:rsidR="00ED0F38" w:rsidRPr="00826A2C" w:rsidRDefault="00CD18D7" w:rsidP="008B3E78">
      <w:r w:rsidRPr="00826A2C">
        <w:rPr>
          <w:rFonts w:hint="eastAsia"/>
        </w:rPr>
        <w:t>生态控制线划定范围为市区陆域范围。</w:t>
      </w:r>
      <w:r w:rsidR="00C23A24" w:rsidRPr="00826A2C">
        <w:rPr>
          <w:rFonts w:hint="eastAsia"/>
        </w:rPr>
        <w:t>依据《城市绿线划定技术规范（</w:t>
      </w:r>
      <w:r w:rsidR="00C23A24" w:rsidRPr="00826A2C">
        <w:t>GBT51163-2016）》</w:t>
      </w:r>
      <w:r w:rsidR="00826A2C" w:rsidRPr="00826A2C">
        <w:rPr>
          <w:rFonts w:hint="eastAsia"/>
        </w:rPr>
        <w:t>，重点在城镇开发边界外</w:t>
      </w:r>
      <w:r w:rsidR="00C23A24" w:rsidRPr="00826A2C">
        <w:t>划定，为国土空间总体规划陆域生态控制区的划定提供参考。其中生态保护红线落实国土空间总体规划三区三线划定成果。</w:t>
      </w:r>
      <w:r w:rsidR="00C23A24" w:rsidRPr="00826A2C">
        <w:rPr>
          <w:rFonts w:hint="eastAsia"/>
        </w:rPr>
        <w:t>生态控制线涉及生态保</w:t>
      </w:r>
      <w:r w:rsidR="00C23A24" w:rsidRPr="00826A2C">
        <w:rPr>
          <w:rFonts w:hint="eastAsia"/>
        </w:rPr>
        <w:lastRenderedPageBreak/>
        <w:t>育、风景游憩、防护隔离、生态生产等生态要素，生态要素发生变化的，生态控制线相应调整。</w:t>
      </w:r>
      <w:r w:rsidR="008B3E78" w:rsidRPr="00826A2C">
        <w:t>通过生态控制线的划定，守住城市发展底线，进一步锚固组团型城市格局</w:t>
      </w:r>
      <w:r w:rsidR="008B3E78" w:rsidRPr="00826A2C">
        <w:rPr>
          <w:rFonts w:hint="eastAsia"/>
        </w:rPr>
        <w:t>。</w:t>
      </w:r>
    </w:p>
    <w:p w14:paraId="7BD174F1" w14:textId="6F4C737F" w:rsidR="00A80B47" w:rsidRPr="00826A2C" w:rsidRDefault="00A13712" w:rsidP="00A80B47">
      <w:pPr>
        <w:pStyle w:val="3"/>
      </w:pPr>
      <w:r>
        <w:rPr>
          <w:rFonts w:hint="eastAsia"/>
        </w:rPr>
        <w:t>2、</w:t>
      </w:r>
      <w:r w:rsidR="00A80B47" w:rsidRPr="00826A2C">
        <w:rPr>
          <w:rFonts w:hint="eastAsia"/>
        </w:rPr>
        <w:t>绿地分类</w:t>
      </w:r>
    </w:p>
    <w:p w14:paraId="28E3A36A" w14:textId="4BA21EED" w:rsidR="00A80B47" w:rsidRPr="00826A2C" w:rsidRDefault="00F824C8" w:rsidP="00A80B47">
      <w:r>
        <w:rPr>
          <w:rFonts w:hint="eastAsia"/>
        </w:rPr>
        <w:t>绿地分类执行</w:t>
      </w:r>
      <w:r w:rsidR="00A80B47" w:rsidRPr="00826A2C">
        <w:rPr>
          <w:rFonts w:hint="eastAsia"/>
        </w:rPr>
        <w:t>《</w:t>
      </w:r>
      <w:r w:rsidR="00A80B47" w:rsidRPr="00826A2C">
        <w:rPr>
          <w:rFonts w:ascii="宋体" w:hAnsi="宋体" w:hint="eastAsia"/>
        </w:rPr>
        <w:t>城市绿地分类标准（</w:t>
      </w:r>
      <w:r w:rsidR="00A80B47" w:rsidRPr="00826A2C">
        <w:rPr>
          <w:rFonts w:ascii="宋体" w:hAnsi="宋体" w:hint="eastAsia"/>
        </w:rPr>
        <w:t>CJJT85-2017</w:t>
      </w:r>
      <w:r w:rsidR="00A80B47" w:rsidRPr="00826A2C">
        <w:rPr>
          <w:rFonts w:ascii="宋体" w:hAnsi="宋体" w:hint="eastAsia"/>
        </w:rPr>
        <w:t>）</w:t>
      </w:r>
      <w:r w:rsidR="00A80B47" w:rsidRPr="00826A2C">
        <w:rPr>
          <w:rFonts w:hint="eastAsia"/>
        </w:rPr>
        <w:t>》。</w:t>
      </w:r>
    </w:p>
    <w:tbl>
      <w:tblPr>
        <w:tblW w:w="5000" w:type="pct"/>
        <w:jc w:val="center"/>
        <w:tblCellMar>
          <w:left w:w="0" w:type="dxa"/>
          <w:right w:w="0" w:type="dxa"/>
        </w:tblCellMar>
        <w:tblLook w:val="04A0" w:firstRow="1" w:lastRow="0" w:firstColumn="1" w:lastColumn="0" w:noHBand="0" w:noVBand="1"/>
      </w:tblPr>
      <w:tblGrid>
        <w:gridCol w:w="830"/>
        <w:gridCol w:w="1269"/>
        <w:gridCol w:w="2143"/>
        <w:gridCol w:w="4044"/>
      </w:tblGrid>
      <w:tr w:rsidR="00826A2C" w:rsidRPr="00826A2C" w14:paraId="67CA71B3" w14:textId="77777777" w:rsidTr="00F62D2D">
        <w:trPr>
          <w:trHeight w:val="20"/>
          <w:jc w:val="center"/>
        </w:trPr>
        <w:tc>
          <w:tcPr>
            <w:tcW w:w="1267" w:type="pct"/>
            <w:gridSpan w:val="2"/>
            <w:tcBorders>
              <w:top w:val="single" w:sz="8" w:space="0" w:color="5B9BD5"/>
              <w:left w:val="single" w:sz="8" w:space="0" w:color="5B9BD5"/>
              <w:bottom w:val="single" w:sz="18" w:space="0" w:color="5B9BD5"/>
              <w:right w:val="single" w:sz="8" w:space="0" w:color="5B9BD5"/>
            </w:tcBorders>
            <w:shd w:val="clear" w:color="auto" w:fill="auto"/>
            <w:tcMar>
              <w:top w:w="15" w:type="dxa"/>
              <w:left w:w="82" w:type="dxa"/>
              <w:bottom w:w="0" w:type="dxa"/>
              <w:right w:w="82" w:type="dxa"/>
            </w:tcMar>
            <w:vAlign w:val="center"/>
            <w:hideMark/>
          </w:tcPr>
          <w:p w14:paraId="4000F260" w14:textId="77777777" w:rsidR="00A80B47" w:rsidRPr="00826A2C" w:rsidRDefault="00A80B47" w:rsidP="00F62D2D">
            <w:pPr>
              <w:pStyle w:val="af4"/>
              <w:spacing w:after="0" w:line="240" w:lineRule="auto"/>
              <w:ind w:leftChars="0" w:left="0"/>
              <w:jc w:val="center"/>
              <w:rPr>
                <w:rFonts w:ascii="仿宋" w:eastAsia="仿宋" w:hAnsi="仿宋"/>
              </w:rPr>
            </w:pPr>
            <w:r w:rsidRPr="00826A2C">
              <w:rPr>
                <w:rFonts w:ascii="仿宋" w:eastAsia="仿宋" w:hAnsi="仿宋" w:hint="eastAsia"/>
                <w:b/>
                <w:bCs/>
              </w:rPr>
              <w:t>类别代码</w:t>
            </w:r>
          </w:p>
        </w:tc>
        <w:tc>
          <w:tcPr>
            <w:tcW w:w="1293" w:type="pct"/>
            <w:tcBorders>
              <w:top w:val="single" w:sz="8" w:space="0" w:color="5B9BD5"/>
              <w:left w:val="single" w:sz="8" w:space="0" w:color="5B9BD5"/>
              <w:bottom w:val="single" w:sz="18" w:space="0" w:color="5B9BD5"/>
              <w:right w:val="single" w:sz="8" w:space="0" w:color="5B9BD5"/>
            </w:tcBorders>
            <w:shd w:val="clear" w:color="auto" w:fill="auto"/>
            <w:tcMar>
              <w:top w:w="15" w:type="dxa"/>
              <w:left w:w="82" w:type="dxa"/>
              <w:bottom w:w="0" w:type="dxa"/>
              <w:right w:w="82" w:type="dxa"/>
            </w:tcMar>
            <w:vAlign w:val="center"/>
            <w:hideMark/>
          </w:tcPr>
          <w:p w14:paraId="7F5F10AE" w14:textId="77777777" w:rsidR="00A80B47" w:rsidRPr="00826A2C" w:rsidRDefault="00A80B47" w:rsidP="00F62D2D">
            <w:pPr>
              <w:pStyle w:val="af4"/>
              <w:spacing w:after="0" w:line="240" w:lineRule="auto"/>
              <w:ind w:leftChars="0" w:left="0"/>
              <w:jc w:val="center"/>
              <w:rPr>
                <w:rFonts w:ascii="仿宋" w:eastAsia="仿宋" w:hAnsi="仿宋"/>
              </w:rPr>
            </w:pPr>
            <w:r w:rsidRPr="00826A2C">
              <w:rPr>
                <w:rFonts w:ascii="仿宋" w:eastAsia="仿宋" w:hAnsi="仿宋" w:hint="eastAsia"/>
                <w:b/>
                <w:bCs/>
              </w:rPr>
              <w:t>类别名称</w:t>
            </w:r>
          </w:p>
        </w:tc>
        <w:tc>
          <w:tcPr>
            <w:tcW w:w="2440" w:type="pct"/>
            <w:tcBorders>
              <w:top w:val="single" w:sz="8" w:space="0" w:color="5B9BD5"/>
              <w:left w:val="single" w:sz="8" w:space="0" w:color="5B9BD5"/>
              <w:bottom w:val="single" w:sz="18" w:space="0" w:color="5B9BD5"/>
              <w:right w:val="single" w:sz="8" w:space="0" w:color="5B9BD5"/>
            </w:tcBorders>
            <w:shd w:val="clear" w:color="auto" w:fill="auto"/>
            <w:tcMar>
              <w:top w:w="15" w:type="dxa"/>
              <w:left w:w="82" w:type="dxa"/>
              <w:bottom w:w="0" w:type="dxa"/>
              <w:right w:w="82" w:type="dxa"/>
            </w:tcMar>
            <w:vAlign w:val="center"/>
            <w:hideMark/>
          </w:tcPr>
          <w:p w14:paraId="7D0FF22C" w14:textId="77777777" w:rsidR="00A80B47" w:rsidRPr="00826A2C" w:rsidRDefault="00A80B47" w:rsidP="00F62D2D">
            <w:pPr>
              <w:pStyle w:val="af4"/>
              <w:spacing w:after="0" w:line="240" w:lineRule="auto"/>
              <w:ind w:leftChars="0" w:left="0"/>
              <w:jc w:val="center"/>
              <w:rPr>
                <w:rFonts w:ascii="仿宋" w:eastAsia="仿宋" w:hAnsi="仿宋"/>
              </w:rPr>
            </w:pPr>
            <w:r w:rsidRPr="00826A2C">
              <w:rPr>
                <w:rFonts w:ascii="仿宋" w:eastAsia="仿宋" w:hAnsi="仿宋" w:hint="eastAsia"/>
                <w:b/>
                <w:bCs/>
              </w:rPr>
              <w:t>备注</w:t>
            </w:r>
          </w:p>
        </w:tc>
      </w:tr>
      <w:tr w:rsidR="00826A2C" w:rsidRPr="00826A2C" w14:paraId="061D22EA" w14:textId="77777777" w:rsidTr="00F62D2D">
        <w:trPr>
          <w:trHeight w:val="20"/>
          <w:jc w:val="center"/>
        </w:trPr>
        <w:tc>
          <w:tcPr>
            <w:tcW w:w="1267" w:type="pct"/>
            <w:gridSpan w:val="2"/>
            <w:tcBorders>
              <w:top w:val="single" w:sz="18" w:space="0" w:color="5B9BD5"/>
              <w:left w:val="single" w:sz="8" w:space="0" w:color="5B9BD5"/>
              <w:bottom w:val="single" w:sz="8" w:space="0" w:color="5B9BD5"/>
              <w:right w:val="single" w:sz="8" w:space="0" w:color="5B9BD5"/>
            </w:tcBorders>
            <w:shd w:val="clear" w:color="auto" w:fill="EAEFF7"/>
            <w:tcMar>
              <w:top w:w="15" w:type="dxa"/>
              <w:left w:w="82" w:type="dxa"/>
              <w:bottom w:w="0" w:type="dxa"/>
              <w:right w:w="82" w:type="dxa"/>
            </w:tcMar>
            <w:vAlign w:val="center"/>
            <w:hideMark/>
          </w:tcPr>
          <w:p w14:paraId="5C78D9A2" w14:textId="77777777" w:rsidR="00A80B47" w:rsidRPr="00826A2C" w:rsidRDefault="00A80B47" w:rsidP="00F62D2D">
            <w:pPr>
              <w:pStyle w:val="af4"/>
              <w:spacing w:after="0" w:line="240" w:lineRule="auto"/>
              <w:ind w:leftChars="0" w:left="0"/>
              <w:jc w:val="center"/>
              <w:rPr>
                <w:rFonts w:ascii="仿宋" w:eastAsia="仿宋" w:hAnsi="仿宋"/>
              </w:rPr>
            </w:pPr>
            <w:r w:rsidRPr="00826A2C">
              <w:rPr>
                <w:rFonts w:ascii="仿宋" w:eastAsia="仿宋" w:hAnsi="仿宋"/>
                <w:b/>
                <w:bCs/>
              </w:rPr>
              <w:t>G1</w:t>
            </w:r>
          </w:p>
        </w:tc>
        <w:tc>
          <w:tcPr>
            <w:tcW w:w="1293" w:type="pct"/>
            <w:tcBorders>
              <w:top w:val="single" w:sz="18" w:space="0" w:color="5B9BD5"/>
              <w:left w:val="single" w:sz="8" w:space="0" w:color="5B9BD5"/>
              <w:bottom w:val="single" w:sz="8" w:space="0" w:color="5B9BD5"/>
              <w:right w:val="single" w:sz="8" w:space="0" w:color="5B9BD5"/>
            </w:tcBorders>
            <w:shd w:val="clear" w:color="auto" w:fill="EAEFF7"/>
            <w:tcMar>
              <w:top w:w="15" w:type="dxa"/>
              <w:left w:w="82" w:type="dxa"/>
              <w:bottom w:w="0" w:type="dxa"/>
              <w:right w:w="82" w:type="dxa"/>
            </w:tcMar>
            <w:vAlign w:val="center"/>
            <w:hideMark/>
          </w:tcPr>
          <w:p w14:paraId="2342147D" w14:textId="77777777" w:rsidR="00A80B47" w:rsidRPr="00826A2C" w:rsidRDefault="00A80B47" w:rsidP="00F62D2D">
            <w:pPr>
              <w:pStyle w:val="af4"/>
              <w:spacing w:after="0" w:line="240" w:lineRule="auto"/>
              <w:ind w:leftChars="0" w:left="0"/>
              <w:jc w:val="center"/>
              <w:rPr>
                <w:rFonts w:ascii="仿宋" w:eastAsia="仿宋" w:hAnsi="仿宋"/>
              </w:rPr>
            </w:pPr>
            <w:r w:rsidRPr="00826A2C">
              <w:rPr>
                <w:rFonts w:ascii="仿宋" w:eastAsia="仿宋" w:hAnsi="仿宋" w:hint="eastAsia"/>
              </w:rPr>
              <w:t>公园绿地</w:t>
            </w:r>
          </w:p>
        </w:tc>
        <w:tc>
          <w:tcPr>
            <w:tcW w:w="2440" w:type="pct"/>
            <w:tcBorders>
              <w:top w:val="single" w:sz="18" w:space="0" w:color="5B9BD5"/>
              <w:left w:val="single" w:sz="8" w:space="0" w:color="5B9BD5"/>
              <w:bottom w:val="single" w:sz="8" w:space="0" w:color="5B9BD5"/>
              <w:right w:val="single" w:sz="8" w:space="0" w:color="5B9BD5"/>
            </w:tcBorders>
            <w:shd w:val="clear" w:color="auto" w:fill="EAEFF7"/>
            <w:tcMar>
              <w:top w:w="15" w:type="dxa"/>
              <w:left w:w="82" w:type="dxa"/>
              <w:bottom w:w="0" w:type="dxa"/>
              <w:right w:w="82" w:type="dxa"/>
            </w:tcMar>
            <w:vAlign w:val="center"/>
            <w:hideMark/>
          </w:tcPr>
          <w:p w14:paraId="3918C3D2" w14:textId="77777777" w:rsidR="00A80B47" w:rsidRPr="00826A2C" w:rsidRDefault="00A80B47" w:rsidP="00F62D2D">
            <w:pPr>
              <w:pStyle w:val="af4"/>
              <w:spacing w:after="0" w:line="240" w:lineRule="auto"/>
              <w:ind w:leftChars="0" w:left="0"/>
              <w:jc w:val="center"/>
              <w:rPr>
                <w:rFonts w:ascii="仿宋" w:eastAsia="仿宋" w:hAnsi="仿宋"/>
              </w:rPr>
            </w:pPr>
          </w:p>
        </w:tc>
      </w:tr>
      <w:tr w:rsidR="00826A2C" w:rsidRPr="00826A2C" w14:paraId="4CD59352" w14:textId="77777777" w:rsidTr="00F62D2D">
        <w:trPr>
          <w:trHeight w:val="20"/>
          <w:jc w:val="center"/>
        </w:trPr>
        <w:tc>
          <w:tcPr>
            <w:tcW w:w="501" w:type="pct"/>
            <w:vMerge w:val="restart"/>
            <w:tcBorders>
              <w:top w:val="single" w:sz="8" w:space="0" w:color="5B9BD5"/>
              <w:left w:val="single" w:sz="8" w:space="0" w:color="5B9BD5"/>
              <w:bottom w:val="single" w:sz="8" w:space="0" w:color="5B9BD5"/>
              <w:right w:val="single" w:sz="8" w:space="0" w:color="5B9BD5"/>
            </w:tcBorders>
            <w:shd w:val="clear" w:color="auto" w:fill="auto"/>
            <w:tcMar>
              <w:top w:w="15" w:type="dxa"/>
              <w:left w:w="82" w:type="dxa"/>
              <w:bottom w:w="0" w:type="dxa"/>
              <w:right w:w="82" w:type="dxa"/>
            </w:tcMar>
            <w:vAlign w:val="center"/>
            <w:hideMark/>
          </w:tcPr>
          <w:p w14:paraId="26D11365" w14:textId="77777777" w:rsidR="00A80B47" w:rsidRPr="00826A2C" w:rsidRDefault="00A80B47" w:rsidP="00F62D2D">
            <w:pPr>
              <w:pStyle w:val="af4"/>
              <w:spacing w:after="0" w:line="240" w:lineRule="auto"/>
              <w:ind w:leftChars="0" w:left="0"/>
              <w:jc w:val="center"/>
              <w:rPr>
                <w:rFonts w:ascii="仿宋" w:eastAsia="仿宋" w:hAnsi="仿宋"/>
              </w:rPr>
            </w:pPr>
          </w:p>
        </w:tc>
        <w:tc>
          <w:tcPr>
            <w:tcW w:w="766" w:type="pct"/>
            <w:tcBorders>
              <w:top w:val="single" w:sz="8" w:space="0" w:color="5B9BD5"/>
              <w:left w:val="single" w:sz="8" w:space="0" w:color="5B9BD5"/>
              <w:bottom w:val="single" w:sz="8" w:space="0" w:color="5B9BD5"/>
              <w:right w:val="single" w:sz="8" w:space="0" w:color="5B9BD5"/>
            </w:tcBorders>
            <w:shd w:val="clear" w:color="auto" w:fill="auto"/>
            <w:tcMar>
              <w:top w:w="15" w:type="dxa"/>
              <w:left w:w="82" w:type="dxa"/>
              <w:bottom w:w="0" w:type="dxa"/>
              <w:right w:w="82" w:type="dxa"/>
            </w:tcMar>
            <w:vAlign w:val="center"/>
            <w:hideMark/>
          </w:tcPr>
          <w:p w14:paraId="3DE1DFDC" w14:textId="77777777" w:rsidR="00A80B47" w:rsidRPr="00826A2C" w:rsidRDefault="00A80B47" w:rsidP="00F62D2D">
            <w:pPr>
              <w:pStyle w:val="af4"/>
              <w:spacing w:after="0" w:line="240" w:lineRule="auto"/>
              <w:ind w:leftChars="0" w:left="0"/>
              <w:jc w:val="center"/>
              <w:rPr>
                <w:rFonts w:ascii="仿宋" w:eastAsia="仿宋" w:hAnsi="仿宋"/>
              </w:rPr>
            </w:pPr>
            <w:r w:rsidRPr="00826A2C">
              <w:rPr>
                <w:rFonts w:ascii="仿宋" w:eastAsia="仿宋" w:hAnsi="仿宋"/>
              </w:rPr>
              <w:t>G11</w:t>
            </w:r>
          </w:p>
        </w:tc>
        <w:tc>
          <w:tcPr>
            <w:tcW w:w="1293" w:type="pct"/>
            <w:tcBorders>
              <w:top w:val="single" w:sz="8" w:space="0" w:color="5B9BD5"/>
              <w:left w:val="single" w:sz="8" w:space="0" w:color="5B9BD5"/>
              <w:bottom w:val="single" w:sz="8" w:space="0" w:color="5B9BD5"/>
              <w:right w:val="single" w:sz="8" w:space="0" w:color="5B9BD5"/>
            </w:tcBorders>
            <w:shd w:val="clear" w:color="auto" w:fill="auto"/>
            <w:tcMar>
              <w:top w:w="15" w:type="dxa"/>
              <w:left w:w="82" w:type="dxa"/>
              <w:bottom w:w="0" w:type="dxa"/>
              <w:right w:w="82" w:type="dxa"/>
            </w:tcMar>
            <w:vAlign w:val="center"/>
            <w:hideMark/>
          </w:tcPr>
          <w:p w14:paraId="1D55D06B" w14:textId="77777777" w:rsidR="00A80B47" w:rsidRPr="00826A2C" w:rsidRDefault="00A80B47" w:rsidP="00F62D2D">
            <w:pPr>
              <w:pStyle w:val="af4"/>
              <w:spacing w:after="0" w:line="240" w:lineRule="auto"/>
              <w:ind w:leftChars="0" w:left="0"/>
              <w:jc w:val="center"/>
              <w:rPr>
                <w:rFonts w:ascii="仿宋" w:eastAsia="仿宋" w:hAnsi="仿宋"/>
              </w:rPr>
            </w:pPr>
            <w:r w:rsidRPr="00826A2C">
              <w:rPr>
                <w:rFonts w:ascii="仿宋" w:eastAsia="仿宋" w:hAnsi="仿宋" w:hint="eastAsia"/>
              </w:rPr>
              <w:t>综合公园</w:t>
            </w:r>
          </w:p>
        </w:tc>
        <w:tc>
          <w:tcPr>
            <w:tcW w:w="2440" w:type="pct"/>
            <w:tcBorders>
              <w:top w:val="single" w:sz="8" w:space="0" w:color="5B9BD5"/>
              <w:left w:val="single" w:sz="8" w:space="0" w:color="5B9BD5"/>
              <w:bottom w:val="single" w:sz="8" w:space="0" w:color="5B9BD5"/>
              <w:right w:val="single" w:sz="8" w:space="0" w:color="5B9BD5"/>
            </w:tcBorders>
            <w:shd w:val="clear" w:color="auto" w:fill="auto"/>
            <w:tcMar>
              <w:top w:w="15" w:type="dxa"/>
              <w:left w:w="82" w:type="dxa"/>
              <w:bottom w:w="0" w:type="dxa"/>
              <w:right w:w="82" w:type="dxa"/>
            </w:tcMar>
            <w:vAlign w:val="center"/>
            <w:hideMark/>
          </w:tcPr>
          <w:p w14:paraId="00295604" w14:textId="77777777" w:rsidR="00A80B47" w:rsidRPr="00826A2C" w:rsidRDefault="00A80B47" w:rsidP="00F62D2D">
            <w:pPr>
              <w:pStyle w:val="af4"/>
              <w:spacing w:after="0" w:line="240" w:lineRule="auto"/>
              <w:ind w:leftChars="0" w:left="0"/>
              <w:jc w:val="center"/>
              <w:rPr>
                <w:rFonts w:ascii="仿宋" w:eastAsia="仿宋" w:hAnsi="仿宋"/>
              </w:rPr>
            </w:pPr>
            <w:r w:rsidRPr="00826A2C">
              <w:rPr>
                <w:rFonts w:ascii="仿宋" w:eastAsia="仿宋" w:hAnsi="仿宋" w:hint="eastAsia"/>
              </w:rPr>
              <w:t>宜大于</w:t>
            </w:r>
            <w:r w:rsidRPr="00826A2C">
              <w:rPr>
                <w:rFonts w:ascii="仿宋" w:eastAsia="仿宋" w:hAnsi="仿宋"/>
              </w:rPr>
              <w:t>10hm</w:t>
            </w:r>
            <w:r w:rsidRPr="00826A2C">
              <w:rPr>
                <w:rFonts w:ascii="仿宋" w:eastAsia="仿宋" w:hAnsi="仿宋"/>
                <w:vertAlign w:val="superscript"/>
              </w:rPr>
              <w:t>2</w:t>
            </w:r>
          </w:p>
        </w:tc>
      </w:tr>
      <w:tr w:rsidR="00826A2C" w:rsidRPr="00826A2C" w14:paraId="52D1C7CB" w14:textId="77777777" w:rsidTr="00F62D2D">
        <w:trPr>
          <w:trHeight w:val="20"/>
          <w:jc w:val="center"/>
        </w:trPr>
        <w:tc>
          <w:tcPr>
            <w:tcW w:w="501" w:type="pct"/>
            <w:vMerge/>
            <w:tcBorders>
              <w:top w:val="single" w:sz="8" w:space="0" w:color="5B9BD5"/>
              <w:left w:val="single" w:sz="8" w:space="0" w:color="5B9BD5"/>
              <w:bottom w:val="single" w:sz="8" w:space="0" w:color="5B9BD5"/>
              <w:right w:val="single" w:sz="8" w:space="0" w:color="5B9BD5"/>
            </w:tcBorders>
            <w:vAlign w:val="center"/>
            <w:hideMark/>
          </w:tcPr>
          <w:p w14:paraId="38818FA7" w14:textId="77777777" w:rsidR="00A80B47" w:rsidRPr="00826A2C" w:rsidRDefault="00A80B47" w:rsidP="00F62D2D">
            <w:pPr>
              <w:pStyle w:val="af4"/>
              <w:spacing w:after="0" w:line="240" w:lineRule="auto"/>
              <w:ind w:leftChars="0" w:left="0"/>
              <w:jc w:val="center"/>
              <w:rPr>
                <w:rFonts w:ascii="仿宋" w:eastAsia="仿宋" w:hAnsi="仿宋"/>
              </w:rPr>
            </w:pPr>
          </w:p>
        </w:tc>
        <w:tc>
          <w:tcPr>
            <w:tcW w:w="766" w:type="pct"/>
            <w:tcBorders>
              <w:top w:val="single" w:sz="8" w:space="0" w:color="5B9BD5"/>
              <w:left w:val="single" w:sz="8" w:space="0" w:color="5B9BD5"/>
              <w:bottom w:val="single" w:sz="8" w:space="0" w:color="5B9BD5"/>
              <w:right w:val="single" w:sz="8" w:space="0" w:color="5B9BD5"/>
            </w:tcBorders>
            <w:shd w:val="clear" w:color="auto" w:fill="EAEFF7"/>
            <w:tcMar>
              <w:top w:w="15" w:type="dxa"/>
              <w:left w:w="82" w:type="dxa"/>
              <w:bottom w:w="0" w:type="dxa"/>
              <w:right w:w="82" w:type="dxa"/>
            </w:tcMar>
            <w:vAlign w:val="center"/>
            <w:hideMark/>
          </w:tcPr>
          <w:p w14:paraId="5D70B9E1" w14:textId="77777777" w:rsidR="00A80B47" w:rsidRPr="00826A2C" w:rsidRDefault="00A80B47" w:rsidP="00F62D2D">
            <w:pPr>
              <w:pStyle w:val="af4"/>
              <w:spacing w:after="0" w:line="240" w:lineRule="auto"/>
              <w:ind w:leftChars="0" w:left="0"/>
              <w:jc w:val="center"/>
              <w:rPr>
                <w:rFonts w:ascii="仿宋" w:eastAsia="仿宋" w:hAnsi="仿宋"/>
              </w:rPr>
            </w:pPr>
            <w:r w:rsidRPr="00826A2C">
              <w:rPr>
                <w:rFonts w:ascii="仿宋" w:eastAsia="仿宋" w:hAnsi="仿宋"/>
              </w:rPr>
              <w:t>G12</w:t>
            </w:r>
          </w:p>
        </w:tc>
        <w:tc>
          <w:tcPr>
            <w:tcW w:w="1293" w:type="pct"/>
            <w:tcBorders>
              <w:top w:val="single" w:sz="8" w:space="0" w:color="5B9BD5"/>
              <w:left w:val="single" w:sz="8" w:space="0" w:color="5B9BD5"/>
              <w:bottom w:val="single" w:sz="8" w:space="0" w:color="5B9BD5"/>
              <w:right w:val="single" w:sz="8" w:space="0" w:color="5B9BD5"/>
            </w:tcBorders>
            <w:shd w:val="clear" w:color="auto" w:fill="EAEFF7"/>
            <w:tcMar>
              <w:top w:w="15" w:type="dxa"/>
              <w:left w:w="82" w:type="dxa"/>
              <w:bottom w:w="0" w:type="dxa"/>
              <w:right w:w="82" w:type="dxa"/>
            </w:tcMar>
            <w:vAlign w:val="center"/>
            <w:hideMark/>
          </w:tcPr>
          <w:p w14:paraId="4897E021" w14:textId="77777777" w:rsidR="00A80B47" w:rsidRPr="00826A2C" w:rsidRDefault="00A80B47" w:rsidP="00F62D2D">
            <w:pPr>
              <w:pStyle w:val="af4"/>
              <w:spacing w:after="0" w:line="240" w:lineRule="auto"/>
              <w:ind w:leftChars="0" w:left="0"/>
              <w:jc w:val="center"/>
              <w:rPr>
                <w:rFonts w:ascii="仿宋" w:eastAsia="仿宋" w:hAnsi="仿宋"/>
              </w:rPr>
            </w:pPr>
            <w:r w:rsidRPr="00826A2C">
              <w:rPr>
                <w:rFonts w:ascii="仿宋" w:eastAsia="仿宋" w:hAnsi="仿宋" w:hint="eastAsia"/>
              </w:rPr>
              <w:t>社区公园</w:t>
            </w:r>
          </w:p>
        </w:tc>
        <w:tc>
          <w:tcPr>
            <w:tcW w:w="2440" w:type="pct"/>
            <w:tcBorders>
              <w:top w:val="single" w:sz="8" w:space="0" w:color="5B9BD5"/>
              <w:left w:val="single" w:sz="8" w:space="0" w:color="5B9BD5"/>
              <w:bottom w:val="single" w:sz="8" w:space="0" w:color="5B9BD5"/>
              <w:right w:val="single" w:sz="8" w:space="0" w:color="5B9BD5"/>
            </w:tcBorders>
            <w:shd w:val="clear" w:color="auto" w:fill="EAEFF7"/>
            <w:tcMar>
              <w:top w:w="15" w:type="dxa"/>
              <w:left w:w="82" w:type="dxa"/>
              <w:bottom w:w="0" w:type="dxa"/>
              <w:right w:w="82" w:type="dxa"/>
            </w:tcMar>
            <w:vAlign w:val="center"/>
            <w:hideMark/>
          </w:tcPr>
          <w:p w14:paraId="057E2157" w14:textId="77777777" w:rsidR="00A80B47" w:rsidRPr="00826A2C" w:rsidRDefault="00A80B47" w:rsidP="00F62D2D">
            <w:pPr>
              <w:pStyle w:val="af4"/>
              <w:spacing w:after="0" w:line="240" w:lineRule="auto"/>
              <w:ind w:leftChars="0" w:left="0"/>
              <w:jc w:val="center"/>
              <w:rPr>
                <w:rFonts w:ascii="仿宋" w:eastAsia="仿宋" w:hAnsi="仿宋"/>
              </w:rPr>
            </w:pPr>
            <w:r w:rsidRPr="00826A2C">
              <w:rPr>
                <w:rFonts w:ascii="仿宋" w:eastAsia="仿宋" w:hAnsi="仿宋" w:hint="eastAsia"/>
              </w:rPr>
              <w:t>宜大于</w:t>
            </w:r>
            <w:r w:rsidRPr="00826A2C">
              <w:rPr>
                <w:rFonts w:ascii="仿宋" w:eastAsia="仿宋" w:hAnsi="仿宋"/>
              </w:rPr>
              <w:t>1hm</w:t>
            </w:r>
            <w:r w:rsidRPr="00826A2C">
              <w:rPr>
                <w:rFonts w:ascii="仿宋" w:eastAsia="仿宋" w:hAnsi="仿宋"/>
                <w:vertAlign w:val="superscript"/>
              </w:rPr>
              <w:t>2</w:t>
            </w:r>
          </w:p>
        </w:tc>
      </w:tr>
      <w:tr w:rsidR="00826A2C" w:rsidRPr="00826A2C" w14:paraId="1E8C7A54" w14:textId="77777777" w:rsidTr="00F62D2D">
        <w:trPr>
          <w:trHeight w:val="20"/>
          <w:jc w:val="center"/>
        </w:trPr>
        <w:tc>
          <w:tcPr>
            <w:tcW w:w="501" w:type="pct"/>
            <w:vMerge/>
            <w:tcBorders>
              <w:top w:val="single" w:sz="8" w:space="0" w:color="5B9BD5"/>
              <w:left w:val="single" w:sz="8" w:space="0" w:color="5B9BD5"/>
              <w:bottom w:val="single" w:sz="8" w:space="0" w:color="5B9BD5"/>
              <w:right w:val="single" w:sz="8" w:space="0" w:color="5B9BD5"/>
            </w:tcBorders>
            <w:vAlign w:val="center"/>
            <w:hideMark/>
          </w:tcPr>
          <w:p w14:paraId="54EA91A2" w14:textId="77777777" w:rsidR="00A80B47" w:rsidRPr="00826A2C" w:rsidRDefault="00A80B47" w:rsidP="00F62D2D">
            <w:pPr>
              <w:pStyle w:val="af4"/>
              <w:spacing w:after="0" w:line="240" w:lineRule="auto"/>
              <w:ind w:leftChars="0" w:left="0"/>
              <w:jc w:val="center"/>
              <w:rPr>
                <w:rFonts w:ascii="仿宋" w:eastAsia="仿宋" w:hAnsi="仿宋"/>
              </w:rPr>
            </w:pPr>
          </w:p>
        </w:tc>
        <w:tc>
          <w:tcPr>
            <w:tcW w:w="766" w:type="pct"/>
            <w:tcBorders>
              <w:top w:val="single" w:sz="8" w:space="0" w:color="5B9BD5"/>
              <w:left w:val="single" w:sz="8" w:space="0" w:color="5B9BD5"/>
              <w:bottom w:val="single" w:sz="8" w:space="0" w:color="5B9BD5"/>
              <w:right w:val="single" w:sz="8" w:space="0" w:color="5B9BD5"/>
            </w:tcBorders>
            <w:shd w:val="clear" w:color="auto" w:fill="auto"/>
            <w:tcMar>
              <w:top w:w="15" w:type="dxa"/>
              <w:left w:w="82" w:type="dxa"/>
              <w:bottom w:w="0" w:type="dxa"/>
              <w:right w:w="82" w:type="dxa"/>
            </w:tcMar>
            <w:vAlign w:val="center"/>
            <w:hideMark/>
          </w:tcPr>
          <w:p w14:paraId="45E1DA5A" w14:textId="77777777" w:rsidR="00A80B47" w:rsidRPr="00826A2C" w:rsidRDefault="00A80B47" w:rsidP="00F62D2D">
            <w:pPr>
              <w:pStyle w:val="af4"/>
              <w:spacing w:after="0" w:line="240" w:lineRule="auto"/>
              <w:ind w:leftChars="0" w:left="0"/>
              <w:jc w:val="center"/>
              <w:rPr>
                <w:rFonts w:ascii="仿宋" w:eastAsia="仿宋" w:hAnsi="仿宋"/>
              </w:rPr>
            </w:pPr>
            <w:r w:rsidRPr="00826A2C">
              <w:rPr>
                <w:rFonts w:ascii="仿宋" w:eastAsia="仿宋" w:hAnsi="仿宋"/>
              </w:rPr>
              <w:t>G13</w:t>
            </w:r>
          </w:p>
        </w:tc>
        <w:tc>
          <w:tcPr>
            <w:tcW w:w="1293" w:type="pct"/>
            <w:tcBorders>
              <w:top w:val="single" w:sz="8" w:space="0" w:color="5B9BD5"/>
              <w:left w:val="single" w:sz="8" w:space="0" w:color="5B9BD5"/>
              <w:bottom w:val="single" w:sz="8" w:space="0" w:color="5B9BD5"/>
              <w:right w:val="single" w:sz="8" w:space="0" w:color="5B9BD5"/>
            </w:tcBorders>
            <w:shd w:val="clear" w:color="auto" w:fill="auto"/>
            <w:tcMar>
              <w:top w:w="15" w:type="dxa"/>
              <w:left w:w="82" w:type="dxa"/>
              <w:bottom w:w="0" w:type="dxa"/>
              <w:right w:w="82" w:type="dxa"/>
            </w:tcMar>
            <w:vAlign w:val="center"/>
            <w:hideMark/>
          </w:tcPr>
          <w:p w14:paraId="04829B1F" w14:textId="77777777" w:rsidR="00A80B47" w:rsidRPr="00826A2C" w:rsidRDefault="00A80B47" w:rsidP="00F62D2D">
            <w:pPr>
              <w:pStyle w:val="af4"/>
              <w:spacing w:after="0" w:line="240" w:lineRule="auto"/>
              <w:ind w:leftChars="0" w:left="0"/>
              <w:jc w:val="center"/>
              <w:rPr>
                <w:rFonts w:ascii="仿宋" w:eastAsia="仿宋" w:hAnsi="仿宋"/>
              </w:rPr>
            </w:pPr>
            <w:r w:rsidRPr="00826A2C">
              <w:rPr>
                <w:rFonts w:ascii="仿宋" w:eastAsia="仿宋" w:hAnsi="仿宋" w:hint="eastAsia"/>
              </w:rPr>
              <w:t>专类公园</w:t>
            </w:r>
          </w:p>
        </w:tc>
        <w:tc>
          <w:tcPr>
            <w:tcW w:w="2440" w:type="pct"/>
            <w:tcBorders>
              <w:top w:val="single" w:sz="8" w:space="0" w:color="5B9BD5"/>
              <w:left w:val="single" w:sz="8" w:space="0" w:color="5B9BD5"/>
              <w:bottom w:val="single" w:sz="8" w:space="0" w:color="5B9BD5"/>
              <w:right w:val="single" w:sz="8" w:space="0" w:color="5B9BD5"/>
            </w:tcBorders>
            <w:shd w:val="clear" w:color="auto" w:fill="auto"/>
            <w:tcMar>
              <w:top w:w="15" w:type="dxa"/>
              <w:left w:w="82" w:type="dxa"/>
              <w:bottom w:w="0" w:type="dxa"/>
              <w:right w:w="82" w:type="dxa"/>
            </w:tcMar>
            <w:vAlign w:val="center"/>
            <w:hideMark/>
          </w:tcPr>
          <w:p w14:paraId="2185A15F" w14:textId="77777777" w:rsidR="00A80B47" w:rsidRPr="00826A2C" w:rsidRDefault="00A80B47" w:rsidP="00F62D2D">
            <w:pPr>
              <w:pStyle w:val="af4"/>
              <w:spacing w:after="0" w:line="240" w:lineRule="auto"/>
              <w:ind w:leftChars="0" w:left="0"/>
              <w:jc w:val="center"/>
              <w:rPr>
                <w:rFonts w:ascii="仿宋" w:eastAsia="仿宋" w:hAnsi="仿宋"/>
              </w:rPr>
            </w:pPr>
            <w:r w:rsidRPr="00826A2C">
              <w:rPr>
                <w:rFonts w:ascii="仿宋" w:eastAsia="仿宋" w:hAnsi="仿宋" w:hint="eastAsia"/>
              </w:rPr>
              <w:t>包括动物园、植物园、历史名园、遗址公园、游乐公园、其他专类公园</w:t>
            </w:r>
          </w:p>
        </w:tc>
      </w:tr>
      <w:tr w:rsidR="00826A2C" w:rsidRPr="00826A2C" w14:paraId="6D7CEC50" w14:textId="77777777" w:rsidTr="00F62D2D">
        <w:trPr>
          <w:trHeight w:val="20"/>
          <w:jc w:val="center"/>
        </w:trPr>
        <w:tc>
          <w:tcPr>
            <w:tcW w:w="501" w:type="pct"/>
            <w:vMerge/>
            <w:tcBorders>
              <w:top w:val="single" w:sz="8" w:space="0" w:color="5B9BD5"/>
              <w:left w:val="single" w:sz="8" w:space="0" w:color="5B9BD5"/>
              <w:bottom w:val="single" w:sz="8" w:space="0" w:color="5B9BD5"/>
              <w:right w:val="single" w:sz="8" w:space="0" w:color="5B9BD5"/>
            </w:tcBorders>
            <w:vAlign w:val="center"/>
            <w:hideMark/>
          </w:tcPr>
          <w:p w14:paraId="0E3DA091" w14:textId="77777777" w:rsidR="00A80B47" w:rsidRPr="00826A2C" w:rsidRDefault="00A80B47" w:rsidP="00F62D2D">
            <w:pPr>
              <w:pStyle w:val="af4"/>
              <w:spacing w:after="0" w:line="240" w:lineRule="auto"/>
              <w:ind w:leftChars="0" w:left="0"/>
              <w:jc w:val="center"/>
              <w:rPr>
                <w:rFonts w:ascii="仿宋" w:eastAsia="仿宋" w:hAnsi="仿宋"/>
              </w:rPr>
            </w:pPr>
          </w:p>
        </w:tc>
        <w:tc>
          <w:tcPr>
            <w:tcW w:w="766" w:type="pct"/>
            <w:tcBorders>
              <w:top w:val="single" w:sz="8" w:space="0" w:color="5B9BD5"/>
              <w:left w:val="single" w:sz="8" w:space="0" w:color="5B9BD5"/>
              <w:bottom w:val="single" w:sz="8" w:space="0" w:color="5B9BD5"/>
              <w:right w:val="single" w:sz="8" w:space="0" w:color="5B9BD5"/>
            </w:tcBorders>
            <w:shd w:val="clear" w:color="auto" w:fill="EAEFF7"/>
            <w:tcMar>
              <w:top w:w="15" w:type="dxa"/>
              <w:left w:w="82" w:type="dxa"/>
              <w:bottom w:w="0" w:type="dxa"/>
              <w:right w:w="82" w:type="dxa"/>
            </w:tcMar>
            <w:vAlign w:val="center"/>
            <w:hideMark/>
          </w:tcPr>
          <w:p w14:paraId="6D45890E" w14:textId="77777777" w:rsidR="00A80B47" w:rsidRPr="00826A2C" w:rsidRDefault="00A80B47" w:rsidP="00F62D2D">
            <w:pPr>
              <w:pStyle w:val="af4"/>
              <w:spacing w:after="0" w:line="240" w:lineRule="auto"/>
              <w:ind w:leftChars="0" w:left="0"/>
              <w:jc w:val="center"/>
              <w:rPr>
                <w:rFonts w:ascii="仿宋" w:eastAsia="仿宋" w:hAnsi="仿宋"/>
              </w:rPr>
            </w:pPr>
            <w:r w:rsidRPr="00826A2C">
              <w:rPr>
                <w:rFonts w:ascii="仿宋" w:eastAsia="仿宋" w:hAnsi="仿宋"/>
              </w:rPr>
              <w:t>G14</w:t>
            </w:r>
          </w:p>
        </w:tc>
        <w:tc>
          <w:tcPr>
            <w:tcW w:w="1293" w:type="pct"/>
            <w:tcBorders>
              <w:top w:val="single" w:sz="8" w:space="0" w:color="5B9BD5"/>
              <w:left w:val="single" w:sz="8" w:space="0" w:color="5B9BD5"/>
              <w:bottom w:val="single" w:sz="8" w:space="0" w:color="5B9BD5"/>
              <w:right w:val="single" w:sz="8" w:space="0" w:color="5B9BD5"/>
            </w:tcBorders>
            <w:shd w:val="clear" w:color="auto" w:fill="EAEFF7"/>
            <w:tcMar>
              <w:top w:w="15" w:type="dxa"/>
              <w:left w:w="82" w:type="dxa"/>
              <w:bottom w:w="0" w:type="dxa"/>
              <w:right w:w="82" w:type="dxa"/>
            </w:tcMar>
            <w:vAlign w:val="center"/>
            <w:hideMark/>
          </w:tcPr>
          <w:p w14:paraId="1FA7C8A3" w14:textId="77777777" w:rsidR="00A80B47" w:rsidRPr="00826A2C" w:rsidRDefault="00A80B47" w:rsidP="00F62D2D">
            <w:pPr>
              <w:pStyle w:val="af4"/>
              <w:spacing w:after="0" w:line="240" w:lineRule="auto"/>
              <w:ind w:leftChars="0" w:left="0"/>
              <w:jc w:val="center"/>
              <w:rPr>
                <w:rFonts w:ascii="仿宋" w:eastAsia="仿宋" w:hAnsi="仿宋"/>
              </w:rPr>
            </w:pPr>
            <w:r w:rsidRPr="00826A2C">
              <w:rPr>
                <w:rFonts w:ascii="仿宋" w:eastAsia="仿宋" w:hAnsi="仿宋" w:hint="eastAsia"/>
              </w:rPr>
              <w:t>游园</w:t>
            </w:r>
          </w:p>
        </w:tc>
        <w:tc>
          <w:tcPr>
            <w:tcW w:w="2440" w:type="pct"/>
            <w:tcBorders>
              <w:top w:val="single" w:sz="8" w:space="0" w:color="5B9BD5"/>
              <w:left w:val="single" w:sz="8" w:space="0" w:color="5B9BD5"/>
              <w:bottom w:val="single" w:sz="8" w:space="0" w:color="5B9BD5"/>
              <w:right w:val="single" w:sz="8" w:space="0" w:color="5B9BD5"/>
            </w:tcBorders>
            <w:shd w:val="clear" w:color="auto" w:fill="EAEFF7"/>
            <w:tcMar>
              <w:top w:w="15" w:type="dxa"/>
              <w:left w:w="82" w:type="dxa"/>
              <w:bottom w:w="0" w:type="dxa"/>
              <w:right w:w="82" w:type="dxa"/>
            </w:tcMar>
            <w:vAlign w:val="center"/>
            <w:hideMark/>
          </w:tcPr>
          <w:p w14:paraId="02C8D415" w14:textId="77777777" w:rsidR="00A80B47" w:rsidRPr="00826A2C" w:rsidRDefault="00A80B47" w:rsidP="00F62D2D">
            <w:pPr>
              <w:pStyle w:val="af4"/>
              <w:spacing w:after="0" w:line="240" w:lineRule="auto"/>
              <w:ind w:leftChars="0" w:left="0"/>
              <w:jc w:val="center"/>
              <w:rPr>
                <w:rFonts w:ascii="仿宋" w:eastAsia="仿宋" w:hAnsi="仿宋"/>
              </w:rPr>
            </w:pPr>
            <w:r w:rsidRPr="00826A2C">
              <w:rPr>
                <w:rFonts w:ascii="仿宋" w:eastAsia="仿宋" w:hAnsi="仿宋" w:hint="eastAsia"/>
              </w:rPr>
              <w:t>带状游园的宽度宜大于</w:t>
            </w:r>
            <w:r w:rsidRPr="00826A2C">
              <w:rPr>
                <w:rFonts w:ascii="仿宋" w:eastAsia="仿宋" w:hAnsi="仿宋"/>
              </w:rPr>
              <w:t>12m</w:t>
            </w:r>
            <w:r w:rsidRPr="00826A2C">
              <w:rPr>
                <w:rFonts w:ascii="仿宋" w:eastAsia="仿宋" w:hAnsi="仿宋" w:hint="eastAsia"/>
              </w:rPr>
              <w:t>，绿化占地比例应大于或等于</w:t>
            </w:r>
            <w:r w:rsidRPr="00826A2C">
              <w:rPr>
                <w:rFonts w:ascii="仿宋" w:eastAsia="仿宋" w:hAnsi="仿宋"/>
              </w:rPr>
              <w:t>65%</w:t>
            </w:r>
          </w:p>
        </w:tc>
      </w:tr>
      <w:tr w:rsidR="00826A2C" w:rsidRPr="00826A2C" w14:paraId="79195306" w14:textId="77777777" w:rsidTr="00F62D2D">
        <w:trPr>
          <w:trHeight w:val="20"/>
          <w:jc w:val="center"/>
        </w:trPr>
        <w:tc>
          <w:tcPr>
            <w:tcW w:w="1267" w:type="pct"/>
            <w:gridSpan w:val="2"/>
            <w:tcBorders>
              <w:top w:val="single" w:sz="8" w:space="0" w:color="5B9BD5"/>
              <w:left w:val="single" w:sz="8" w:space="0" w:color="5B9BD5"/>
              <w:bottom w:val="single" w:sz="8" w:space="0" w:color="5B9BD5"/>
              <w:right w:val="single" w:sz="8" w:space="0" w:color="5B9BD5"/>
            </w:tcBorders>
            <w:shd w:val="clear" w:color="auto" w:fill="auto"/>
            <w:tcMar>
              <w:top w:w="15" w:type="dxa"/>
              <w:left w:w="82" w:type="dxa"/>
              <w:bottom w:w="0" w:type="dxa"/>
              <w:right w:w="82" w:type="dxa"/>
            </w:tcMar>
            <w:vAlign w:val="center"/>
            <w:hideMark/>
          </w:tcPr>
          <w:p w14:paraId="6C82AC3A" w14:textId="77777777" w:rsidR="00A80B47" w:rsidRPr="00826A2C" w:rsidRDefault="00A80B47" w:rsidP="00F62D2D">
            <w:pPr>
              <w:pStyle w:val="af4"/>
              <w:spacing w:after="0" w:line="240" w:lineRule="auto"/>
              <w:ind w:leftChars="0" w:left="0"/>
              <w:jc w:val="center"/>
              <w:rPr>
                <w:rFonts w:ascii="仿宋" w:eastAsia="仿宋" w:hAnsi="仿宋"/>
              </w:rPr>
            </w:pPr>
            <w:r w:rsidRPr="00826A2C">
              <w:rPr>
                <w:rFonts w:ascii="仿宋" w:eastAsia="仿宋" w:hAnsi="仿宋"/>
                <w:b/>
                <w:bCs/>
              </w:rPr>
              <w:t>G2</w:t>
            </w:r>
          </w:p>
        </w:tc>
        <w:tc>
          <w:tcPr>
            <w:tcW w:w="1293" w:type="pct"/>
            <w:tcBorders>
              <w:top w:val="single" w:sz="8" w:space="0" w:color="5B9BD5"/>
              <w:left w:val="single" w:sz="8" w:space="0" w:color="5B9BD5"/>
              <w:bottom w:val="single" w:sz="8" w:space="0" w:color="5B9BD5"/>
              <w:right w:val="single" w:sz="8" w:space="0" w:color="5B9BD5"/>
            </w:tcBorders>
            <w:shd w:val="clear" w:color="auto" w:fill="auto"/>
            <w:tcMar>
              <w:top w:w="15" w:type="dxa"/>
              <w:left w:w="82" w:type="dxa"/>
              <w:bottom w:w="0" w:type="dxa"/>
              <w:right w:w="82" w:type="dxa"/>
            </w:tcMar>
            <w:vAlign w:val="center"/>
            <w:hideMark/>
          </w:tcPr>
          <w:p w14:paraId="6C1624E1" w14:textId="77777777" w:rsidR="00A80B47" w:rsidRPr="00826A2C" w:rsidRDefault="00A80B47" w:rsidP="00F62D2D">
            <w:pPr>
              <w:pStyle w:val="af4"/>
              <w:spacing w:after="0" w:line="240" w:lineRule="auto"/>
              <w:ind w:leftChars="0" w:left="0"/>
              <w:jc w:val="center"/>
              <w:rPr>
                <w:rFonts w:ascii="仿宋" w:eastAsia="仿宋" w:hAnsi="仿宋"/>
              </w:rPr>
            </w:pPr>
            <w:r w:rsidRPr="00826A2C">
              <w:rPr>
                <w:rFonts w:ascii="仿宋" w:eastAsia="仿宋" w:hAnsi="仿宋" w:hint="eastAsia"/>
              </w:rPr>
              <w:t>防护绿地</w:t>
            </w:r>
          </w:p>
        </w:tc>
        <w:tc>
          <w:tcPr>
            <w:tcW w:w="2440" w:type="pct"/>
            <w:tcBorders>
              <w:top w:val="single" w:sz="8" w:space="0" w:color="5B9BD5"/>
              <w:left w:val="single" w:sz="8" w:space="0" w:color="5B9BD5"/>
              <w:bottom w:val="single" w:sz="8" w:space="0" w:color="5B9BD5"/>
              <w:right w:val="single" w:sz="8" w:space="0" w:color="5B9BD5"/>
            </w:tcBorders>
            <w:shd w:val="clear" w:color="auto" w:fill="auto"/>
            <w:tcMar>
              <w:top w:w="15" w:type="dxa"/>
              <w:left w:w="82" w:type="dxa"/>
              <w:bottom w:w="0" w:type="dxa"/>
              <w:right w:w="82" w:type="dxa"/>
            </w:tcMar>
            <w:vAlign w:val="center"/>
            <w:hideMark/>
          </w:tcPr>
          <w:p w14:paraId="2891B6AA" w14:textId="77777777" w:rsidR="00A80B47" w:rsidRPr="00826A2C" w:rsidRDefault="00A80B47" w:rsidP="00F62D2D">
            <w:pPr>
              <w:pStyle w:val="af4"/>
              <w:spacing w:after="0" w:line="240" w:lineRule="auto"/>
              <w:ind w:leftChars="0" w:left="0"/>
              <w:jc w:val="center"/>
              <w:rPr>
                <w:rFonts w:ascii="仿宋" w:eastAsia="仿宋" w:hAnsi="仿宋"/>
              </w:rPr>
            </w:pPr>
          </w:p>
        </w:tc>
      </w:tr>
      <w:tr w:rsidR="00826A2C" w:rsidRPr="00826A2C" w14:paraId="5EA430D6" w14:textId="77777777" w:rsidTr="00F62D2D">
        <w:trPr>
          <w:trHeight w:val="20"/>
          <w:jc w:val="center"/>
        </w:trPr>
        <w:tc>
          <w:tcPr>
            <w:tcW w:w="1267" w:type="pct"/>
            <w:gridSpan w:val="2"/>
            <w:tcBorders>
              <w:top w:val="single" w:sz="8" w:space="0" w:color="5B9BD5"/>
              <w:left w:val="single" w:sz="8" w:space="0" w:color="5B9BD5"/>
              <w:bottom w:val="single" w:sz="8" w:space="0" w:color="5B9BD5"/>
              <w:right w:val="single" w:sz="8" w:space="0" w:color="5B9BD5"/>
            </w:tcBorders>
            <w:shd w:val="clear" w:color="auto" w:fill="EAEFF7"/>
            <w:tcMar>
              <w:top w:w="15" w:type="dxa"/>
              <w:left w:w="82" w:type="dxa"/>
              <w:bottom w:w="0" w:type="dxa"/>
              <w:right w:w="82" w:type="dxa"/>
            </w:tcMar>
            <w:vAlign w:val="center"/>
            <w:hideMark/>
          </w:tcPr>
          <w:p w14:paraId="5B930104" w14:textId="77777777" w:rsidR="00A80B47" w:rsidRPr="00826A2C" w:rsidRDefault="00A80B47" w:rsidP="00F62D2D">
            <w:pPr>
              <w:pStyle w:val="af4"/>
              <w:spacing w:after="0" w:line="240" w:lineRule="auto"/>
              <w:ind w:leftChars="0" w:left="0"/>
              <w:jc w:val="center"/>
              <w:rPr>
                <w:rFonts w:ascii="仿宋" w:eastAsia="仿宋" w:hAnsi="仿宋"/>
              </w:rPr>
            </w:pPr>
            <w:r w:rsidRPr="00826A2C">
              <w:rPr>
                <w:rFonts w:ascii="仿宋" w:eastAsia="仿宋" w:hAnsi="仿宋"/>
                <w:b/>
                <w:bCs/>
              </w:rPr>
              <w:t>G3</w:t>
            </w:r>
          </w:p>
        </w:tc>
        <w:tc>
          <w:tcPr>
            <w:tcW w:w="1293" w:type="pct"/>
            <w:tcBorders>
              <w:top w:val="single" w:sz="8" w:space="0" w:color="5B9BD5"/>
              <w:left w:val="single" w:sz="8" w:space="0" w:color="5B9BD5"/>
              <w:bottom w:val="single" w:sz="8" w:space="0" w:color="5B9BD5"/>
              <w:right w:val="single" w:sz="8" w:space="0" w:color="5B9BD5"/>
            </w:tcBorders>
            <w:shd w:val="clear" w:color="auto" w:fill="EAEFF7"/>
            <w:tcMar>
              <w:top w:w="15" w:type="dxa"/>
              <w:left w:w="82" w:type="dxa"/>
              <w:bottom w:w="0" w:type="dxa"/>
              <w:right w:w="82" w:type="dxa"/>
            </w:tcMar>
            <w:vAlign w:val="center"/>
            <w:hideMark/>
          </w:tcPr>
          <w:p w14:paraId="319AEFC3" w14:textId="77777777" w:rsidR="00A80B47" w:rsidRPr="00826A2C" w:rsidRDefault="00A80B47" w:rsidP="00F62D2D">
            <w:pPr>
              <w:pStyle w:val="af4"/>
              <w:spacing w:after="0" w:line="240" w:lineRule="auto"/>
              <w:ind w:leftChars="0" w:left="0"/>
              <w:jc w:val="center"/>
              <w:rPr>
                <w:rFonts w:ascii="仿宋" w:eastAsia="仿宋" w:hAnsi="仿宋"/>
              </w:rPr>
            </w:pPr>
            <w:r w:rsidRPr="00826A2C">
              <w:rPr>
                <w:rFonts w:ascii="仿宋" w:eastAsia="仿宋" w:hAnsi="仿宋" w:hint="eastAsia"/>
              </w:rPr>
              <w:t>广场用地</w:t>
            </w:r>
          </w:p>
        </w:tc>
        <w:tc>
          <w:tcPr>
            <w:tcW w:w="2440" w:type="pct"/>
            <w:tcBorders>
              <w:top w:val="single" w:sz="8" w:space="0" w:color="5B9BD5"/>
              <w:left w:val="single" w:sz="8" w:space="0" w:color="5B9BD5"/>
              <w:bottom w:val="single" w:sz="8" w:space="0" w:color="5B9BD5"/>
              <w:right w:val="single" w:sz="8" w:space="0" w:color="5B9BD5"/>
            </w:tcBorders>
            <w:shd w:val="clear" w:color="auto" w:fill="EAEFF7"/>
            <w:tcMar>
              <w:top w:w="15" w:type="dxa"/>
              <w:left w:w="82" w:type="dxa"/>
              <w:bottom w:w="0" w:type="dxa"/>
              <w:right w:w="82" w:type="dxa"/>
            </w:tcMar>
            <w:vAlign w:val="center"/>
            <w:hideMark/>
          </w:tcPr>
          <w:p w14:paraId="1FECE89A" w14:textId="77777777" w:rsidR="00A80B47" w:rsidRPr="00826A2C" w:rsidRDefault="00A80B47" w:rsidP="00F62D2D">
            <w:pPr>
              <w:pStyle w:val="af4"/>
              <w:spacing w:after="0" w:line="240" w:lineRule="auto"/>
              <w:ind w:leftChars="0" w:left="0"/>
              <w:jc w:val="center"/>
              <w:rPr>
                <w:rFonts w:ascii="仿宋" w:eastAsia="仿宋" w:hAnsi="仿宋"/>
              </w:rPr>
            </w:pPr>
          </w:p>
        </w:tc>
      </w:tr>
      <w:tr w:rsidR="00826A2C" w:rsidRPr="00826A2C" w14:paraId="36309072" w14:textId="77777777" w:rsidTr="00F62D2D">
        <w:trPr>
          <w:trHeight w:val="20"/>
          <w:jc w:val="center"/>
        </w:trPr>
        <w:tc>
          <w:tcPr>
            <w:tcW w:w="1267" w:type="pct"/>
            <w:gridSpan w:val="2"/>
            <w:tcBorders>
              <w:top w:val="single" w:sz="8" w:space="0" w:color="5B9BD5"/>
              <w:left w:val="single" w:sz="8" w:space="0" w:color="5B9BD5"/>
              <w:bottom w:val="single" w:sz="8" w:space="0" w:color="5B9BD5"/>
              <w:right w:val="single" w:sz="8" w:space="0" w:color="5B9BD5"/>
            </w:tcBorders>
            <w:shd w:val="clear" w:color="auto" w:fill="auto"/>
            <w:tcMar>
              <w:top w:w="15" w:type="dxa"/>
              <w:left w:w="82" w:type="dxa"/>
              <w:bottom w:w="0" w:type="dxa"/>
              <w:right w:w="82" w:type="dxa"/>
            </w:tcMar>
            <w:vAlign w:val="center"/>
            <w:hideMark/>
          </w:tcPr>
          <w:p w14:paraId="5BF27A3A" w14:textId="77777777" w:rsidR="00A80B47" w:rsidRPr="00826A2C" w:rsidRDefault="00A80B47" w:rsidP="00F62D2D">
            <w:pPr>
              <w:pStyle w:val="af4"/>
              <w:spacing w:after="0" w:line="240" w:lineRule="auto"/>
              <w:ind w:leftChars="0" w:left="0"/>
              <w:jc w:val="center"/>
              <w:rPr>
                <w:rFonts w:ascii="仿宋" w:eastAsia="仿宋" w:hAnsi="仿宋"/>
              </w:rPr>
            </w:pPr>
            <w:r w:rsidRPr="00826A2C">
              <w:rPr>
                <w:rFonts w:ascii="仿宋" w:eastAsia="仿宋" w:hAnsi="仿宋"/>
                <w:b/>
                <w:bCs/>
              </w:rPr>
              <w:t>XG</w:t>
            </w:r>
          </w:p>
        </w:tc>
        <w:tc>
          <w:tcPr>
            <w:tcW w:w="1293" w:type="pct"/>
            <w:tcBorders>
              <w:top w:val="single" w:sz="8" w:space="0" w:color="5B9BD5"/>
              <w:left w:val="single" w:sz="8" w:space="0" w:color="5B9BD5"/>
              <w:bottom w:val="single" w:sz="8" w:space="0" w:color="5B9BD5"/>
              <w:right w:val="single" w:sz="8" w:space="0" w:color="5B9BD5"/>
            </w:tcBorders>
            <w:shd w:val="clear" w:color="auto" w:fill="auto"/>
            <w:tcMar>
              <w:top w:w="15" w:type="dxa"/>
              <w:left w:w="82" w:type="dxa"/>
              <w:bottom w:w="0" w:type="dxa"/>
              <w:right w:w="82" w:type="dxa"/>
            </w:tcMar>
            <w:vAlign w:val="center"/>
            <w:hideMark/>
          </w:tcPr>
          <w:p w14:paraId="0047DFE9" w14:textId="77777777" w:rsidR="00A80B47" w:rsidRPr="00826A2C" w:rsidRDefault="00A80B47" w:rsidP="00F62D2D">
            <w:pPr>
              <w:pStyle w:val="af4"/>
              <w:spacing w:after="0" w:line="240" w:lineRule="auto"/>
              <w:ind w:leftChars="0" w:left="0"/>
              <w:jc w:val="center"/>
              <w:rPr>
                <w:rFonts w:ascii="仿宋" w:eastAsia="仿宋" w:hAnsi="仿宋"/>
              </w:rPr>
            </w:pPr>
            <w:r w:rsidRPr="00826A2C">
              <w:rPr>
                <w:rFonts w:ascii="仿宋" w:eastAsia="仿宋" w:hAnsi="仿宋" w:hint="eastAsia"/>
              </w:rPr>
              <w:t>附属绿地</w:t>
            </w:r>
          </w:p>
        </w:tc>
        <w:tc>
          <w:tcPr>
            <w:tcW w:w="2440" w:type="pct"/>
            <w:tcBorders>
              <w:top w:val="single" w:sz="8" w:space="0" w:color="5B9BD5"/>
              <w:left w:val="single" w:sz="8" w:space="0" w:color="5B9BD5"/>
              <w:bottom w:val="single" w:sz="8" w:space="0" w:color="5B9BD5"/>
              <w:right w:val="single" w:sz="8" w:space="0" w:color="5B9BD5"/>
            </w:tcBorders>
            <w:shd w:val="clear" w:color="auto" w:fill="auto"/>
            <w:tcMar>
              <w:top w:w="15" w:type="dxa"/>
              <w:left w:w="82" w:type="dxa"/>
              <w:bottom w:w="0" w:type="dxa"/>
              <w:right w:w="82" w:type="dxa"/>
            </w:tcMar>
            <w:vAlign w:val="center"/>
            <w:hideMark/>
          </w:tcPr>
          <w:p w14:paraId="6065A324" w14:textId="77777777" w:rsidR="00A80B47" w:rsidRPr="00826A2C" w:rsidRDefault="00A80B47" w:rsidP="00F62D2D">
            <w:pPr>
              <w:pStyle w:val="af4"/>
              <w:spacing w:after="0" w:line="240" w:lineRule="auto"/>
              <w:ind w:leftChars="0" w:left="0"/>
              <w:jc w:val="center"/>
              <w:rPr>
                <w:rFonts w:ascii="仿宋" w:eastAsia="仿宋" w:hAnsi="仿宋"/>
              </w:rPr>
            </w:pPr>
            <w:r w:rsidRPr="00826A2C">
              <w:rPr>
                <w:rFonts w:ascii="仿宋" w:eastAsia="仿宋" w:hAnsi="仿宋" w:hint="eastAsia"/>
              </w:rPr>
              <w:t>包括居住用地附属绿地、公共管理与公共服务设施用地附属绿地、商业服务业设施用地附属绿地、工业用地附属绿地、物流仓储用地附属绿地、道路与交通设施用地附属绿地、公用设施用地附属绿地</w:t>
            </w:r>
          </w:p>
        </w:tc>
      </w:tr>
      <w:tr w:rsidR="00826A2C" w:rsidRPr="00826A2C" w14:paraId="3BDC267F" w14:textId="77777777" w:rsidTr="00F62D2D">
        <w:trPr>
          <w:trHeight w:val="20"/>
          <w:jc w:val="center"/>
        </w:trPr>
        <w:tc>
          <w:tcPr>
            <w:tcW w:w="1267" w:type="pct"/>
            <w:gridSpan w:val="2"/>
            <w:tcBorders>
              <w:top w:val="single" w:sz="8" w:space="0" w:color="5B9BD5"/>
              <w:left w:val="single" w:sz="8" w:space="0" w:color="5B9BD5"/>
              <w:bottom w:val="single" w:sz="8" w:space="0" w:color="5B9BD5"/>
              <w:right w:val="single" w:sz="8" w:space="0" w:color="5B9BD5"/>
            </w:tcBorders>
            <w:shd w:val="clear" w:color="auto" w:fill="EAEFF7"/>
            <w:tcMar>
              <w:top w:w="15" w:type="dxa"/>
              <w:left w:w="82" w:type="dxa"/>
              <w:bottom w:w="0" w:type="dxa"/>
              <w:right w:w="82" w:type="dxa"/>
            </w:tcMar>
            <w:vAlign w:val="center"/>
            <w:hideMark/>
          </w:tcPr>
          <w:p w14:paraId="00222AA7" w14:textId="77777777" w:rsidR="00A80B47" w:rsidRPr="00826A2C" w:rsidRDefault="00A80B47" w:rsidP="00F62D2D">
            <w:pPr>
              <w:pStyle w:val="af4"/>
              <w:spacing w:after="0" w:line="240" w:lineRule="auto"/>
              <w:ind w:leftChars="0" w:left="0"/>
              <w:jc w:val="center"/>
              <w:rPr>
                <w:rFonts w:ascii="仿宋" w:eastAsia="仿宋" w:hAnsi="仿宋"/>
              </w:rPr>
            </w:pPr>
            <w:r w:rsidRPr="00826A2C">
              <w:rPr>
                <w:rFonts w:ascii="仿宋" w:eastAsia="仿宋" w:hAnsi="仿宋"/>
                <w:b/>
                <w:bCs/>
              </w:rPr>
              <w:t>EG</w:t>
            </w:r>
          </w:p>
        </w:tc>
        <w:tc>
          <w:tcPr>
            <w:tcW w:w="1293" w:type="pct"/>
            <w:tcBorders>
              <w:top w:val="single" w:sz="8" w:space="0" w:color="5B9BD5"/>
              <w:left w:val="single" w:sz="8" w:space="0" w:color="5B9BD5"/>
              <w:bottom w:val="single" w:sz="8" w:space="0" w:color="5B9BD5"/>
              <w:right w:val="single" w:sz="8" w:space="0" w:color="5B9BD5"/>
            </w:tcBorders>
            <w:shd w:val="clear" w:color="auto" w:fill="EAEFF7"/>
            <w:tcMar>
              <w:top w:w="15" w:type="dxa"/>
              <w:left w:w="82" w:type="dxa"/>
              <w:bottom w:w="0" w:type="dxa"/>
              <w:right w:w="82" w:type="dxa"/>
            </w:tcMar>
            <w:vAlign w:val="center"/>
            <w:hideMark/>
          </w:tcPr>
          <w:p w14:paraId="39CAF5DA" w14:textId="77777777" w:rsidR="00A80B47" w:rsidRPr="00826A2C" w:rsidRDefault="00A80B47" w:rsidP="00F62D2D">
            <w:pPr>
              <w:pStyle w:val="af4"/>
              <w:spacing w:after="0" w:line="240" w:lineRule="auto"/>
              <w:ind w:leftChars="0" w:left="0"/>
              <w:jc w:val="center"/>
              <w:rPr>
                <w:rFonts w:ascii="仿宋" w:eastAsia="仿宋" w:hAnsi="仿宋"/>
              </w:rPr>
            </w:pPr>
            <w:r w:rsidRPr="00826A2C">
              <w:rPr>
                <w:rFonts w:ascii="仿宋" w:eastAsia="仿宋" w:hAnsi="仿宋" w:hint="eastAsia"/>
              </w:rPr>
              <w:t>区域绿地</w:t>
            </w:r>
          </w:p>
        </w:tc>
        <w:tc>
          <w:tcPr>
            <w:tcW w:w="2440" w:type="pct"/>
            <w:tcBorders>
              <w:top w:val="single" w:sz="8" w:space="0" w:color="5B9BD5"/>
              <w:left w:val="single" w:sz="8" w:space="0" w:color="5B9BD5"/>
              <w:bottom w:val="single" w:sz="8" w:space="0" w:color="5B9BD5"/>
              <w:right w:val="single" w:sz="8" w:space="0" w:color="5B9BD5"/>
            </w:tcBorders>
            <w:shd w:val="clear" w:color="auto" w:fill="EAEFF7"/>
            <w:tcMar>
              <w:top w:w="15" w:type="dxa"/>
              <w:left w:w="82" w:type="dxa"/>
              <w:bottom w:w="0" w:type="dxa"/>
              <w:right w:w="82" w:type="dxa"/>
            </w:tcMar>
            <w:vAlign w:val="center"/>
            <w:hideMark/>
          </w:tcPr>
          <w:p w14:paraId="3A4673FB" w14:textId="77777777" w:rsidR="00A80B47" w:rsidRPr="00826A2C" w:rsidRDefault="00A80B47" w:rsidP="00F62D2D">
            <w:pPr>
              <w:pStyle w:val="af4"/>
              <w:spacing w:after="0" w:line="240" w:lineRule="auto"/>
              <w:ind w:leftChars="0" w:left="0"/>
              <w:jc w:val="center"/>
              <w:rPr>
                <w:rFonts w:ascii="仿宋" w:eastAsia="仿宋" w:hAnsi="仿宋"/>
              </w:rPr>
            </w:pPr>
          </w:p>
        </w:tc>
      </w:tr>
      <w:tr w:rsidR="00826A2C" w:rsidRPr="00826A2C" w14:paraId="6673B803" w14:textId="77777777" w:rsidTr="00F62D2D">
        <w:trPr>
          <w:trHeight w:val="20"/>
          <w:jc w:val="center"/>
        </w:trPr>
        <w:tc>
          <w:tcPr>
            <w:tcW w:w="501" w:type="pct"/>
            <w:vMerge w:val="restart"/>
            <w:tcBorders>
              <w:top w:val="single" w:sz="8" w:space="0" w:color="5B9BD5"/>
              <w:left w:val="single" w:sz="8" w:space="0" w:color="5B9BD5"/>
              <w:bottom w:val="single" w:sz="8" w:space="0" w:color="5B9BD5"/>
              <w:right w:val="single" w:sz="8" w:space="0" w:color="5B9BD5"/>
            </w:tcBorders>
            <w:shd w:val="clear" w:color="auto" w:fill="auto"/>
            <w:tcMar>
              <w:top w:w="15" w:type="dxa"/>
              <w:left w:w="82" w:type="dxa"/>
              <w:bottom w:w="0" w:type="dxa"/>
              <w:right w:w="82" w:type="dxa"/>
            </w:tcMar>
            <w:vAlign w:val="center"/>
            <w:hideMark/>
          </w:tcPr>
          <w:p w14:paraId="07BDA677" w14:textId="77777777" w:rsidR="00A80B47" w:rsidRPr="00826A2C" w:rsidRDefault="00A80B47" w:rsidP="00F62D2D">
            <w:pPr>
              <w:pStyle w:val="af4"/>
              <w:spacing w:after="0" w:line="240" w:lineRule="auto"/>
              <w:ind w:leftChars="0" w:left="0"/>
              <w:jc w:val="center"/>
              <w:rPr>
                <w:rFonts w:ascii="仿宋" w:eastAsia="仿宋" w:hAnsi="仿宋"/>
              </w:rPr>
            </w:pPr>
          </w:p>
        </w:tc>
        <w:tc>
          <w:tcPr>
            <w:tcW w:w="766" w:type="pct"/>
            <w:tcBorders>
              <w:top w:val="single" w:sz="8" w:space="0" w:color="5B9BD5"/>
              <w:left w:val="single" w:sz="8" w:space="0" w:color="5B9BD5"/>
              <w:bottom w:val="single" w:sz="8" w:space="0" w:color="5B9BD5"/>
              <w:right w:val="single" w:sz="8" w:space="0" w:color="5B9BD5"/>
            </w:tcBorders>
            <w:shd w:val="clear" w:color="auto" w:fill="auto"/>
            <w:tcMar>
              <w:top w:w="15" w:type="dxa"/>
              <w:left w:w="82" w:type="dxa"/>
              <w:bottom w:w="0" w:type="dxa"/>
              <w:right w:w="82" w:type="dxa"/>
            </w:tcMar>
            <w:vAlign w:val="center"/>
            <w:hideMark/>
          </w:tcPr>
          <w:p w14:paraId="11A7CBEB" w14:textId="77777777" w:rsidR="00A80B47" w:rsidRPr="00826A2C" w:rsidRDefault="00A80B47" w:rsidP="00F62D2D">
            <w:pPr>
              <w:pStyle w:val="af4"/>
              <w:spacing w:after="0" w:line="240" w:lineRule="auto"/>
              <w:ind w:leftChars="0" w:left="0"/>
              <w:jc w:val="center"/>
              <w:rPr>
                <w:rFonts w:ascii="仿宋" w:eastAsia="仿宋" w:hAnsi="仿宋"/>
              </w:rPr>
            </w:pPr>
            <w:r w:rsidRPr="00826A2C">
              <w:rPr>
                <w:rFonts w:ascii="仿宋" w:eastAsia="仿宋" w:hAnsi="仿宋"/>
              </w:rPr>
              <w:t>EG1</w:t>
            </w:r>
          </w:p>
        </w:tc>
        <w:tc>
          <w:tcPr>
            <w:tcW w:w="1293" w:type="pct"/>
            <w:tcBorders>
              <w:top w:val="single" w:sz="8" w:space="0" w:color="5B9BD5"/>
              <w:left w:val="single" w:sz="8" w:space="0" w:color="5B9BD5"/>
              <w:bottom w:val="single" w:sz="8" w:space="0" w:color="5B9BD5"/>
              <w:right w:val="single" w:sz="8" w:space="0" w:color="5B9BD5"/>
            </w:tcBorders>
            <w:shd w:val="clear" w:color="auto" w:fill="auto"/>
            <w:tcMar>
              <w:top w:w="15" w:type="dxa"/>
              <w:left w:w="82" w:type="dxa"/>
              <w:bottom w:w="0" w:type="dxa"/>
              <w:right w:w="82" w:type="dxa"/>
            </w:tcMar>
            <w:vAlign w:val="center"/>
            <w:hideMark/>
          </w:tcPr>
          <w:p w14:paraId="6D46C20C" w14:textId="77777777" w:rsidR="00A80B47" w:rsidRPr="00826A2C" w:rsidRDefault="00A80B47" w:rsidP="00F62D2D">
            <w:pPr>
              <w:pStyle w:val="af4"/>
              <w:spacing w:after="0" w:line="240" w:lineRule="auto"/>
              <w:ind w:leftChars="0" w:left="0"/>
              <w:jc w:val="center"/>
              <w:rPr>
                <w:rFonts w:ascii="仿宋" w:eastAsia="仿宋" w:hAnsi="仿宋"/>
              </w:rPr>
            </w:pPr>
            <w:r w:rsidRPr="00826A2C">
              <w:rPr>
                <w:rFonts w:ascii="仿宋" w:eastAsia="仿宋" w:hAnsi="仿宋" w:hint="eastAsia"/>
              </w:rPr>
              <w:t>风景游憩绿地</w:t>
            </w:r>
          </w:p>
        </w:tc>
        <w:tc>
          <w:tcPr>
            <w:tcW w:w="2440" w:type="pct"/>
            <w:tcBorders>
              <w:top w:val="single" w:sz="8" w:space="0" w:color="5B9BD5"/>
              <w:left w:val="single" w:sz="8" w:space="0" w:color="5B9BD5"/>
              <w:bottom w:val="single" w:sz="8" w:space="0" w:color="5B9BD5"/>
              <w:right w:val="single" w:sz="8" w:space="0" w:color="5B9BD5"/>
            </w:tcBorders>
            <w:shd w:val="clear" w:color="auto" w:fill="auto"/>
            <w:tcMar>
              <w:top w:w="15" w:type="dxa"/>
              <w:left w:w="82" w:type="dxa"/>
              <w:bottom w:w="0" w:type="dxa"/>
              <w:right w:w="82" w:type="dxa"/>
            </w:tcMar>
            <w:vAlign w:val="center"/>
            <w:hideMark/>
          </w:tcPr>
          <w:p w14:paraId="4E8F31BB" w14:textId="24F785D8" w:rsidR="00A80B47" w:rsidRPr="00826A2C" w:rsidRDefault="00A80B47" w:rsidP="00F62D2D">
            <w:pPr>
              <w:pStyle w:val="af4"/>
              <w:spacing w:after="0" w:line="240" w:lineRule="auto"/>
              <w:ind w:leftChars="0" w:left="0"/>
              <w:jc w:val="center"/>
              <w:rPr>
                <w:rFonts w:ascii="仿宋" w:eastAsia="仿宋" w:hAnsi="仿宋"/>
              </w:rPr>
            </w:pPr>
            <w:r w:rsidRPr="00826A2C">
              <w:rPr>
                <w:rFonts w:ascii="仿宋" w:eastAsia="仿宋" w:hAnsi="仿宋" w:hint="eastAsia"/>
              </w:rPr>
              <w:t>包括风景名胜区、森林公园、湿地公园、郊野公园、其他风景游憩绿地</w:t>
            </w:r>
          </w:p>
        </w:tc>
      </w:tr>
      <w:tr w:rsidR="00826A2C" w:rsidRPr="00826A2C" w14:paraId="4BFAB37F" w14:textId="77777777" w:rsidTr="00F62D2D">
        <w:trPr>
          <w:trHeight w:val="20"/>
          <w:jc w:val="center"/>
        </w:trPr>
        <w:tc>
          <w:tcPr>
            <w:tcW w:w="501" w:type="pct"/>
            <w:vMerge/>
            <w:tcBorders>
              <w:top w:val="single" w:sz="8" w:space="0" w:color="5B9BD5"/>
              <w:left w:val="single" w:sz="8" w:space="0" w:color="5B9BD5"/>
              <w:bottom w:val="single" w:sz="8" w:space="0" w:color="5B9BD5"/>
              <w:right w:val="single" w:sz="8" w:space="0" w:color="5B9BD5"/>
            </w:tcBorders>
            <w:vAlign w:val="center"/>
            <w:hideMark/>
          </w:tcPr>
          <w:p w14:paraId="00672635" w14:textId="77777777" w:rsidR="00A80B47" w:rsidRPr="00826A2C" w:rsidRDefault="00A80B47" w:rsidP="00F62D2D">
            <w:pPr>
              <w:pStyle w:val="af4"/>
              <w:spacing w:after="0" w:line="240" w:lineRule="auto"/>
              <w:ind w:leftChars="0" w:left="0"/>
              <w:jc w:val="center"/>
              <w:rPr>
                <w:rFonts w:ascii="仿宋" w:eastAsia="仿宋" w:hAnsi="仿宋"/>
              </w:rPr>
            </w:pPr>
          </w:p>
        </w:tc>
        <w:tc>
          <w:tcPr>
            <w:tcW w:w="766" w:type="pct"/>
            <w:tcBorders>
              <w:top w:val="single" w:sz="8" w:space="0" w:color="5B9BD5"/>
              <w:left w:val="single" w:sz="8" w:space="0" w:color="5B9BD5"/>
              <w:bottom w:val="single" w:sz="8" w:space="0" w:color="5B9BD5"/>
              <w:right w:val="single" w:sz="8" w:space="0" w:color="5B9BD5"/>
            </w:tcBorders>
            <w:shd w:val="clear" w:color="auto" w:fill="EAEFF7"/>
            <w:tcMar>
              <w:top w:w="15" w:type="dxa"/>
              <w:left w:w="82" w:type="dxa"/>
              <w:bottom w:w="0" w:type="dxa"/>
              <w:right w:w="82" w:type="dxa"/>
            </w:tcMar>
            <w:vAlign w:val="center"/>
            <w:hideMark/>
          </w:tcPr>
          <w:p w14:paraId="10316DF0" w14:textId="77777777" w:rsidR="00A80B47" w:rsidRPr="00826A2C" w:rsidRDefault="00A80B47" w:rsidP="00F62D2D">
            <w:pPr>
              <w:pStyle w:val="af4"/>
              <w:spacing w:after="0" w:line="240" w:lineRule="auto"/>
              <w:ind w:leftChars="0" w:left="0"/>
              <w:jc w:val="center"/>
              <w:rPr>
                <w:rFonts w:ascii="仿宋" w:eastAsia="仿宋" w:hAnsi="仿宋"/>
              </w:rPr>
            </w:pPr>
            <w:r w:rsidRPr="00826A2C">
              <w:rPr>
                <w:rFonts w:ascii="仿宋" w:eastAsia="仿宋" w:hAnsi="仿宋"/>
              </w:rPr>
              <w:t>EG2</w:t>
            </w:r>
          </w:p>
        </w:tc>
        <w:tc>
          <w:tcPr>
            <w:tcW w:w="1293" w:type="pct"/>
            <w:tcBorders>
              <w:top w:val="single" w:sz="8" w:space="0" w:color="5B9BD5"/>
              <w:left w:val="single" w:sz="8" w:space="0" w:color="5B9BD5"/>
              <w:bottom w:val="single" w:sz="8" w:space="0" w:color="5B9BD5"/>
              <w:right w:val="single" w:sz="8" w:space="0" w:color="5B9BD5"/>
            </w:tcBorders>
            <w:shd w:val="clear" w:color="auto" w:fill="EAEFF7"/>
            <w:tcMar>
              <w:top w:w="15" w:type="dxa"/>
              <w:left w:w="82" w:type="dxa"/>
              <w:bottom w:w="0" w:type="dxa"/>
              <w:right w:w="82" w:type="dxa"/>
            </w:tcMar>
            <w:vAlign w:val="center"/>
            <w:hideMark/>
          </w:tcPr>
          <w:p w14:paraId="535349E2" w14:textId="77777777" w:rsidR="00A80B47" w:rsidRPr="00826A2C" w:rsidRDefault="00A80B47" w:rsidP="00F62D2D">
            <w:pPr>
              <w:pStyle w:val="af4"/>
              <w:spacing w:after="0" w:line="240" w:lineRule="auto"/>
              <w:ind w:leftChars="0" w:left="0"/>
              <w:jc w:val="center"/>
              <w:rPr>
                <w:rFonts w:ascii="仿宋" w:eastAsia="仿宋" w:hAnsi="仿宋"/>
              </w:rPr>
            </w:pPr>
            <w:r w:rsidRPr="00826A2C">
              <w:rPr>
                <w:rFonts w:ascii="仿宋" w:eastAsia="仿宋" w:hAnsi="仿宋" w:hint="eastAsia"/>
              </w:rPr>
              <w:t>生态保育绿地</w:t>
            </w:r>
          </w:p>
        </w:tc>
        <w:tc>
          <w:tcPr>
            <w:tcW w:w="2440" w:type="pct"/>
            <w:tcBorders>
              <w:top w:val="single" w:sz="8" w:space="0" w:color="5B9BD5"/>
              <w:left w:val="single" w:sz="8" w:space="0" w:color="5B9BD5"/>
              <w:bottom w:val="single" w:sz="8" w:space="0" w:color="5B9BD5"/>
              <w:right w:val="single" w:sz="8" w:space="0" w:color="5B9BD5"/>
            </w:tcBorders>
            <w:shd w:val="clear" w:color="auto" w:fill="EAEFF7"/>
            <w:tcMar>
              <w:top w:w="15" w:type="dxa"/>
              <w:left w:w="82" w:type="dxa"/>
              <w:bottom w:w="0" w:type="dxa"/>
              <w:right w:w="82" w:type="dxa"/>
            </w:tcMar>
            <w:vAlign w:val="center"/>
            <w:hideMark/>
          </w:tcPr>
          <w:p w14:paraId="3D464610" w14:textId="77777777" w:rsidR="00A80B47" w:rsidRPr="00826A2C" w:rsidRDefault="00A80B47" w:rsidP="00F62D2D">
            <w:pPr>
              <w:pStyle w:val="af4"/>
              <w:spacing w:after="0" w:line="240" w:lineRule="auto"/>
              <w:ind w:leftChars="0" w:left="0"/>
              <w:jc w:val="center"/>
              <w:rPr>
                <w:rFonts w:ascii="仿宋" w:eastAsia="仿宋" w:hAnsi="仿宋"/>
              </w:rPr>
            </w:pPr>
          </w:p>
        </w:tc>
      </w:tr>
      <w:tr w:rsidR="00826A2C" w:rsidRPr="00826A2C" w14:paraId="37E90913" w14:textId="77777777" w:rsidTr="00F62D2D">
        <w:trPr>
          <w:trHeight w:val="20"/>
          <w:jc w:val="center"/>
        </w:trPr>
        <w:tc>
          <w:tcPr>
            <w:tcW w:w="501" w:type="pct"/>
            <w:vMerge/>
            <w:tcBorders>
              <w:top w:val="single" w:sz="8" w:space="0" w:color="5B9BD5"/>
              <w:left w:val="single" w:sz="8" w:space="0" w:color="5B9BD5"/>
              <w:bottom w:val="single" w:sz="8" w:space="0" w:color="5B9BD5"/>
              <w:right w:val="single" w:sz="8" w:space="0" w:color="5B9BD5"/>
            </w:tcBorders>
            <w:vAlign w:val="center"/>
            <w:hideMark/>
          </w:tcPr>
          <w:p w14:paraId="6BC4E740" w14:textId="77777777" w:rsidR="00A80B47" w:rsidRPr="00826A2C" w:rsidRDefault="00A80B47" w:rsidP="00F62D2D">
            <w:pPr>
              <w:pStyle w:val="af4"/>
              <w:spacing w:after="0" w:line="240" w:lineRule="auto"/>
              <w:ind w:leftChars="0" w:left="0"/>
              <w:jc w:val="center"/>
              <w:rPr>
                <w:rFonts w:ascii="仿宋" w:eastAsia="仿宋" w:hAnsi="仿宋"/>
              </w:rPr>
            </w:pPr>
          </w:p>
        </w:tc>
        <w:tc>
          <w:tcPr>
            <w:tcW w:w="766" w:type="pct"/>
            <w:tcBorders>
              <w:top w:val="single" w:sz="8" w:space="0" w:color="5B9BD5"/>
              <w:left w:val="single" w:sz="8" w:space="0" w:color="5B9BD5"/>
              <w:bottom w:val="single" w:sz="8" w:space="0" w:color="5B9BD5"/>
              <w:right w:val="single" w:sz="8" w:space="0" w:color="5B9BD5"/>
            </w:tcBorders>
            <w:shd w:val="clear" w:color="auto" w:fill="auto"/>
            <w:tcMar>
              <w:top w:w="15" w:type="dxa"/>
              <w:left w:w="82" w:type="dxa"/>
              <w:bottom w:w="0" w:type="dxa"/>
              <w:right w:w="82" w:type="dxa"/>
            </w:tcMar>
            <w:vAlign w:val="center"/>
            <w:hideMark/>
          </w:tcPr>
          <w:p w14:paraId="7BE87377" w14:textId="77777777" w:rsidR="00A80B47" w:rsidRPr="00826A2C" w:rsidRDefault="00A80B47" w:rsidP="00F62D2D">
            <w:pPr>
              <w:pStyle w:val="af4"/>
              <w:spacing w:after="0" w:line="240" w:lineRule="auto"/>
              <w:ind w:leftChars="0" w:left="0"/>
              <w:jc w:val="center"/>
              <w:rPr>
                <w:rFonts w:ascii="仿宋" w:eastAsia="仿宋" w:hAnsi="仿宋"/>
              </w:rPr>
            </w:pPr>
            <w:r w:rsidRPr="00826A2C">
              <w:rPr>
                <w:rFonts w:ascii="仿宋" w:eastAsia="仿宋" w:hAnsi="仿宋"/>
              </w:rPr>
              <w:t>EG3</w:t>
            </w:r>
          </w:p>
        </w:tc>
        <w:tc>
          <w:tcPr>
            <w:tcW w:w="1293" w:type="pct"/>
            <w:tcBorders>
              <w:top w:val="single" w:sz="8" w:space="0" w:color="5B9BD5"/>
              <w:left w:val="single" w:sz="8" w:space="0" w:color="5B9BD5"/>
              <w:bottom w:val="single" w:sz="8" w:space="0" w:color="5B9BD5"/>
              <w:right w:val="single" w:sz="8" w:space="0" w:color="5B9BD5"/>
            </w:tcBorders>
            <w:shd w:val="clear" w:color="auto" w:fill="auto"/>
            <w:tcMar>
              <w:top w:w="15" w:type="dxa"/>
              <w:left w:w="82" w:type="dxa"/>
              <w:bottom w:w="0" w:type="dxa"/>
              <w:right w:w="82" w:type="dxa"/>
            </w:tcMar>
            <w:vAlign w:val="center"/>
            <w:hideMark/>
          </w:tcPr>
          <w:p w14:paraId="1FA287C1" w14:textId="77777777" w:rsidR="00A80B47" w:rsidRPr="00826A2C" w:rsidRDefault="00A80B47" w:rsidP="00F62D2D">
            <w:pPr>
              <w:pStyle w:val="af4"/>
              <w:spacing w:after="0" w:line="240" w:lineRule="auto"/>
              <w:ind w:leftChars="0" w:left="0"/>
              <w:jc w:val="center"/>
              <w:rPr>
                <w:rFonts w:ascii="仿宋" w:eastAsia="仿宋" w:hAnsi="仿宋"/>
              </w:rPr>
            </w:pPr>
            <w:r w:rsidRPr="00826A2C">
              <w:rPr>
                <w:rFonts w:ascii="仿宋" w:eastAsia="仿宋" w:hAnsi="仿宋" w:hint="eastAsia"/>
              </w:rPr>
              <w:t>区域设施防护绿地</w:t>
            </w:r>
          </w:p>
        </w:tc>
        <w:tc>
          <w:tcPr>
            <w:tcW w:w="2440" w:type="pct"/>
            <w:tcBorders>
              <w:top w:val="single" w:sz="8" w:space="0" w:color="5B9BD5"/>
              <w:left w:val="single" w:sz="8" w:space="0" w:color="5B9BD5"/>
              <w:bottom w:val="single" w:sz="8" w:space="0" w:color="5B9BD5"/>
              <w:right w:val="single" w:sz="8" w:space="0" w:color="5B9BD5"/>
            </w:tcBorders>
            <w:shd w:val="clear" w:color="auto" w:fill="auto"/>
            <w:tcMar>
              <w:top w:w="15" w:type="dxa"/>
              <w:left w:w="82" w:type="dxa"/>
              <w:bottom w:w="0" w:type="dxa"/>
              <w:right w:w="82" w:type="dxa"/>
            </w:tcMar>
            <w:vAlign w:val="center"/>
            <w:hideMark/>
          </w:tcPr>
          <w:p w14:paraId="393EC3C4" w14:textId="77777777" w:rsidR="00A80B47" w:rsidRPr="00826A2C" w:rsidRDefault="00A80B47" w:rsidP="00F62D2D">
            <w:pPr>
              <w:pStyle w:val="af4"/>
              <w:spacing w:after="0" w:line="240" w:lineRule="auto"/>
              <w:ind w:leftChars="0" w:left="0"/>
              <w:jc w:val="center"/>
              <w:rPr>
                <w:rFonts w:ascii="仿宋" w:eastAsia="仿宋" w:hAnsi="仿宋"/>
              </w:rPr>
            </w:pPr>
          </w:p>
        </w:tc>
      </w:tr>
      <w:tr w:rsidR="00826A2C" w:rsidRPr="00826A2C" w14:paraId="30AE0D30" w14:textId="77777777" w:rsidTr="00F62D2D">
        <w:trPr>
          <w:trHeight w:val="20"/>
          <w:jc w:val="center"/>
        </w:trPr>
        <w:tc>
          <w:tcPr>
            <w:tcW w:w="501" w:type="pct"/>
            <w:vMerge/>
            <w:tcBorders>
              <w:top w:val="single" w:sz="8" w:space="0" w:color="5B9BD5"/>
              <w:left w:val="single" w:sz="8" w:space="0" w:color="5B9BD5"/>
              <w:bottom w:val="single" w:sz="8" w:space="0" w:color="5B9BD5"/>
              <w:right w:val="single" w:sz="8" w:space="0" w:color="5B9BD5"/>
            </w:tcBorders>
            <w:vAlign w:val="center"/>
            <w:hideMark/>
          </w:tcPr>
          <w:p w14:paraId="020DF3B3" w14:textId="77777777" w:rsidR="00A80B47" w:rsidRPr="00826A2C" w:rsidRDefault="00A80B47" w:rsidP="00F62D2D">
            <w:pPr>
              <w:pStyle w:val="af4"/>
              <w:spacing w:after="0" w:line="240" w:lineRule="auto"/>
              <w:ind w:leftChars="0" w:left="0"/>
              <w:jc w:val="center"/>
              <w:rPr>
                <w:rFonts w:ascii="仿宋" w:eastAsia="仿宋" w:hAnsi="仿宋"/>
              </w:rPr>
            </w:pPr>
          </w:p>
        </w:tc>
        <w:tc>
          <w:tcPr>
            <w:tcW w:w="766" w:type="pct"/>
            <w:tcBorders>
              <w:top w:val="single" w:sz="8" w:space="0" w:color="5B9BD5"/>
              <w:left w:val="single" w:sz="8" w:space="0" w:color="5B9BD5"/>
              <w:bottom w:val="single" w:sz="8" w:space="0" w:color="5B9BD5"/>
              <w:right w:val="single" w:sz="8" w:space="0" w:color="5B9BD5"/>
            </w:tcBorders>
            <w:shd w:val="clear" w:color="auto" w:fill="EAEFF7"/>
            <w:tcMar>
              <w:top w:w="15" w:type="dxa"/>
              <w:left w:w="82" w:type="dxa"/>
              <w:bottom w:w="0" w:type="dxa"/>
              <w:right w:w="82" w:type="dxa"/>
            </w:tcMar>
            <w:vAlign w:val="center"/>
            <w:hideMark/>
          </w:tcPr>
          <w:p w14:paraId="6C4ACCAD" w14:textId="77777777" w:rsidR="00A80B47" w:rsidRPr="00826A2C" w:rsidRDefault="00A80B47" w:rsidP="00F62D2D">
            <w:pPr>
              <w:pStyle w:val="af4"/>
              <w:spacing w:after="0" w:line="240" w:lineRule="auto"/>
              <w:ind w:leftChars="0" w:left="0"/>
              <w:jc w:val="center"/>
              <w:rPr>
                <w:rFonts w:ascii="仿宋" w:eastAsia="仿宋" w:hAnsi="仿宋"/>
              </w:rPr>
            </w:pPr>
            <w:r w:rsidRPr="00826A2C">
              <w:rPr>
                <w:rFonts w:ascii="仿宋" w:eastAsia="仿宋" w:hAnsi="仿宋"/>
              </w:rPr>
              <w:t>EG4</w:t>
            </w:r>
          </w:p>
        </w:tc>
        <w:tc>
          <w:tcPr>
            <w:tcW w:w="1293" w:type="pct"/>
            <w:tcBorders>
              <w:top w:val="single" w:sz="8" w:space="0" w:color="5B9BD5"/>
              <w:left w:val="single" w:sz="8" w:space="0" w:color="5B9BD5"/>
              <w:bottom w:val="single" w:sz="8" w:space="0" w:color="5B9BD5"/>
              <w:right w:val="single" w:sz="8" w:space="0" w:color="5B9BD5"/>
            </w:tcBorders>
            <w:shd w:val="clear" w:color="auto" w:fill="EAEFF7"/>
            <w:tcMar>
              <w:top w:w="15" w:type="dxa"/>
              <w:left w:w="82" w:type="dxa"/>
              <w:bottom w:w="0" w:type="dxa"/>
              <w:right w:w="82" w:type="dxa"/>
            </w:tcMar>
            <w:vAlign w:val="center"/>
            <w:hideMark/>
          </w:tcPr>
          <w:p w14:paraId="0C9B00F7" w14:textId="77777777" w:rsidR="00A80B47" w:rsidRPr="00826A2C" w:rsidRDefault="00A80B47" w:rsidP="00F62D2D">
            <w:pPr>
              <w:pStyle w:val="af4"/>
              <w:spacing w:after="0" w:line="240" w:lineRule="auto"/>
              <w:ind w:leftChars="0" w:left="0"/>
              <w:jc w:val="center"/>
              <w:rPr>
                <w:rFonts w:ascii="仿宋" w:eastAsia="仿宋" w:hAnsi="仿宋"/>
              </w:rPr>
            </w:pPr>
            <w:r w:rsidRPr="00826A2C">
              <w:rPr>
                <w:rFonts w:ascii="仿宋" w:eastAsia="仿宋" w:hAnsi="仿宋" w:hint="eastAsia"/>
              </w:rPr>
              <w:t>生产绿地</w:t>
            </w:r>
          </w:p>
        </w:tc>
        <w:tc>
          <w:tcPr>
            <w:tcW w:w="2440" w:type="pct"/>
            <w:tcBorders>
              <w:top w:val="single" w:sz="8" w:space="0" w:color="5B9BD5"/>
              <w:left w:val="single" w:sz="8" w:space="0" w:color="5B9BD5"/>
              <w:bottom w:val="single" w:sz="8" w:space="0" w:color="5B9BD5"/>
              <w:right w:val="single" w:sz="8" w:space="0" w:color="5B9BD5"/>
            </w:tcBorders>
            <w:shd w:val="clear" w:color="auto" w:fill="EAEFF7"/>
            <w:tcMar>
              <w:top w:w="15" w:type="dxa"/>
              <w:left w:w="82" w:type="dxa"/>
              <w:bottom w:w="0" w:type="dxa"/>
              <w:right w:w="82" w:type="dxa"/>
            </w:tcMar>
            <w:vAlign w:val="center"/>
            <w:hideMark/>
          </w:tcPr>
          <w:p w14:paraId="3180AE5E" w14:textId="77777777" w:rsidR="00A80B47" w:rsidRPr="00826A2C" w:rsidRDefault="00A80B47" w:rsidP="00F62D2D">
            <w:pPr>
              <w:pStyle w:val="af4"/>
              <w:spacing w:after="0" w:line="240" w:lineRule="auto"/>
              <w:ind w:leftChars="0" w:left="0"/>
              <w:jc w:val="center"/>
              <w:rPr>
                <w:rFonts w:ascii="仿宋" w:eastAsia="仿宋" w:hAnsi="仿宋"/>
              </w:rPr>
            </w:pPr>
          </w:p>
        </w:tc>
      </w:tr>
    </w:tbl>
    <w:p w14:paraId="17F8EE71" w14:textId="5219929A" w:rsidR="00667077" w:rsidRPr="00826A2C" w:rsidRDefault="00467B62" w:rsidP="00467B62">
      <w:pPr>
        <w:pStyle w:val="2"/>
      </w:pPr>
      <w:bookmarkStart w:id="16" w:name="_Toc157585720"/>
      <w:r>
        <w:rPr>
          <w:rFonts w:hint="eastAsia"/>
        </w:rPr>
        <w:t>（四）</w:t>
      </w:r>
      <w:r w:rsidRPr="00826A2C">
        <w:rPr>
          <w:rFonts w:hint="eastAsia"/>
        </w:rPr>
        <w:t>划定内容</w:t>
      </w:r>
      <w:bookmarkEnd w:id="16"/>
    </w:p>
    <w:p w14:paraId="5E093F66" w14:textId="6AB31608" w:rsidR="00ED0F38" w:rsidRPr="00826A2C" w:rsidRDefault="00ED0F38" w:rsidP="00ED0F38">
      <w:r w:rsidRPr="00826A2C">
        <w:t>现状绿线</w:t>
      </w:r>
      <w:r w:rsidR="00E266CE" w:rsidRPr="00826A2C">
        <w:rPr>
          <w:rFonts w:hint="eastAsia"/>
        </w:rPr>
        <w:t>需</w:t>
      </w:r>
      <w:r w:rsidRPr="00826A2C">
        <w:t>明确绿地类型、位置、规模、坐标、范围，并根据实际标注管理权属和用地权属。规划绿线</w:t>
      </w:r>
      <w:r w:rsidR="00E266CE" w:rsidRPr="00826A2C">
        <w:rPr>
          <w:rFonts w:hint="eastAsia"/>
        </w:rPr>
        <w:t>需</w:t>
      </w:r>
      <w:r w:rsidRPr="00826A2C">
        <w:t>明确绿地类型、位置、</w:t>
      </w:r>
      <w:r w:rsidRPr="00826A2C">
        <w:lastRenderedPageBreak/>
        <w:t>规模、坐标、范围控制线，结合土地调查标注土地使用现状和管理权属。</w:t>
      </w:r>
      <w:r w:rsidRPr="00826A2C">
        <w:rPr>
          <w:rFonts w:hint="eastAsia"/>
        </w:rPr>
        <w:t>生态控制线</w:t>
      </w:r>
      <w:r w:rsidR="00E266CE" w:rsidRPr="00826A2C">
        <w:rPr>
          <w:rFonts w:hint="eastAsia"/>
        </w:rPr>
        <w:t>需</w:t>
      </w:r>
      <w:r w:rsidRPr="00826A2C">
        <w:rPr>
          <w:rFonts w:hint="eastAsia"/>
        </w:rPr>
        <w:t>标注用地类型、功能、位置、规模、范围控制线。</w:t>
      </w:r>
    </w:p>
    <w:p w14:paraId="617A8842" w14:textId="0A346530" w:rsidR="00A80B47" w:rsidRPr="00826A2C" w:rsidRDefault="00467B62" w:rsidP="00467B62">
      <w:pPr>
        <w:pStyle w:val="2"/>
      </w:pPr>
      <w:bookmarkStart w:id="17" w:name="_Toc157585721"/>
      <w:r>
        <w:rPr>
          <w:rFonts w:hint="eastAsia"/>
        </w:rPr>
        <w:t>（五）</w:t>
      </w:r>
      <w:r w:rsidR="00A80B47" w:rsidRPr="00826A2C">
        <w:rPr>
          <w:rFonts w:hint="eastAsia"/>
        </w:rPr>
        <w:t>管控方式</w:t>
      </w:r>
      <w:bookmarkEnd w:id="17"/>
    </w:p>
    <w:p w14:paraId="34CA407E" w14:textId="77777777" w:rsidR="00A80B47" w:rsidRPr="00826A2C" w:rsidRDefault="00A80B47" w:rsidP="00A80B47">
      <w:pPr>
        <w:rPr>
          <w:rFonts w:ascii="宋体" w:hAnsi="宋体"/>
        </w:rPr>
      </w:pPr>
      <w:r w:rsidRPr="00826A2C">
        <w:rPr>
          <w:rFonts w:ascii="宋体" w:hAnsi="宋体" w:hint="eastAsia"/>
        </w:rPr>
        <w:t>坚持刚性与弹性相结合，按照定性、定位、定量、定界“四定”要求划定城市绿线，采用控制线管控、指标管控、条文管控、布局管控等多元管控方式，满足城市绿线管制监督的相关要求。</w:t>
      </w:r>
    </w:p>
    <w:p w14:paraId="4E18E68F" w14:textId="77777777" w:rsidR="00A80B47" w:rsidRPr="00826A2C" w:rsidRDefault="00A80B47" w:rsidP="00A80B47">
      <w:pPr>
        <w:rPr>
          <w:rFonts w:ascii="宋体" w:hAnsi="宋体"/>
        </w:rPr>
      </w:pPr>
      <w:r w:rsidRPr="00826A2C">
        <w:rPr>
          <w:rFonts w:ascii="宋体" w:hAnsi="宋体" w:hint="eastAsia"/>
        </w:rPr>
        <w:t>定性指依据《城市绿地分类标准》（</w:t>
      </w:r>
      <w:r w:rsidRPr="00826A2C">
        <w:rPr>
          <w:rFonts w:ascii="宋体" w:hAnsi="宋体" w:hint="eastAsia"/>
        </w:rPr>
        <w:t>CJJT85-2017</w:t>
      </w:r>
      <w:r w:rsidRPr="00826A2C">
        <w:rPr>
          <w:rFonts w:ascii="宋体" w:hAnsi="宋体" w:hint="eastAsia"/>
        </w:rPr>
        <w:t>）明确绿地类型；定位指明确绿地的位置，为城市绿地管理提供可视化的直观依据；定量指明确绿地规模；定界指明确绿地的坐标及四至边界，确定绿地范围。其中：定性与定量为强制性指标；定位与定界为引导性指标，允许在绿线管理单元内邻近调整。</w:t>
      </w:r>
    </w:p>
    <w:p w14:paraId="0BDF8A91" w14:textId="77777777" w:rsidR="00467B62" w:rsidRDefault="00A80B47" w:rsidP="00467B62">
      <w:pPr>
        <w:rPr>
          <w:rFonts w:ascii="宋体" w:hAnsi="宋体"/>
        </w:rPr>
      </w:pPr>
      <w:r w:rsidRPr="00826A2C">
        <w:rPr>
          <w:rFonts w:ascii="宋体" w:hAnsi="宋体" w:hint="eastAsia"/>
        </w:rPr>
        <w:t>控制线管控指划定单元内的现状绿线、规划绿线、生态控制线；指标管控明确单元内各类绿地的规模，单元内绿地总规模、生态控制区总规模。其中单元内的绿地总规模、生态控制区总规模为强制性指标；条文管控结合《城市绿地设计规范》《公园设计规范》等提出城市绿线、生态控制线的管控要求；布局管控指绿线管理单元内的结构性绿线、生态控制线的总体格局不能有明显调整，确保布局总体稳定。</w:t>
      </w:r>
      <w:bookmarkStart w:id="18" w:name="_Toc157585728"/>
      <w:bookmarkStart w:id="19" w:name="_Toc103695092"/>
    </w:p>
    <w:p w14:paraId="417855A5" w14:textId="2C531F2B" w:rsidR="00E266CE" w:rsidRPr="00826A2C" w:rsidRDefault="00467B62" w:rsidP="00467B62">
      <w:pPr>
        <w:pStyle w:val="1"/>
      </w:pPr>
      <w:r>
        <w:rPr>
          <w:rFonts w:hint="eastAsia"/>
        </w:rPr>
        <w:t>三、</w:t>
      </w:r>
      <w:r w:rsidRPr="00826A2C">
        <w:rPr>
          <w:rFonts w:hint="eastAsia"/>
        </w:rPr>
        <w:t>城市绿线划定与管控</w:t>
      </w:r>
      <w:bookmarkEnd w:id="18"/>
    </w:p>
    <w:p w14:paraId="01F9E13A" w14:textId="2A79A65F" w:rsidR="00915BFA" w:rsidRPr="00826A2C" w:rsidRDefault="00467B62" w:rsidP="00467B62">
      <w:pPr>
        <w:pStyle w:val="2"/>
      </w:pPr>
      <w:bookmarkStart w:id="20" w:name="_Toc157585729"/>
      <w:r>
        <w:rPr>
          <w:rFonts w:hint="eastAsia"/>
        </w:rPr>
        <w:t>（一）</w:t>
      </w:r>
      <w:r w:rsidRPr="00826A2C">
        <w:rPr>
          <w:rFonts w:hint="eastAsia"/>
        </w:rPr>
        <w:t>现状绿线</w:t>
      </w:r>
      <w:bookmarkEnd w:id="20"/>
    </w:p>
    <w:p w14:paraId="4B271EBD" w14:textId="6947C296" w:rsidR="00676443" w:rsidRPr="00AE47B8" w:rsidRDefault="00A13712" w:rsidP="00676443">
      <w:pPr>
        <w:pStyle w:val="3"/>
        <w:rPr>
          <w:color w:val="000000" w:themeColor="text1"/>
        </w:rPr>
      </w:pPr>
      <w:r w:rsidRPr="00AE47B8">
        <w:rPr>
          <w:rFonts w:hint="eastAsia"/>
          <w:color w:val="000000" w:themeColor="text1"/>
        </w:rPr>
        <w:t>1、</w:t>
      </w:r>
      <w:r w:rsidR="00676443" w:rsidRPr="00AE47B8">
        <w:rPr>
          <w:rFonts w:hint="eastAsia"/>
          <w:color w:val="000000" w:themeColor="text1"/>
        </w:rPr>
        <w:t>现状绿线划定</w:t>
      </w:r>
    </w:p>
    <w:p w14:paraId="1220F129" w14:textId="6FD3094B" w:rsidR="0052106C" w:rsidRPr="00A269B6" w:rsidRDefault="0052106C" w:rsidP="0052106C">
      <w:pPr>
        <w:jc w:val="both"/>
        <w:rPr>
          <w:color w:val="FF0000"/>
        </w:rPr>
      </w:pPr>
      <w:r w:rsidRPr="00AE47B8">
        <w:rPr>
          <w:rFonts w:hint="eastAsia"/>
          <w:color w:val="000000" w:themeColor="text1"/>
        </w:rPr>
        <w:t>现状建成区范围内划定现状绿线</w:t>
      </w:r>
      <w:r w:rsidR="00957D3A" w:rsidRPr="00AE47B8">
        <w:rPr>
          <w:rFonts w:hint="eastAsia"/>
          <w:color w:val="000000" w:themeColor="text1"/>
        </w:rPr>
        <w:t>1958</w:t>
      </w:r>
      <w:r w:rsidRPr="00AE47B8">
        <w:rPr>
          <w:rFonts w:hint="eastAsia"/>
          <w:color w:val="000000" w:themeColor="text1"/>
        </w:rPr>
        <w:t>个，绿线面积</w:t>
      </w:r>
      <w:r w:rsidR="00957D3A" w:rsidRPr="00AE47B8">
        <w:rPr>
          <w:rFonts w:hint="eastAsia"/>
          <w:color w:val="000000" w:themeColor="text1"/>
        </w:rPr>
        <w:t>2658.3</w:t>
      </w:r>
      <w:r w:rsidRPr="00AE47B8">
        <w:rPr>
          <w:rFonts w:hint="eastAsia"/>
          <w:color w:val="000000" w:themeColor="text1"/>
        </w:rPr>
        <w:t>公</w:t>
      </w:r>
      <w:r w:rsidRPr="00AE47B8">
        <w:rPr>
          <w:rFonts w:hint="eastAsia"/>
          <w:color w:val="000000" w:themeColor="text1"/>
        </w:rPr>
        <w:lastRenderedPageBreak/>
        <w:t>顷。</w:t>
      </w:r>
      <w:r w:rsidR="00F824C8" w:rsidRPr="00AE47B8">
        <w:rPr>
          <w:rFonts w:hint="eastAsia"/>
          <w:color w:val="000000" w:themeColor="text1"/>
        </w:rPr>
        <w:t>其中</w:t>
      </w:r>
      <w:r w:rsidRPr="00AE47B8">
        <w:rPr>
          <w:rFonts w:hint="eastAsia"/>
          <w:color w:val="000000" w:themeColor="text1"/>
        </w:rPr>
        <w:t>综合公园</w:t>
      </w:r>
      <w:r w:rsidR="00957D3A" w:rsidRPr="00AE47B8">
        <w:rPr>
          <w:rFonts w:hint="eastAsia"/>
          <w:color w:val="000000" w:themeColor="text1"/>
        </w:rPr>
        <w:t>31</w:t>
      </w:r>
      <w:r w:rsidRPr="00AE47B8">
        <w:rPr>
          <w:rFonts w:hint="eastAsia"/>
          <w:color w:val="000000" w:themeColor="text1"/>
        </w:rPr>
        <w:t>个、面积</w:t>
      </w:r>
      <w:r w:rsidR="00957D3A" w:rsidRPr="00AE47B8">
        <w:rPr>
          <w:rFonts w:hint="eastAsia"/>
          <w:color w:val="000000" w:themeColor="text1"/>
        </w:rPr>
        <w:t>763.10</w:t>
      </w:r>
      <w:r w:rsidRPr="00AE47B8">
        <w:rPr>
          <w:rFonts w:hint="eastAsia"/>
          <w:color w:val="000000" w:themeColor="text1"/>
        </w:rPr>
        <w:t>公顷，社区公园</w:t>
      </w:r>
      <w:r w:rsidR="00957D3A" w:rsidRPr="00AE47B8">
        <w:rPr>
          <w:rFonts w:hint="eastAsia"/>
          <w:color w:val="000000" w:themeColor="text1"/>
        </w:rPr>
        <w:t>236</w:t>
      </w:r>
      <w:r w:rsidRPr="00AE47B8">
        <w:rPr>
          <w:rFonts w:hint="eastAsia"/>
          <w:color w:val="000000" w:themeColor="text1"/>
        </w:rPr>
        <w:t>个、面积</w:t>
      </w:r>
      <w:r w:rsidR="00957D3A" w:rsidRPr="00AE47B8">
        <w:rPr>
          <w:rFonts w:hint="eastAsia"/>
          <w:color w:val="000000" w:themeColor="text1"/>
        </w:rPr>
        <w:t>623.16</w:t>
      </w:r>
      <w:r w:rsidRPr="00AE47B8">
        <w:rPr>
          <w:rFonts w:hint="eastAsia"/>
          <w:color w:val="000000" w:themeColor="text1"/>
        </w:rPr>
        <w:t>公顷，专类公园</w:t>
      </w:r>
      <w:r w:rsidR="00957D3A" w:rsidRPr="00AE47B8">
        <w:rPr>
          <w:rFonts w:hint="eastAsia"/>
          <w:color w:val="000000" w:themeColor="text1"/>
        </w:rPr>
        <w:t>74</w:t>
      </w:r>
      <w:r w:rsidRPr="00AE47B8">
        <w:rPr>
          <w:rFonts w:hint="eastAsia"/>
          <w:color w:val="000000" w:themeColor="text1"/>
        </w:rPr>
        <w:t>个、面积</w:t>
      </w:r>
      <w:r w:rsidR="00957D3A" w:rsidRPr="00AE47B8">
        <w:rPr>
          <w:rFonts w:hint="eastAsia"/>
          <w:color w:val="000000" w:themeColor="text1"/>
        </w:rPr>
        <w:t>281.27</w:t>
      </w:r>
      <w:r w:rsidRPr="00AE47B8">
        <w:rPr>
          <w:rFonts w:hint="eastAsia"/>
          <w:color w:val="000000" w:themeColor="text1"/>
        </w:rPr>
        <w:t>公顷，游园</w:t>
      </w:r>
      <w:r w:rsidR="00957D3A" w:rsidRPr="00AE47B8">
        <w:rPr>
          <w:rFonts w:hint="eastAsia"/>
          <w:color w:val="000000" w:themeColor="text1"/>
        </w:rPr>
        <w:t>604</w:t>
      </w:r>
      <w:r w:rsidRPr="00AE47B8">
        <w:rPr>
          <w:rFonts w:hint="eastAsia"/>
          <w:color w:val="000000" w:themeColor="text1"/>
        </w:rPr>
        <w:t>个、面积</w:t>
      </w:r>
      <w:r w:rsidR="00957D3A" w:rsidRPr="00AE47B8">
        <w:rPr>
          <w:rFonts w:hint="eastAsia"/>
          <w:color w:val="000000" w:themeColor="text1"/>
        </w:rPr>
        <w:t>270.14</w:t>
      </w:r>
      <w:r w:rsidRPr="00AE47B8">
        <w:rPr>
          <w:rFonts w:hint="eastAsia"/>
          <w:color w:val="000000" w:themeColor="text1"/>
        </w:rPr>
        <w:t>公顷，防护绿地</w:t>
      </w:r>
      <w:r w:rsidR="00957D3A" w:rsidRPr="00AE47B8">
        <w:rPr>
          <w:rFonts w:hint="eastAsia"/>
          <w:color w:val="000000" w:themeColor="text1"/>
        </w:rPr>
        <w:t>994</w:t>
      </w:r>
      <w:r w:rsidRPr="00AE47B8">
        <w:rPr>
          <w:rFonts w:hint="eastAsia"/>
          <w:color w:val="000000" w:themeColor="text1"/>
        </w:rPr>
        <w:t>个、面积</w:t>
      </w:r>
      <w:r w:rsidR="00957D3A" w:rsidRPr="00AE47B8">
        <w:rPr>
          <w:rFonts w:hint="eastAsia"/>
          <w:color w:val="000000" w:themeColor="text1"/>
        </w:rPr>
        <w:t>674.95</w:t>
      </w:r>
      <w:r w:rsidRPr="00AE47B8">
        <w:rPr>
          <w:rFonts w:hint="eastAsia"/>
          <w:color w:val="000000" w:themeColor="text1"/>
        </w:rPr>
        <w:t>公顷，广场用地</w:t>
      </w:r>
      <w:r w:rsidRPr="00AE47B8">
        <w:rPr>
          <w:color w:val="000000" w:themeColor="text1"/>
        </w:rPr>
        <w:t>19</w:t>
      </w:r>
      <w:r w:rsidRPr="00AE47B8">
        <w:rPr>
          <w:rFonts w:hint="eastAsia"/>
          <w:color w:val="000000" w:themeColor="text1"/>
        </w:rPr>
        <w:t>个、面积</w:t>
      </w:r>
      <w:r w:rsidR="00957D3A" w:rsidRPr="00AE47B8">
        <w:rPr>
          <w:rFonts w:hint="eastAsia"/>
          <w:color w:val="000000" w:themeColor="text1"/>
        </w:rPr>
        <w:t>45.68</w:t>
      </w:r>
      <w:r w:rsidRPr="00AE47B8">
        <w:rPr>
          <w:rFonts w:hint="eastAsia"/>
          <w:color w:val="000000" w:themeColor="text1"/>
        </w:rPr>
        <w:t>公顷。</w:t>
      </w:r>
    </w:p>
    <w:p w14:paraId="48A6BE04" w14:textId="6F2DF5DC" w:rsidR="00676443" w:rsidRPr="00826A2C" w:rsidRDefault="008E52D6" w:rsidP="00676443">
      <w:pPr>
        <w:pStyle w:val="3"/>
      </w:pPr>
      <w:r>
        <w:rPr>
          <w:rFonts w:hint="eastAsia"/>
        </w:rPr>
        <w:t>2、</w:t>
      </w:r>
      <w:r w:rsidR="00676443" w:rsidRPr="00826A2C">
        <w:rPr>
          <w:rFonts w:hint="eastAsia"/>
        </w:rPr>
        <w:t>现状绿线管控</w:t>
      </w:r>
    </w:p>
    <w:p w14:paraId="7FAEFB0D" w14:textId="723B7103" w:rsidR="00676443" w:rsidRPr="00826A2C" w:rsidRDefault="00676443" w:rsidP="00E20673">
      <w:r w:rsidRPr="00826A2C">
        <w:rPr>
          <w:rFonts w:hint="eastAsia"/>
        </w:rPr>
        <w:t>现状绿线是保护城市现状绿地的重要依据。保护现有绿地，不得破坏、侵占和改变其用地性质。</w:t>
      </w:r>
    </w:p>
    <w:p w14:paraId="2E1814D8" w14:textId="13F2B61B" w:rsidR="00915BFA" w:rsidRPr="00826A2C" w:rsidRDefault="00467B62" w:rsidP="00467B62">
      <w:pPr>
        <w:pStyle w:val="2"/>
      </w:pPr>
      <w:bookmarkStart w:id="21" w:name="_Toc157585730"/>
      <w:r>
        <w:rPr>
          <w:rFonts w:hint="eastAsia"/>
        </w:rPr>
        <w:t>（二）</w:t>
      </w:r>
      <w:r w:rsidR="00E266CE" w:rsidRPr="00826A2C">
        <w:rPr>
          <w:rFonts w:hint="eastAsia"/>
        </w:rPr>
        <w:t>规划绿线</w:t>
      </w:r>
      <w:bookmarkStart w:id="22" w:name="_Toc103695104"/>
      <w:bookmarkEnd w:id="19"/>
      <w:bookmarkEnd w:id="21"/>
    </w:p>
    <w:p w14:paraId="2F75F248" w14:textId="15525287" w:rsidR="00676443" w:rsidRPr="00826A2C" w:rsidRDefault="008E52D6" w:rsidP="00676443">
      <w:pPr>
        <w:pStyle w:val="3"/>
      </w:pPr>
      <w:r>
        <w:rPr>
          <w:rFonts w:hint="eastAsia"/>
        </w:rPr>
        <w:t>1、</w:t>
      </w:r>
      <w:r w:rsidR="00676443" w:rsidRPr="00826A2C">
        <w:rPr>
          <w:rFonts w:hint="eastAsia"/>
        </w:rPr>
        <w:t>规划绿线划定</w:t>
      </w:r>
    </w:p>
    <w:p w14:paraId="3B9A1DDC" w14:textId="0777910B" w:rsidR="00EA1A9B" w:rsidRPr="00A269B6" w:rsidRDefault="0052106C" w:rsidP="00F824C8">
      <w:pPr>
        <w:jc w:val="both"/>
        <w:rPr>
          <w:color w:val="FF0000"/>
        </w:rPr>
      </w:pPr>
      <w:r w:rsidRPr="00AE47B8">
        <w:rPr>
          <w:rFonts w:hint="eastAsia"/>
          <w:color w:val="000000" w:themeColor="text1"/>
        </w:rPr>
        <w:t>中心城区范围内划定落实规划控制绿线</w:t>
      </w:r>
      <w:r w:rsidR="0048299D" w:rsidRPr="0048299D">
        <w:rPr>
          <w:rFonts w:hint="eastAsia"/>
          <w:color w:val="000000" w:themeColor="text1"/>
        </w:rPr>
        <w:t>7995</w:t>
      </w:r>
      <w:r w:rsidRPr="00AE47B8">
        <w:rPr>
          <w:rFonts w:hint="eastAsia"/>
          <w:color w:val="000000" w:themeColor="text1"/>
        </w:rPr>
        <w:t>处、绿线面积</w:t>
      </w:r>
      <w:r w:rsidR="0048299D" w:rsidRPr="0048299D">
        <w:rPr>
          <w:rFonts w:hint="eastAsia"/>
          <w:color w:val="000000" w:themeColor="text1"/>
        </w:rPr>
        <w:t>8340.08</w:t>
      </w:r>
      <w:r w:rsidRPr="00AE47B8">
        <w:rPr>
          <w:rFonts w:hint="eastAsia"/>
          <w:color w:val="000000" w:themeColor="text1"/>
        </w:rPr>
        <w:t>公顷，虚线管控规划绿线面积</w:t>
      </w:r>
      <w:r w:rsidRPr="00AE47B8">
        <w:rPr>
          <w:color w:val="000000" w:themeColor="text1"/>
        </w:rPr>
        <w:t>1810.73公顷</w:t>
      </w:r>
      <w:r w:rsidRPr="00AE47B8">
        <w:rPr>
          <w:rFonts w:hint="eastAsia"/>
          <w:color w:val="000000" w:themeColor="text1"/>
        </w:rPr>
        <w:t>。</w:t>
      </w:r>
      <w:r w:rsidR="00F824C8" w:rsidRPr="00AE47B8">
        <w:rPr>
          <w:rFonts w:hint="eastAsia"/>
          <w:color w:val="000000" w:themeColor="text1"/>
        </w:rPr>
        <w:t>其中</w:t>
      </w:r>
      <w:r w:rsidRPr="00AE47B8">
        <w:rPr>
          <w:rFonts w:hint="eastAsia"/>
          <w:color w:val="000000" w:themeColor="text1"/>
        </w:rPr>
        <w:t>综合公园</w:t>
      </w:r>
      <w:r w:rsidR="00AE47B8" w:rsidRPr="00AE47B8">
        <w:rPr>
          <w:rFonts w:hint="eastAsia"/>
          <w:color w:val="000000" w:themeColor="text1"/>
        </w:rPr>
        <w:t>73</w:t>
      </w:r>
      <w:r w:rsidRPr="00AE47B8">
        <w:rPr>
          <w:rFonts w:hint="eastAsia"/>
          <w:color w:val="000000" w:themeColor="text1"/>
        </w:rPr>
        <w:t>个、面积</w:t>
      </w:r>
      <w:r w:rsidR="00AE47B8" w:rsidRPr="00AE47B8">
        <w:rPr>
          <w:rFonts w:hint="eastAsia"/>
          <w:color w:val="000000" w:themeColor="text1"/>
        </w:rPr>
        <w:t>1743.43</w:t>
      </w:r>
      <w:r w:rsidRPr="00AE47B8">
        <w:rPr>
          <w:rFonts w:hint="eastAsia"/>
          <w:color w:val="000000" w:themeColor="text1"/>
        </w:rPr>
        <w:t>公顷，社区公园</w:t>
      </w:r>
      <w:r w:rsidR="00AE47B8" w:rsidRPr="00AE47B8">
        <w:rPr>
          <w:rFonts w:hint="eastAsia"/>
          <w:color w:val="000000" w:themeColor="text1"/>
        </w:rPr>
        <w:t>530</w:t>
      </w:r>
      <w:r w:rsidRPr="00AE47B8">
        <w:rPr>
          <w:rFonts w:hint="eastAsia"/>
          <w:color w:val="000000" w:themeColor="text1"/>
        </w:rPr>
        <w:t>个、面积</w:t>
      </w:r>
      <w:r w:rsidR="00AE47B8" w:rsidRPr="00AE47B8">
        <w:rPr>
          <w:rFonts w:hint="eastAsia"/>
          <w:color w:val="000000" w:themeColor="text1"/>
        </w:rPr>
        <w:t>1252.82</w:t>
      </w:r>
      <w:r w:rsidRPr="00AE47B8">
        <w:rPr>
          <w:rFonts w:hint="eastAsia"/>
          <w:color w:val="000000" w:themeColor="text1"/>
        </w:rPr>
        <w:t>公顷，专类公园</w:t>
      </w:r>
      <w:r w:rsidR="00AE47B8" w:rsidRPr="00AE47B8">
        <w:rPr>
          <w:rFonts w:hint="eastAsia"/>
          <w:color w:val="000000" w:themeColor="text1"/>
        </w:rPr>
        <w:t>229</w:t>
      </w:r>
      <w:r w:rsidRPr="00AE47B8">
        <w:rPr>
          <w:rFonts w:hint="eastAsia"/>
          <w:color w:val="000000" w:themeColor="text1"/>
        </w:rPr>
        <w:t>个、面积</w:t>
      </w:r>
      <w:r w:rsidR="00AE47B8" w:rsidRPr="00AE47B8">
        <w:rPr>
          <w:rFonts w:hint="eastAsia"/>
          <w:color w:val="000000" w:themeColor="text1"/>
        </w:rPr>
        <w:t>807.83</w:t>
      </w:r>
      <w:r w:rsidRPr="00AE47B8">
        <w:rPr>
          <w:rFonts w:hint="eastAsia"/>
          <w:color w:val="000000" w:themeColor="text1"/>
        </w:rPr>
        <w:t>公顷，游园</w:t>
      </w:r>
      <w:r w:rsidR="00AE47B8" w:rsidRPr="00AE47B8">
        <w:rPr>
          <w:rFonts w:hint="eastAsia"/>
          <w:color w:val="000000" w:themeColor="text1"/>
        </w:rPr>
        <w:t>4075</w:t>
      </w:r>
      <w:r w:rsidRPr="00AE47B8">
        <w:rPr>
          <w:rFonts w:hint="eastAsia"/>
          <w:color w:val="000000" w:themeColor="text1"/>
        </w:rPr>
        <w:t>个、面积</w:t>
      </w:r>
      <w:r w:rsidR="00AE47B8" w:rsidRPr="00AE47B8">
        <w:rPr>
          <w:rFonts w:hint="eastAsia"/>
          <w:color w:val="000000" w:themeColor="text1"/>
        </w:rPr>
        <w:t>1615.80</w:t>
      </w:r>
      <w:r w:rsidRPr="00AE47B8">
        <w:rPr>
          <w:rFonts w:hint="eastAsia"/>
          <w:color w:val="000000" w:themeColor="text1"/>
        </w:rPr>
        <w:t>公顷，防护绿地</w:t>
      </w:r>
      <w:r w:rsidR="00AE47B8" w:rsidRPr="00AE47B8">
        <w:rPr>
          <w:rFonts w:hint="eastAsia"/>
          <w:color w:val="000000" w:themeColor="text1"/>
        </w:rPr>
        <w:t>3037</w:t>
      </w:r>
      <w:r w:rsidRPr="00AE47B8">
        <w:rPr>
          <w:rFonts w:hint="eastAsia"/>
          <w:color w:val="000000" w:themeColor="text1"/>
        </w:rPr>
        <w:t>个、面积</w:t>
      </w:r>
      <w:r w:rsidR="00AE47B8" w:rsidRPr="00AE47B8">
        <w:rPr>
          <w:rFonts w:hint="eastAsia"/>
          <w:color w:val="000000" w:themeColor="text1"/>
        </w:rPr>
        <w:t>2853.77</w:t>
      </w:r>
      <w:r w:rsidRPr="00AE47B8">
        <w:rPr>
          <w:rFonts w:hint="eastAsia"/>
          <w:color w:val="000000" w:themeColor="text1"/>
        </w:rPr>
        <w:t>公顷，广场用地</w:t>
      </w:r>
      <w:r w:rsidR="00AE47B8" w:rsidRPr="00AE47B8">
        <w:rPr>
          <w:rFonts w:hint="eastAsia"/>
          <w:color w:val="000000" w:themeColor="text1"/>
        </w:rPr>
        <w:t>51</w:t>
      </w:r>
      <w:r w:rsidRPr="00AE47B8">
        <w:rPr>
          <w:rFonts w:hint="eastAsia"/>
          <w:color w:val="000000" w:themeColor="text1"/>
        </w:rPr>
        <w:t>个、面积</w:t>
      </w:r>
      <w:r w:rsidR="00AE47B8" w:rsidRPr="00AE47B8">
        <w:rPr>
          <w:rFonts w:hint="eastAsia"/>
          <w:color w:val="000000" w:themeColor="text1"/>
        </w:rPr>
        <w:t>66.43</w:t>
      </w:r>
      <w:r w:rsidRPr="00AE47B8">
        <w:rPr>
          <w:rFonts w:hint="eastAsia"/>
          <w:color w:val="000000" w:themeColor="text1"/>
        </w:rPr>
        <w:t>公顷。虚线管控规划公园绿地面积</w:t>
      </w:r>
      <w:r w:rsidR="00AE47B8" w:rsidRPr="00AE47B8">
        <w:rPr>
          <w:rFonts w:hint="eastAsia"/>
          <w:color w:val="000000" w:themeColor="text1"/>
        </w:rPr>
        <w:t>841.61</w:t>
      </w:r>
      <w:r w:rsidRPr="00AE47B8">
        <w:rPr>
          <w:rFonts w:hint="eastAsia"/>
          <w:color w:val="000000" w:themeColor="text1"/>
        </w:rPr>
        <w:t>公顷、其中预留综合公园至少</w:t>
      </w:r>
      <w:r w:rsidR="00AE47B8" w:rsidRPr="00AE47B8">
        <w:rPr>
          <w:rFonts w:hint="eastAsia"/>
          <w:color w:val="000000" w:themeColor="text1"/>
        </w:rPr>
        <w:t>20</w:t>
      </w:r>
      <w:r w:rsidRPr="00AE47B8">
        <w:rPr>
          <w:rFonts w:hint="eastAsia"/>
          <w:color w:val="000000" w:themeColor="text1"/>
        </w:rPr>
        <w:t>个，规划防护绿地面积</w:t>
      </w:r>
      <w:r w:rsidR="00AE47B8" w:rsidRPr="00AE47B8">
        <w:rPr>
          <w:rFonts w:hint="eastAsia"/>
          <w:color w:val="000000" w:themeColor="text1"/>
        </w:rPr>
        <w:t>157.09</w:t>
      </w:r>
      <w:r w:rsidRPr="00AE47B8">
        <w:rPr>
          <w:rFonts w:hint="eastAsia"/>
          <w:color w:val="000000" w:themeColor="text1"/>
        </w:rPr>
        <w:t>公顷，规划广场用地</w:t>
      </w:r>
      <w:r w:rsidR="00AE47B8" w:rsidRPr="00AE47B8">
        <w:rPr>
          <w:rFonts w:hint="eastAsia"/>
          <w:color w:val="000000" w:themeColor="text1"/>
        </w:rPr>
        <w:t>0.78</w:t>
      </w:r>
      <w:r w:rsidRPr="00AE47B8">
        <w:rPr>
          <w:rFonts w:hint="eastAsia"/>
          <w:color w:val="000000" w:themeColor="text1"/>
        </w:rPr>
        <w:t>公顷。</w:t>
      </w:r>
    </w:p>
    <w:p w14:paraId="6C2EEA20" w14:textId="3579AB04" w:rsidR="00A80B47" w:rsidRPr="00826A2C" w:rsidRDefault="008E52D6" w:rsidP="004C0CF4">
      <w:pPr>
        <w:pStyle w:val="3"/>
      </w:pPr>
      <w:r>
        <w:rPr>
          <w:rFonts w:hint="eastAsia"/>
        </w:rPr>
        <w:t>2、</w:t>
      </w:r>
      <w:r w:rsidR="00A80B47" w:rsidRPr="00826A2C">
        <w:rPr>
          <w:rFonts w:hint="eastAsia"/>
        </w:rPr>
        <w:t>管控通则</w:t>
      </w:r>
    </w:p>
    <w:p w14:paraId="618AA2B4" w14:textId="1978B405" w:rsidR="00676443" w:rsidRPr="00826A2C" w:rsidRDefault="004C0CF4" w:rsidP="004C0CF4">
      <w:pPr>
        <w:pStyle w:val="4"/>
      </w:pPr>
      <w:r w:rsidRPr="00826A2C">
        <w:rPr>
          <w:rFonts w:hint="eastAsia"/>
        </w:rPr>
        <w:t>（</w:t>
      </w:r>
      <w:r w:rsidR="00676443" w:rsidRPr="00826A2C">
        <w:rPr>
          <w:rFonts w:hint="eastAsia"/>
        </w:rPr>
        <w:t>1）公园绿地</w:t>
      </w:r>
      <w:r w:rsidR="008B7D44" w:rsidRPr="00826A2C">
        <w:rPr>
          <w:rFonts w:hint="eastAsia"/>
        </w:rPr>
        <w:t>管控</w:t>
      </w:r>
    </w:p>
    <w:p w14:paraId="73CD1D38" w14:textId="77777777" w:rsidR="00A80B47" w:rsidRPr="00826A2C" w:rsidRDefault="00A80B47" w:rsidP="00A80B47">
      <w:bookmarkStart w:id="23" w:name="_Toc103695112"/>
      <w:bookmarkStart w:id="24" w:name="_Toc103695113"/>
      <w:r w:rsidRPr="00826A2C">
        <w:rPr>
          <w:rFonts w:hint="eastAsia"/>
        </w:rPr>
        <w:t>综合公园应设置游览、休闲、健身、儿童游戏、运动、科普等多种设施，面积不应小于5公顷。</w:t>
      </w:r>
    </w:p>
    <w:p w14:paraId="1D315C85" w14:textId="77777777" w:rsidR="00EA1A9B" w:rsidRPr="00826A2C" w:rsidRDefault="00A80B47" w:rsidP="00EA1A9B">
      <w:r w:rsidRPr="00826A2C">
        <w:rPr>
          <w:rFonts w:hint="eastAsia"/>
        </w:rPr>
        <w:t>专类公园应有特定的主题内容，动物园应有适合动物生活的环境，供游人参观、休息、科普的设施，安全、卫生隔离的设施和绿带，后勤保障设施，面积宜大于2</w:t>
      </w:r>
      <w:r w:rsidRPr="00826A2C">
        <w:t>0</w:t>
      </w:r>
      <w:r w:rsidRPr="00826A2C">
        <w:rPr>
          <w:rFonts w:hint="eastAsia"/>
        </w:rPr>
        <w:t>公顷，其中专类动物园面积宜大</w:t>
      </w:r>
      <w:r w:rsidRPr="00826A2C">
        <w:rPr>
          <w:rFonts w:hint="eastAsia"/>
        </w:rPr>
        <w:lastRenderedPageBreak/>
        <w:t>于5公顷；植物园应创造适于多种植物生长的环境条件，应有体现本园特点的科普展示区和科研试验区，面积宜大于4</w:t>
      </w:r>
      <w:r w:rsidRPr="00826A2C">
        <w:t>0</w:t>
      </w:r>
      <w:r w:rsidRPr="00826A2C">
        <w:rPr>
          <w:rFonts w:hint="eastAsia"/>
        </w:rPr>
        <w:t>公顷，其中专类植物园面积宜大于2公顷；历史名园的内容应具有历史原真性，并体现传统造园艺术；其他专类公园，应根据其主题内容设置相应的游憩及科普设施。</w:t>
      </w:r>
      <w:r w:rsidR="00EA1A9B" w:rsidRPr="00826A2C">
        <w:rPr>
          <w:rFonts w:hint="eastAsia"/>
        </w:rPr>
        <w:t>除植物园、历史名园、遗址公园外的专类公园，绿化占地比例宜大于或等于65%；</w:t>
      </w:r>
    </w:p>
    <w:p w14:paraId="1C2E25DE" w14:textId="77777777" w:rsidR="00A80B47" w:rsidRPr="00826A2C" w:rsidRDefault="00A80B47" w:rsidP="00A80B47">
      <w:r w:rsidRPr="00826A2C">
        <w:rPr>
          <w:rFonts w:hint="eastAsia"/>
        </w:rPr>
        <w:t>社区公园应设置满足儿童及老年人日常游憩需要的设施。</w:t>
      </w:r>
    </w:p>
    <w:p w14:paraId="64CDD084" w14:textId="6E747077" w:rsidR="00EA1A9B" w:rsidRPr="00826A2C" w:rsidRDefault="00A80B47" w:rsidP="00EA1A9B">
      <w:r w:rsidRPr="00826A2C">
        <w:rPr>
          <w:rFonts w:hint="eastAsia"/>
        </w:rPr>
        <w:t>游园应注重街景效果，应设置休憩设施。</w:t>
      </w:r>
      <w:r w:rsidR="00EA1A9B" w:rsidRPr="00826A2C">
        <w:rPr>
          <w:rFonts w:hint="eastAsia"/>
        </w:rPr>
        <w:t>游园绿化占地比例应大于或等于65%，其中带状游园宽度宜大于12m。</w:t>
      </w:r>
    </w:p>
    <w:p w14:paraId="3EAEE2F0" w14:textId="7F51ACF0" w:rsidR="00EA1A9B" w:rsidRPr="00826A2C" w:rsidRDefault="00EA1A9B" w:rsidP="00676443">
      <w:r w:rsidRPr="00826A2C">
        <w:rPr>
          <w:rFonts w:hint="eastAsia"/>
        </w:rPr>
        <w:t>小型公园绿地内建筑占地面积不应大于3%，大型公园绿地宜为5%，动物园、植物园、游乐场可适当提高比例；其他绿地内各类建筑占用地面积之和不得大于陆地总面积的2%。</w:t>
      </w:r>
      <w:bookmarkStart w:id="25" w:name="_Toc103695107"/>
      <w:bookmarkEnd w:id="23"/>
    </w:p>
    <w:p w14:paraId="22F047B7" w14:textId="38E7B59C" w:rsidR="00676443" w:rsidRPr="00826A2C" w:rsidRDefault="004C0CF4" w:rsidP="004C0CF4">
      <w:pPr>
        <w:pStyle w:val="4"/>
      </w:pPr>
      <w:r w:rsidRPr="00826A2C">
        <w:rPr>
          <w:rFonts w:hint="eastAsia"/>
        </w:rPr>
        <w:t>（</w:t>
      </w:r>
      <w:r w:rsidR="008B7D44" w:rsidRPr="00826A2C">
        <w:rPr>
          <w:rFonts w:hint="eastAsia"/>
        </w:rPr>
        <w:t>2）</w:t>
      </w:r>
      <w:r w:rsidR="00676443" w:rsidRPr="00826A2C">
        <w:rPr>
          <w:rFonts w:hint="eastAsia"/>
        </w:rPr>
        <w:t>防护绿地</w:t>
      </w:r>
      <w:bookmarkEnd w:id="25"/>
      <w:r w:rsidR="008B7D44" w:rsidRPr="00826A2C">
        <w:rPr>
          <w:rFonts w:hint="eastAsia"/>
        </w:rPr>
        <w:t>管控</w:t>
      </w:r>
    </w:p>
    <w:p w14:paraId="3A25B533" w14:textId="2BDE82A3" w:rsidR="00676443" w:rsidRPr="00826A2C" w:rsidRDefault="00676443" w:rsidP="00676443">
      <w:r w:rsidRPr="00826A2C">
        <w:rPr>
          <w:rFonts w:hint="eastAsia"/>
        </w:rPr>
        <w:t>城市快速路每侧不小于二十五米；铁路</w:t>
      </w:r>
      <w:proofErr w:type="gramStart"/>
      <w:r w:rsidRPr="00826A2C">
        <w:rPr>
          <w:rFonts w:hint="eastAsia"/>
        </w:rPr>
        <w:t>中心线外每侧</w:t>
      </w:r>
      <w:proofErr w:type="gramEnd"/>
      <w:r w:rsidRPr="00826A2C">
        <w:rPr>
          <w:rFonts w:hint="eastAsia"/>
        </w:rPr>
        <w:t>不小于三十米；新建传染病医院周边不小于五十米；</w:t>
      </w:r>
      <w:proofErr w:type="gramStart"/>
      <w:r w:rsidRPr="00826A2C">
        <w:rPr>
          <w:rFonts w:hint="eastAsia"/>
        </w:rPr>
        <w:t>新建易</w:t>
      </w:r>
      <w:proofErr w:type="gramEnd"/>
      <w:r w:rsidRPr="00826A2C">
        <w:rPr>
          <w:rFonts w:hint="eastAsia"/>
        </w:rPr>
        <w:t>产生有害气体及污染的工厂用地、危险品仓储用地周边不小于五十米，但除有防爆要求的外，其他同性质相邻地块或者园区内不作重复设置；其他防护绿地的宽度按照国家、省有关规定执行；国家、省没有规定的，按照控制性详细规划确定的宽度进行控制</w:t>
      </w:r>
      <w:r w:rsidR="00BD0A21" w:rsidRPr="00826A2C">
        <w:rPr>
          <w:rFonts w:hint="eastAsia"/>
        </w:rPr>
        <w:t>。</w:t>
      </w:r>
    </w:p>
    <w:p w14:paraId="0343A46E" w14:textId="6644E944" w:rsidR="00676443" w:rsidRPr="00826A2C" w:rsidRDefault="00676443" w:rsidP="00676443">
      <w:r w:rsidRPr="00826A2C">
        <w:rPr>
          <w:rFonts w:hint="eastAsia"/>
        </w:rPr>
        <w:t>防护绿地植物选择应满足防护要求，适地适树，因地制宜。种植形式一般采用行列式。</w:t>
      </w:r>
    </w:p>
    <w:p w14:paraId="4487390F" w14:textId="29566842" w:rsidR="00EA1A9B" w:rsidRPr="00826A2C" w:rsidRDefault="00EA1A9B" w:rsidP="00EA1A9B">
      <w:pPr>
        <w:pStyle w:val="4"/>
      </w:pPr>
      <w:r w:rsidRPr="00826A2C">
        <w:rPr>
          <w:rFonts w:hint="eastAsia"/>
        </w:rPr>
        <w:t>（3）广场绿地管控</w:t>
      </w:r>
    </w:p>
    <w:p w14:paraId="55811804" w14:textId="77777777" w:rsidR="00EA1A9B" w:rsidRPr="00826A2C" w:rsidRDefault="00EA1A9B" w:rsidP="00EA1A9B">
      <w:r w:rsidRPr="00826A2C">
        <w:rPr>
          <w:rFonts w:hint="eastAsia"/>
        </w:rPr>
        <w:t>广场用地绿化占地比例宜大于或等于35%；绿化占地比例大于或等于65%的广场用地计入公园绿地。</w:t>
      </w:r>
    </w:p>
    <w:p w14:paraId="695494DC" w14:textId="0F49933C" w:rsidR="004C0CF4" w:rsidRPr="00826A2C" w:rsidRDefault="008E52D6" w:rsidP="004C0CF4">
      <w:pPr>
        <w:pStyle w:val="3"/>
      </w:pPr>
      <w:r>
        <w:rPr>
          <w:rFonts w:hint="eastAsia"/>
        </w:rPr>
        <w:lastRenderedPageBreak/>
        <w:t>3、</w:t>
      </w:r>
      <w:r w:rsidR="004C0CF4" w:rsidRPr="00826A2C">
        <w:rPr>
          <w:rFonts w:hint="eastAsia"/>
        </w:rPr>
        <w:t>分类分级分片管控</w:t>
      </w:r>
    </w:p>
    <w:p w14:paraId="1882FAAE" w14:textId="7E2D31D0" w:rsidR="004C0CF4" w:rsidRPr="00826A2C" w:rsidRDefault="004C0CF4" w:rsidP="00676443">
      <w:r w:rsidRPr="00826A2C">
        <w:rPr>
          <w:rFonts w:ascii="宋体" w:hAnsi="宋体" w:hint="eastAsia"/>
        </w:rPr>
        <w:t>规划按照分类、分级、分片的管控思路，强化绿线管控。</w:t>
      </w:r>
    </w:p>
    <w:bookmarkEnd w:id="24"/>
    <w:p w14:paraId="7AB5DAC9" w14:textId="22149B06" w:rsidR="00A80B47" w:rsidRPr="00826A2C" w:rsidRDefault="00A80B47" w:rsidP="00A80B47">
      <w:pPr>
        <w:pStyle w:val="4"/>
      </w:pPr>
      <w:r w:rsidRPr="00826A2C">
        <w:rPr>
          <w:rFonts w:hint="eastAsia"/>
        </w:rPr>
        <w:t>（</w:t>
      </w:r>
      <w:r w:rsidR="004C0CF4" w:rsidRPr="00826A2C">
        <w:t>1</w:t>
      </w:r>
      <w:r w:rsidRPr="00826A2C">
        <w:rPr>
          <w:rFonts w:hint="eastAsia"/>
        </w:rPr>
        <w:t>）分类管控</w:t>
      </w:r>
    </w:p>
    <w:p w14:paraId="66FA52DB" w14:textId="337C8B05" w:rsidR="00826A2C" w:rsidRPr="00826A2C" w:rsidRDefault="00A80B47" w:rsidP="00F824C8">
      <w:r w:rsidRPr="00826A2C">
        <w:rPr>
          <w:rFonts w:hint="eastAsia"/>
        </w:rPr>
        <w:t>城市绿线分类管控要求执行《公园设计规范》（G</w:t>
      </w:r>
      <w:r w:rsidRPr="00826A2C">
        <w:t>B51192-2016）</w:t>
      </w:r>
      <w:r w:rsidRPr="00826A2C">
        <w:rPr>
          <w:rFonts w:hint="eastAsia"/>
        </w:rPr>
        <w:t>。规划绿线在详细规划中逐步落实，确保综合公园、专类公园落实控制线管控；社区公园、游园等以指标管控为主，控制线管控为辅。对于虚线管控的绿地，确保绿地类型不变，单元内绿地总规模不减少。</w:t>
      </w:r>
    </w:p>
    <w:p w14:paraId="014DB725" w14:textId="11410884" w:rsidR="00A80B47" w:rsidRPr="00826A2C" w:rsidRDefault="00A80B47" w:rsidP="00A80B47">
      <w:pPr>
        <w:pStyle w:val="4"/>
      </w:pPr>
      <w:r w:rsidRPr="00826A2C">
        <w:rPr>
          <w:rFonts w:hint="eastAsia"/>
        </w:rPr>
        <w:t>（</w:t>
      </w:r>
      <w:r w:rsidR="004C0CF4" w:rsidRPr="00826A2C">
        <w:t>2</w:t>
      </w:r>
      <w:r w:rsidRPr="00826A2C">
        <w:rPr>
          <w:rFonts w:hint="eastAsia"/>
        </w:rPr>
        <w:t>）分级管控</w:t>
      </w:r>
    </w:p>
    <w:p w14:paraId="137DB10F" w14:textId="50A5A368" w:rsidR="00A80B47" w:rsidRPr="00826A2C" w:rsidRDefault="00A80B47" w:rsidP="00A80B47">
      <w:pPr>
        <w:rPr>
          <w:rFonts w:ascii="宋体" w:hAnsi="宋体"/>
        </w:rPr>
      </w:pPr>
      <w:r w:rsidRPr="00826A2C">
        <w:rPr>
          <w:rFonts w:ascii="宋体" w:hAnsi="宋体" w:hint="eastAsia"/>
        </w:rPr>
        <w:t>落实《城市绿地规划标准（</w:t>
      </w:r>
      <w:r w:rsidRPr="00826A2C">
        <w:rPr>
          <w:rFonts w:hint="eastAsia"/>
        </w:rPr>
        <w:t>GB/T51346-2019）</w:t>
      </w:r>
      <w:r w:rsidRPr="00826A2C">
        <w:rPr>
          <w:rFonts w:ascii="宋体" w:hAnsi="宋体" w:hint="eastAsia"/>
        </w:rPr>
        <w:t>》，衔接《浙江省市级、县级国土空间总体规划编制技术要点》《浙江省乡镇级国土空间总体规划编制技术要点》，对城市绿线进行分级管理。根据绿地规模分为市级、区级、其他</w:t>
      </w:r>
      <w:r w:rsidR="00E10CDF" w:rsidRPr="00826A2C">
        <w:rPr>
          <w:rFonts w:ascii="宋体" w:hAnsi="宋体" w:hint="eastAsia"/>
        </w:rPr>
        <w:t>三</w:t>
      </w:r>
      <w:r w:rsidRPr="00826A2C">
        <w:rPr>
          <w:rFonts w:ascii="宋体" w:hAnsi="宋体" w:hint="eastAsia"/>
        </w:rPr>
        <w:t>个级别。</w:t>
      </w:r>
    </w:p>
    <w:p w14:paraId="57FE42F5" w14:textId="7DD88B25" w:rsidR="00A80B47" w:rsidRPr="00826A2C" w:rsidRDefault="00A80B47" w:rsidP="00A80B47">
      <w:pPr>
        <w:rPr>
          <w:rFonts w:ascii="宋体" w:hAnsi="宋体"/>
        </w:rPr>
      </w:pPr>
      <w:r w:rsidRPr="00826A2C">
        <w:rPr>
          <w:rFonts w:ascii="宋体" w:hAnsi="宋体" w:hint="eastAsia"/>
        </w:rPr>
        <w:t>市级绿线为面积</w:t>
      </w:r>
      <w:r w:rsidRPr="00826A2C">
        <w:rPr>
          <w:rFonts w:ascii="宋体" w:hAnsi="宋体" w:hint="eastAsia"/>
        </w:rPr>
        <w:t>1</w:t>
      </w:r>
      <w:r w:rsidRPr="00826A2C">
        <w:rPr>
          <w:rFonts w:ascii="宋体" w:hAnsi="宋体"/>
        </w:rPr>
        <w:t>0</w:t>
      </w:r>
      <w:r w:rsidRPr="00826A2C">
        <w:rPr>
          <w:rFonts w:ascii="宋体" w:hAnsi="宋体" w:hint="eastAsia"/>
        </w:rPr>
        <w:t>公顷以上的综合公园、平均宽度</w:t>
      </w:r>
      <w:r w:rsidRPr="00826A2C">
        <w:rPr>
          <w:rFonts w:ascii="宋体" w:hAnsi="宋体" w:hint="eastAsia"/>
        </w:rPr>
        <w:t>3</w:t>
      </w:r>
      <w:r w:rsidRPr="00826A2C">
        <w:rPr>
          <w:rFonts w:ascii="宋体" w:hAnsi="宋体"/>
        </w:rPr>
        <w:t>0</w:t>
      </w:r>
      <w:r w:rsidRPr="00826A2C">
        <w:rPr>
          <w:rFonts w:ascii="宋体" w:hAnsi="宋体" w:hint="eastAsia"/>
        </w:rPr>
        <w:t>米以上的</w:t>
      </w:r>
      <w:proofErr w:type="gramStart"/>
      <w:r w:rsidRPr="00826A2C">
        <w:rPr>
          <w:rFonts w:ascii="宋体" w:hAnsi="宋体" w:hint="eastAsia"/>
        </w:rPr>
        <w:t>重要滨</w:t>
      </w:r>
      <w:proofErr w:type="gramEnd"/>
      <w:r w:rsidRPr="00826A2C">
        <w:rPr>
          <w:rFonts w:ascii="宋体" w:hAnsi="宋体" w:hint="eastAsia"/>
        </w:rPr>
        <w:t>水绿地；区级绿线为面积</w:t>
      </w:r>
      <w:r w:rsidRPr="00826A2C">
        <w:rPr>
          <w:rFonts w:ascii="宋体" w:hAnsi="宋体" w:hint="eastAsia"/>
        </w:rPr>
        <w:t>5</w:t>
      </w:r>
      <w:r w:rsidRPr="00826A2C">
        <w:rPr>
          <w:rFonts w:ascii="宋体" w:hAnsi="宋体" w:hint="eastAsia"/>
        </w:rPr>
        <w:t>公顷以上的重要城市公园、平均宽度</w:t>
      </w:r>
      <w:r w:rsidRPr="00826A2C">
        <w:rPr>
          <w:rFonts w:ascii="宋体" w:hAnsi="宋体" w:hint="eastAsia"/>
        </w:rPr>
        <w:t>2</w:t>
      </w:r>
      <w:r w:rsidRPr="00826A2C">
        <w:rPr>
          <w:rFonts w:ascii="宋体" w:hAnsi="宋体"/>
        </w:rPr>
        <w:t>0</w:t>
      </w:r>
      <w:r w:rsidRPr="00826A2C">
        <w:rPr>
          <w:rFonts w:ascii="宋体" w:hAnsi="宋体" w:hint="eastAsia"/>
        </w:rPr>
        <w:t>米以上的</w:t>
      </w:r>
      <w:proofErr w:type="gramStart"/>
      <w:r w:rsidRPr="00826A2C">
        <w:rPr>
          <w:rFonts w:ascii="宋体" w:hAnsi="宋体" w:hint="eastAsia"/>
        </w:rPr>
        <w:t>重要滨</w:t>
      </w:r>
      <w:proofErr w:type="gramEnd"/>
      <w:r w:rsidRPr="00826A2C">
        <w:rPr>
          <w:rFonts w:ascii="宋体" w:hAnsi="宋体" w:hint="eastAsia"/>
        </w:rPr>
        <w:t>水绿地；除了市级绿线、区级绿线以外的</w:t>
      </w:r>
      <w:r w:rsidR="00D94BFF">
        <w:rPr>
          <w:rFonts w:ascii="宋体" w:hAnsi="宋体" w:hint="eastAsia"/>
        </w:rPr>
        <w:t>绿线为</w:t>
      </w:r>
      <w:r w:rsidRPr="00826A2C">
        <w:rPr>
          <w:rFonts w:ascii="宋体" w:hAnsi="宋体" w:hint="eastAsia"/>
        </w:rPr>
        <w:t>其他绿线。</w:t>
      </w:r>
    </w:p>
    <w:p w14:paraId="669D7790" w14:textId="4D2FF1F5" w:rsidR="00A80B47" w:rsidRPr="00826A2C" w:rsidRDefault="00A80B47" w:rsidP="00A80B47">
      <w:pPr>
        <w:rPr>
          <w:rFonts w:ascii="宋体" w:hAnsi="宋体"/>
        </w:rPr>
      </w:pPr>
      <w:r w:rsidRPr="00826A2C">
        <w:rPr>
          <w:rFonts w:ascii="宋体" w:hAnsi="宋体" w:hint="eastAsia"/>
        </w:rPr>
        <w:t>市级绿线纳入市级国土空间总体规划</w:t>
      </w:r>
      <w:r w:rsidR="00D94BFF">
        <w:rPr>
          <w:rFonts w:ascii="宋体" w:hAnsi="宋体" w:hint="eastAsia"/>
        </w:rPr>
        <w:t>，</w:t>
      </w:r>
      <w:r w:rsidRPr="00826A2C">
        <w:rPr>
          <w:rFonts w:ascii="宋体" w:hAnsi="宋体" w:hint="eastAsia"/>
        </w:rPr>
        <w:t>区级及以上绿线纳入区级国土空间总体规划</w:t>
      </w:r>
      <w:r w:rsidR="00D94BFF">
        <w:rPr>
          <w:rFonts w:ascii="宋体" w:hAnsi="宋体" w:hint="eastAsia"/>
        </w:rPr>
        <w:t>，</w:t>
      </w:r>
      <w:r w:rsidRPr="00826A2C">
        <w:rPr>
          <w:rFonts w:ascii="宋体" w:hAnsi="宋体" w:hint="eastAsia"/>
        </w:rPr>
        <w:t>其他绿线纳入镇级国土空间总体规划。</w:t>
      </w:r>
    </w:p>
    <w:p w14:paraId="4200C360" w14:textId="51F7A40B" w:rsidR="00A80B47" w:rsidRPr="00826A2C" w:rsidRDefault="00A80B47" w:rsidP="00A80B47">
      <w:pPr>
        <w:pStyle w:val="4"/>
      </w:pPr>
      <w:r w:rsidRPr="00826A2C">
        <w:rPr>
          <w:rFonts w:hint="eastAsia"/>
        </w:rPr>
        <w:t>（</w:t>
      </w:r>
      <w:r w:rsidR="004C0CF4" w:rsidRPr="00826A2C">
        <w:t>3</w:t>
      </w:r>
      <w:r w:rsidRPr="00826A2C">
        <w:rPr>
          <w:rFonts w:hint="eastAsia"/>
        </w:rPr>
        <w:t>）分片管控</w:t>
      </w:r>
    </w:p>
    <w:p w14:paraId="65D1A854" w14:textId="70FA974E" w:rsidR="00A80B47" w:rsidRPr="00826A2C" w:rsidRDefault="00A80B47" w:rsidP="00EA1A9B">
      <w:r w:rsidRPr="00826A2C">
        <w:rPr>
          <w:rFonts w:ascii="宋体" w:hAnsi="宋体" w:hint="eastAsia"/>
        </w:rPr>
        <w:t>衔接国土空间总体规划的社区生活圈划示，在中心城区内划分</w:t>
      </w:r>
      <w:r w:rsidR="00A11412" w:rsidRPr="00826A2C">
        <w:rPr>
          <w:rFonts w:ascii="宋体" w:hAnsi="宋体"/>
        </w:rPr>
        <w:t>14</w:t>
      </w:r>
      <w:r w:rsidR="00A11412" w:rsidRPr="00826A2C">
        <w:rPr>
          <w:rFonts w:ascii="宋体" w:hAnsi="宋体" w:hint="eastAsia"/>
        </w:rPr>
        <w:t>1</w:t>
      </w:r>
      <w:r w:rsidR="00A11412" w:rsidRPr="00826A2C">
        <w:rPr>
          <w:rFonts w:ascii="宋体" w:hAnsi="宋体"/>
        </w:rPr>
        <w:t>个绿线管理单元</w:t>
      </w:r>
      <w:r w:rsidR="00A11412" w:rsidRPr="00826A2C">
        <w:rPr>
          <w:rFonts w:ascii="宋体" w:hAnsi="宋体" w:hint="eastAsia"/>
        </w:rPr>
        <w:t>。</w:t>
      </w:r>
      <w:r w:rsidR="00A11412" w:rsidRPr="00826A2C">
        <w:rPr>
          <w:rFonts w:ascii="宋体" w:hAnsi="宋体"/>
        </w:rPr>
        <w:t>其中海曙区</w:t>
      </w:r>
      <w:r w:rsidR="00A11412" w:rsidRPr="00826A2C">
        <w:rPr>
          <w:rFonts w:ascii="宋体" w:hAnsi="宋体"/>
        </w:rPr>
        <w:t>2</w:t>
      </w:r>
      <w:r w:rsidR="00A11412" w:rsidRPr="00826A2C">
        <w:rPr>
          <w:rFonts w:ascii="宋体" w:hAnsi="宋体" w:hint="eastAsia"/>
        </w:rPr>
        <w:t>7</w:t>
      </w:r>
      <w:r w:rsidR="00A11412" w:rsidRPr="00826A2C">
        <w:rPr>
          <w:rFonts w:ascii="宋体" w:hAnsi="宋体"/>
        </w:rPr>
        <w:t>个</w:t>
      </w:r>
      <w:r w:rsidR="00A11412" w:rsidRPr="00826A2C">
        <w:rPr>
          <w:rFonts w:ascii="宋体" w:hAnsi="宋体" w:hint="eastAsia"/>
        </w:rPr>
        <w:t>、</w:t>
      </w:r>
      <w:r w:rsidR="00A11412" w:rsidRPr="00826A2C">
        <w:rPr>
          <w:rFonts w:ascii="宋体" w:hAnsi="宋体"/>
        </w:rPr>
        <w:t>江北区</w:t>
      </w:r>
      <w:r w:rsidR="00A11412" w:rsidRPr="00826A2C">
        <w:rPr>
          <w:rFonts w:ascii="宋体" w:hAnsi="宋体"/>
        </w:rPr>
        <w:t>2</w:t>
      </w:r>
      <w:r w:rsidR="00A11412" w:rsidRPr="00826A2C">
        <w:rPr>
          <w:rFonts w:ascii="宋体" w:hAnsi="宋体" w:hint="eastAsia"/>
        </w:rPr>
        <w:t>2</w:t>
      </w:r>
      <w:r w:rsidR="00A11412" w:rsidRPr="00826A2C">
        <w:rPr>
          <w:rFonts w:ascii="宋体" w:hAnsi="宋体" w:hint="eastAsia"/>
        </w:rPr>
        <w:t>个、</w:t>
      </w:r>
      <w:r w:rsidR="00A11412" w:rsidRPr="00826A2C">
        <w:rPr>
          <w:rFonts w:ascii="宋体" w:hAnsi="宋体"/>
        </w:rPr>
        <w:t>镇海区</w:t>
      </w:r>
      <w:r w:rsidR="00A11412" w:rsidRPr="00826A2C">
        <w:rPr>
          <w:rFonts w:ascii="宋体" w:hAnsi="宋体"/>
        </w:rPr>
        <w:t>22</w:t>
      </w:r>
      <w:r w:rsidR="00A11412" w:rsidRPr="00826A2C">
        <w:rPr>
          <w:rFonts w:ascii="宋体" w:hAnsi="宋体"/>
        </w:rPr>
        <w:t>个</w:t>
      </w:r>
      <w:r w:rsidR="00A11412" w:rsidRPr="00826A2C">
        <w:rPr>
          <w:rFonts w:ascii="宋体" w:hAnsi="宋体" w:hint="eastAsia"/>
        </w:rPr>
        <w:t>、</w:t>
      </w:r>
      <w:r w:rsidR="00A11412" w:rsidRPr="00826A2C">
        <w:rPr>
          <w:rFonts w:ascii="宋体" w:hAnsi="宋体"/>
        </w:rPr>
        <w:t>北仑区</w:t>
      </w:r>
      <w:r w:rsidR="00A11412" w:rsidRPr="00826A2C">
        <w:rPr>
          <w:rFonts w:ascii="宋体" w:hAnsi="宋体" w:hint="eastAsia"/>
        </w:rPr>
        <w:t>29</w:t>
      </w:r>
      <w:r w:rsidR="00A11412" w:rsidRPr="00826A2C">
        <w:rPr>
          <w:rFonts w:ascii="宋体" w:hAnsi="宋体"/>
        </w:rPr>
        <w:t>个</w:t>
      </w:r>
      <w:r w:rsidR="00A11412" w:rsidRPr="00826A2C">
        <w:rPr>
          <w:rFonts w:ascii="宋体" w:hAnsi="宋体" w:hint="eastAsia"/>
        </w:rPr>
        <w:t>、</w:t>
      </w:r>
      <w:r w:rsidR="00A11412" w:rsidRPr="00826A2C">
        <w:rPr>
          <w:rFonts w:ascii="宋体" w:hAnsi="宋体"/>
        </w:rPr>
        <w:t>鄞州区</w:t>
      </w:r>
      <w:r w:rsidR="00A11412" w:rsidRPr="00826A2C">
        <w:rPr>
          <w:rFonts w:ascii="宋体" w:hAnsi="宋体"/>
        </w:rPr>
        <w:t>33</w:t>
      </w:r>
      <w:r w:rsidR="00A11412" w:rsidRPr="00826A2C">
        <w:rPr>
          <w:rFonts w:ascii="宋体" w:hAnsi="宋体"/>
        </w:rPr>
        <w:t>个</w:t>
      </w:r>
      <w:r w:rsidR="00A11412" w:rsidRPr="00826A2C">
        <w:rPr>
          <w:rFonts w:ascii="宋体" w:hAnsi="宋体" w:hint="eastAsia"/>
        </w:rPr>
        <w:t>、</w:t>
      </w:r>
      <w:r w:rsidR="00A11412" w:rsidRPr="00826A2C">
        <w:rPr>
          <w:rFonts w:ascii="宋体" w:hAnsi="宋体"/>
        </w:rPr>
        <w:t>奉化区</w:t>
      </w:r>
      <w:r w:rsidR="00A11412" w:rsidRPr="00826A2C">
        <w:rPr>
          <w:rFonts w:ascii="宋体" w:hAnsi="宋体"/>
        </w:rPr>
        <w:t>8</w:t>
      </w:r>
      <w:r w:rsidR="00A11412" w:rsidRPr="00826A2C">
        <w:rPr>
          <w:rFonts w:ascii="宋体" w:hAnsi="宋体"/>
        </w:rPr>
        <w:t>个。</w:t>
      </w:r>
      <w:r w:rsidR="002A3743" w:rsidRPr="00826A2C">
        <w:rPr>
          <w:rFonts w:ascii="宋体" w:hAnsi="宋体" w:hint="eastAsia"/>
        </w:rPr>
        <w:t>绿线管理单元内城市绿线的总规模为刚性管控，布局、类型总体稳定。部分绿线管理</w:t>
      </w:r>
      <w:r w:rsidR="002A3743" w:rsidRPr="00826A2C">
        <w:rPr>
          <w:rFonts w:ascii="宋体" w:hAnsi="宋体" w:hint="eastAsia"/>
        </w:rPr>
        <w:lastRenderedPageBreak/>
        <w:t>单元由于城市功能重大调整</w:t>
      </w:r>
      <w:r w:rsidR="00D94BFF">
        <w:rPr>
          <w:rFonts w:ascii="宋体" w:hAnsi="宋体" w:hint="eastAsia"/>
        </w:rPr>
        <w:t>，</w:t>
      </w:r>
      <w:r w:rsidR="002A3743" w:rsidRPr="00826A2C">
        <w:rPr>
          <w:rFonts w:ascii="宋体" w:hAnsi="宋体" w:hint="eastAsia"/>
        </w:rPr>
        <w:t>控</w:t>
      </w:r>
      <w:proofErr w:type="gramStart"/>
      <w:r w:rsidR="002A3743" w:rsidRPr="00826A2C">
        <w:rPr>
          <w:rFonts w:ascii="宋体" w:hAnsi="宋体" w:hint="eastAsia"/>
        </w:rPr>
        <w:t>规</w:t>
      </w:r>
      <w:proofErr w:type="gramEnd"/>
      <w:r w:rsidR="002A3743" w:rsidRPr="00826A2C">
        <w:rPr>
          <w:rFonts w:ascii="宋体" w:hAnsi="宋体" w:hint="eastAsia"/>
        </w:rPr>
        <w:t>需要新编或修编</w:t>
      </w:r>
      <w:r w:rsidR="00D94BFF">
        <w:rPr>
          <w:rFonts w:ascii="宋体" w:hAnsi="宋体" w:hint="eastAsia"/>
        </w:rPr>
        <w:t>的</w:t>
      </w:r>
      <w:r w:rsidR="002A3743" w:rsidRPr="00826A2C">
        <w:rPr>
          <w:rFonts w:ascii="宋体" w:hAnsi="宋体" w:hint="eastAsia"/>
        </w:rPr>
        <w:t>，绿线布局采用虚线控制。</w:t>
      </w:r>
    </w:p>
    <w:p w14:paraId="1107606A" w14:textId="20E13526" w:rsidR="00E266CE" w:rsidRPr="00826A2C" w:rsidRDefault="00467B62" w:rsidP="00467B62">
      <w:pPr>
        <w:pStyle w:val="2"/>
      </w:pPr>
      <w:bookmarkStart w:id="26" w:name="_Toc157585731"/>
      <w:r>
        <w:rPr>
          <w:rFonts w:hint="eastAsia"/>
        </w:rPr>
        <w:t>（三）</w:t>
      </w:r>
      <w:r w:rsidR="00E266CE" w:rsidRPr="00826A2C">
        <w:rPr>
          <w:rFonts w:hint="eastAsia"/>
        </w:rPr>
        <w:t>生态控制线</w:t>
      </w:r>
      <w:bookmarkEnd w:id="26"/>
    </w:p>
    <w:p w14:paraId="6DA33AC8" w14:textId="11A9C3BC" w:rsidR="008B7D44" w:rsidRPr="00826A2C" w:rsidRDefault="008E52D6" w:rsidP="008B7D44">
      <w:pPr>
        <w:pStyle w:val="3"/>
      </w:pPr>
      <w:r>
        <w:rPr>
          <w:rFonts w:hint="eastAsia"/>
        </w:rPr>
        <w:t>1、</w:t>
      </w:r>
      <w:r w:rsidR="008B7D44" w:rsidRPr="00826A2C">
        <w:rPr>
          <w:rFonts w:hint="eastAsia"/>
        </w:rPr>
        <w:t>生态控制线划定</w:t>
      </w:r>
    </w:p>
    <w:p w14:paraId="0ECACA06" w14:textId="2B142233" w:rsidR="00915BFA" w:rsidRPr="00826A2C" w:rsidRDefault="00915BFA" w:rsidP="006752AD">
      <w:bookmarkStart w:id="27" w:name="_Toc103695111"/>
      <w:bookmarkEnd w:id="22"/>
      <w:r w:rsidRPr="00826A2C">
        <w:rPr>
          <w:rFonts w:hint="eastAsia"/>
        </w:rPr>
        <w:t>生态控制线</w:t>
      </w:r>
      <w:r w:rsidR="00881486" w:rsidRPr="00826A2C">
        <w:rPr>
          <w:rFonts w:hint="eastAsia"/>
        </w:rPr>
        <w:t>是对城市生态</w:t>
      </w:r>
      <w:r w:rsidR="008302FD" w:rsidRPr="00826A2C">
        <w:rPr>
          <w:rFonts w:hint="eastAsia"/>
        </w:rPr>
        <w:t>保育、隔离防护、休闲游憩等有</w:t>
      </w:r>
      <w:r w:rsidR="00881486" w:rsidRPr="00826A2C">
        <w:rPr>
          <w:rFonts w:hint="eastAsia"/>
        </w:rPr>
        <w:t>重要作用的生态区域控制线。</w:t>
      </w:r>
      <w:r w:rsidRPr="00826A2C">
        <w:rPr>
          <w:rFonts w:hint="eastAsia"/>
        </w:rPr>
        <w:t>宜包括下列区域：</w:t>
      </w:r>
    </w:p>
    <w:p w14:paraId="14B5022D" w14:textId="2F7D8759" w:rsidR="00915BFA" w:rsidRPr="00826A2C" w:rsidRDefault="00915BFA" w:rsidP="006752AD">
      <w:r w:rsidRPr="00826A2C">
        <w:rPr>
          <w:rFonts w:hint="eastAsia"/>
        </w:rPr>
        <w:t>1、城市生态</w:t>
      </w:r>
      <w:r w:rsidR="008302FD" w:rsidRPr="00826A2C">
        <w:rPr>
          <w:rFonts w:hint="eastAsia"/>
        </w:rPr>
        <w:t>保育</w:t>
      </w:r>
      <w:r w:rsidRPr="00826A2C">
        <w:rPr>
          <w:rFonts w:hint="eastAsia"/>
        </w:rPr>
        <w:t>区域，包括水源保护区、</w:t>
      </w:r>
      <w:r w:rsidR="008302FD" w:rsidRPr="00826A2C">
        <w:rPr>
          <w:rFonts w:hint="eastAsia"/>
        </w:rPr>
        <w:t>湿地、河流湖泊、自然保护地</w:t>
      </w:r>
      <w:r w:rsidRPr="00826A2C">
        <w:rPr>
          <w:rFonts w:hint="eastAsia"/>
        </w:rPr>
        <w:t>、</w:t>
      </w:r>
      <w:r w:rsidR="008302FD" w:rsidRPr="00826A2C">
        <w:rPr>
          <w:rFonts w:hint="eastAsia"/>
        </w:rPr>
        <w:t>水土保持区、生态网络保护区以及其他生态保护空间</w:t>
      </w:r>
      <w:r w:rsidRPr="00826A2C">
        <w:rPr>
          <w:rFonts w:hint="eastAsia"/>
        </w:rPr>
        <w:t>。</w:t>
      </w:r>
    </w:p>
    <w:p w14:paraId="4A8C170F" w14:textId="645FC892" w:rsidR="008302FD" w:rsidRPr="00826A2C" w:rsidRDefault="008302FD" w:rsidP="008302FD">
      <w:r w:rsidRPr="00826A2C">
        <w:t>2</w:t>
      </w:r>
      <w:r w:rsidRPr="00826A2C">
        <w:rPr>
          <w:rFonts w:hint="eastAsia"/>
        </w:rPr>
        <w:t>、风景游憩区域，包括风景名胜区、森林公园、国家地质公园、湿地公园、郊野公园等。</w:t>
      </w:r>
    </w:p>
    <w:p w14:paraId="694155E8" w14:textId="58912A7B" w:rsidR="008302FD" w:rsidRPr="00826A2C" w:rsidRDefault="008302FD" w:rsidP="006752AD">
      <w:r w:rsidRPr="00826A2C">
        <w:rPr>
          <w:rFonts w:hint="eastAsia"/>
        </w:rPr>
        <w:t>3</w:t>
      </w:r>
      <w:r w:rsidR="00915BFA" w:rsidRPr="00826A2C">
        <w:rPr>
          <w:rFonts w:hint="eastAsia"/>
        </w:rPr>
        <w:t>、防护隔离区域，包括</w:t>
      </w:r>
      <w:r w:rsidRPr="00826A2C">
        <w:rPr>
          <w:rFonts w:hint="eastAsia"/>
        </w:rPr>
        <w:t>交通和市政基础设施隔离、自然灾害防护、蓄滞洪区以及其他</w:t>
      </w:r>
      <w:r w:rsidR="00BA108C" w:rsidRPr="00826A2C">
        <w:rPr>
          <w:rFonts w:hint="eastAsia"/>
        </w:rPr>
        <w:t>防护隔离区域。</w:t>
      </w:r>
    </w:p>
    <w:p w14:paraId="0CB8A787" w14:textId="47801115" w:rsidR="00915BFA" w:rsidRPr="00826A2C" w:rsidRDefault="00915BFA" w:rsidP="006752AD">
      <w:r w:rsidRPr="00826A2C">
        <w:t>4</w:t>
      </w:r>
      <w:r w:rsidRPr="00826A2C">
        <w:rPr>
          <w:rFonts w:hint="eastAsia"/>
        </w:rPr>
        <w:t>、</w:t>
      </w:r>
      <w:r w:rsidR="00BA108C" w:rsidRPr="00826A2C">
        <w:rPr>
          <w:rFonts w:hint="eastAsia"/>
        </w:rPr>
        <w:t>生态生产区域，包括苗圃、花圃、草圃等，连片集中达到一定规模并发挥较大生态功能的农林生产空间。</w:t>
      </w:r>
    </w:p>
    <w:p w14:paraId="59865809" w14:textId="501DBC88" w:rsidR="0010105B" w:rsidRPr="00826A2C" w:rsidRDefault="009E7C34" w:rsidP="00D24A0F">
      <w:pPr>
        <w:ind w:firstLineChars="0" w:firstLine="570"/>
      </w:pPr>
      <w:r w:rsidRPr="00826A2C">
        <w:rPr>
          <w:rFonts w:hint="eastAsia"/>
        </w:rPr>
        <w:t>衔接国土空间总体规划，</w:t>
      </w:r>
      <w:r w:rsidR="00BA108C" w:rsidRPr="00826A2C">
        <w:rPr>
          <w:rFonts w:hint="eastAsia"/>
        </w:rPr>
        <w:t>本规划划定的生态控制线包括生态保护红线及具备生态功能的其他区域。宁波市区划定生态保护红线6</w:t>
      </w:r>
      <w:r w:rsidR="00BA108C" w:rsidRPr="00826A2C">
        <w:t>24.</w:t>
      </w:r>
      <w:r w:rsidR="00265F09" w:rsidRPr="00826A2C">
        <w:t>92</w:t>
      </w:r>
      <w:r w:rsidR="00BA108C" w:rsidRPr="00826A2C">
        <w:rPr>
          <w:rFonts w:hint="eastAsia"/>
        </w:rPr>
        <w:t>平方公里</w:t>
      </w:r>
      <w:r w:rsidRPr="00826A2C">
        <w:rPr>
          <w:rFonts w:hint="eastAsia"/>
        </w:rPr>
        <w:t>，</w:t>
      </w:r>
      <w:r w:rsidR="00831B62" w:rsidRPr="00826A2C">
        <w:rPr>
          <w:rFonts w:hint="eastAsia"/>
        </w:rPr>
        <w:t>生态保护红线外划定</w:t>
      </w:r>
      <w:r w:rsidRPr="00826A2C">
        <w:rPr>
          <w:rFonts w:hint="eastAsia"/>
        </w:rPr>
        <w:t>其他生态空间</w:t>
      </w:r>
      <w:r w:rsidR="00831B62" w:rsidRPr="00826A2C">
        <w:rPr>
          <w:rFonts w:hint="eastAsia"/>
        </w:rPr>
        <w:t>，面积约</w:t>
      </w:r>
      <w:r w:rsidR="00D70B81" w:rsidRPr="00826A2C">
        <w:t>877.63</w:t>
      </w:r>
      <w:r w:rsidR="007E0DF0" w:rsidRPr="00826A2C">
        <w:t>平方公里。</w:t>
      </w:r>
    </w:p>
    <w:p w14:paraId="409E4CBF" w14:textId="69DA79F3" w:rsidR="00676443" w:rsidRPr="00826A2C" w:rsidRDefault="008E52D6" w:rsidP="00E46E06">
      <w:pPr>
        <w:pStyle w:val="3"/>
      </w:pPr>
      <w:r>
        <w:rPr>
          <w:rFonts w:hint="eastAsia"/>
        </w:rPr>
        <w:t>2、</w:t>
      </w:r>
      <w:r w:rsidR="00676443" w:rsidRPr="00826A2C">
        <w:rPr>
          <w:rFonts w:hint="eastAsia"/>
        </w:rPr>
        <w:t>生态控制</w:t>
      </w:r>
      <w:r w:rsidR="008B7D44" w:rsidRPr="00826A2C">
        <w:rPr>
          <w:rFonts w:hint="eastAsia"/>
        </w:rPr>
        <w:t>线管控</w:t>
      </w:r>
    </w:p>
    <w:p w14:paraId="4F20FD3B" w14:textId="5FC6F17F" w:rsidR="00EA1A9B" w:rsidRPr="00826A2C" w:rsidRDefault="00D24A0F" w:rsidP="00EA1A9B">
      <w:pPr>
        <w:rPr>
          <w:rFonts w:ascii="宋体" w:hAnsi="宋体"/>
        </w:rPr>
      </w:pPr>
      <w:r w:rsidRPr="00826A2C">
        <w:rPr>
          <w:rFonts w:hint="eastAsia"/>
        </w:rPr>
        <w:t>衔接城镇开发边界、乡镇行政界限，划分</w:t>
      </w:r>
      <w:r w:rsidR="00EA1A9B" w:rsidRPr="00826A2C">
        <w:rPr>
          <w:rFonts w:ascii="宋体" w:hAnsi="宋体"/>
        </w:rPr>
        <w:t>56</w:t>
      </w:r>
      <w:r w:rsidR="00EA1A9B" w:rsidRPr="00826A2C">
        <w:rPr>
          <w:rFonts w:ascii="宋体" w:hAnsi="宋体"/>
        </w:rPr>
        <w:t>个乡镇生态控制线管理单元。其中海曙区</w:t>
      </w:r>
      <w:r w:rsidR="00EA1A9B" w:rsidRPr="00826A2C">
        <w:rPr>
          <w:rFonts w:ascii="宋体" w:hAnsi="宋体"/>
        </w:rPr>
        <w:t>9</w:t>
      </w:r>
      <w:r w:rsidR="00EA1A9B" w:rsidRPr="00826A2C">
        <w:rPr>
          <w:rFonts w:ascii="宋体" w:hAnsi="宋体"/>
        </w:rPr>
        <w:t>个</w:t>
      </w:r>
      <w:r w:rsidRPr="00826A2C">
        <w:rPr>
          <w:rFonts w:ascii="宋体" w:hAnsi="宋体" w:hint="eastAsia"/>
        </w:rPr>
        <w:t>、</w:t>
      </w:r>
      <w:r w:rsidR="00EA1A9B" w:rsidRPr="00826A2C">
        <w:rPr>
          <w:rFonts w:ascii="宋体" w:hAnsi="宋体"/>
        </w:rPr>
        <w:t>江北区</w:t>
      </w:r>
      <w:r w:rsidR="00EA1A9B" w:rsidRPr="00826A2C">
        <w:rPr>
          <w:rFonts w:ascii="宋体" w:hAnsi="宋体"/>
        </w:rPr>
        <w:t>3</w:t>
      </w:r>
      <w:r w:rsidR="00EA1A9B" w:rsidRPr="00826A2C">
        <w:rPr>
          <w:rFonts w:ascii="宋体" w:hAnsi="宋体"/>
        </w:rPr>
        <w:t>个</w:t>
      </w:r>
      <w:r w:rsidRPr="00826A2C">
        <w:rPr>
          <w:rFonts w:ascii="宋体" w:hAnsi="宋体" w:hint="eastAsia"/>
        </w:rPr>
        <w:t>、</w:t>
      </w:r>
      <w:r w:rsidR="00EA1A9B" w:rsidRPr="00826A2C">
        <w:rPr>
          <w:rFonts w:ascii="宋体" w:hAnsi="宋体"/>
        </w:rPr>
        <w:t>镇海区</w:t>
      </w:r>
      <w:r w:rsidR="00EA1A9B" w:rsidRPr="00826A2C">
        <w:rPr>
          <w:rFonts w:ascii="宋体" w:hAnsi="宋体"/>
        </w:rPr>
        <w:t>7</w:t>
      </w:r>
      <w:r w:rsidR="00EA1A9B" w:rsidRPr="00826A2C">
        <w:rPr>
          <w:rFonts w:ascii="宋体" w:hAnsi="宋体"/>
        </w:rPr>
        <w:t>个</w:t>
      </w:r>
      <w:r w:rsidRPr="00826A2C">
        <w:rPr>
          <w:rFonts w:ascii="宋体" w:hAnsi="宋体" w:hint="eastAsia"/>
        </w:rPr>
        <w:t>、</w:t>
      </w:r>
      <w:r w:rsidR="00EA1A9B" w:rsidRPr="00826A2C">
        <w:rPr>
          <w:rFonts w:ascii="宋体" w:hAnsi="宋体"/>
        </w:rPr>
        <w:t>北仑区</w:t>
      </w:r>
      <w:r w:rsidR="00EA1A9B" w:rsidRPr="00826A2C">
        <w:rPr>
          <w:rFonts w:ascii="宋体" w:hAnsi="宋体"/>
        </w:rPr>
        <w:t>11</w:t>
      </w:r>
      <w:r w:rsidR="00EA1A9B" w:rsidRPr="00826A2C">
        <w:rPr>
          <w:rFonts w:ascii="宋体" w:hAnsi="宋体"/>
        </w:rPr>
        <w:t>个</w:t>
      </w:r>
      <w:r w:rsidRPr="00826A2C">
        <w:rPr>
          <w:rFonts w:ascii="宋体" w:hAnsi="宋体" w:hint="eastAsia"/>
        </w:rPr>
        <w:t>、</w:t>
      </w:r>
      <w:r w:rsidR="00EA1A9B" w:rsidRPr="00826A2C">
        <w:rPr>
          <w:rFonts w:ascii="宋体" w:hAnsi="宋体"/>
        </w:rPr>
        <w:t>鄞州区</w:t>
      </w:r>
      <w:r w:rsidR="00EA1A9B" w:rsidRPr="00826A2C">
        <w:rPr>
          <w:rFonts w:ascii="宋体" w:hAnsi="宋体"/>
        </w:rPr>
        <w:t>14</w:t>
      </w:r>
      <w:r w:rsidR="00EA1A9B" w:rsidRPr="00826A2C">
        <w:rPr>
          <w:rFonts w:ascii="宋体" w:hAnsi="宋体"/>
        </w:rPr>
        <w:t>个</w:t>
      </w:r>
      <w:r w:rsidRPr="00826A2C">
        <w:rPr>
          <w:rFonts w:ascii="宋体" w:hAnsi="宋体" w:hint="eastAsia"/>
        </w:rPr>
        <w:t>、</w:t>
      </w:r>
      <w:r w:rsidR="00EA1A9B" w:rsidRPr="00826A2C">
        <w:rPr>
          <w:rFonts w:ascii="宋体" w:hAnsi="宋体"/>
        </w:rPr>
        <w:t>奉化区</w:t>
      </w:r>
      <w:r w:rsidR="00EA1A9B" w:rsidRPr="00826A2C">
        <w:rPr>
          <w:rFonts w:ascii="宋体" w:hAnsi="宋体"/>
        </w:rPr>
        <w:t>12</w:t>
      </w:r>
      <w:r w:rsidR="00EA1A9B" w:rsidRPr="00826A2C">
        <w:rPr>
          <w:rFonts w:ascii="宋体" w:hAnsi="宋体"/>
        </w:rPr>
        <w:t>个。</w:t>
      </w:r>
    </w:p>
    <w:p w14:paraId="247B3725" w14:textId="6ACA9CB5" w:rsidR="00051646" w:rsidRPr="00826A2C" w:rsidRDefault="00784922" w:rsidP="005A7168">
      <w:r w:rsidRPr="00826A2C">
        <w:rPr>
          <w:rFonts w:hint="eastAsia"/>
        </w:rPr>
        <w:t>生态控制线原则上总体稳定，生态要素发生变化的，生态控制线相应调整。</w:t>
      </w:r>
      <w:r w:rsidR="005A7168" w:rsidRPr="00826A2C">
        <w:rPr>
          <w:rFonts w:hint="eastAsia"/>
        </w:rPr>
        <w:t>生态控制线</w:t>
      </w:r>
      <w:r w:rsidR="00051646" w:rsidRPr="00826A2C">
        <w:rPr>
          <w:rFonts w:hint="eastAsia"/>
        </w:rPr>
        <w:t>遵循生态优先、底线管控，尊重历史、实</w:t>
      </w:r>
      <w:r w:rsidR="00051646" w:rsidRPr="00826A2C">
        <w:rPr>
          <w:rFonts w:hint="eastAsia"/>
        </w:rPr>
        <w:lastRenderedPageBreak/>
        <w:t>事求是的原则，严格保护自然生态系统，维护生物多样性。</w:t>
      </w:r>
    </w:p>
    <w:p w14:paraId="18F12128" w14:textId="6E2B6D06" w:rsidR="00051646" w:rsidRPr="00826A2C" w:rsidRDefault="005A7168" w:rsidP="005A7168">
      <w:r w:rsidRPr="00826A2C">
        <w:rPr>
          <w:rFonts w:hint="eastAsia"/>
        </w:rPr>
        <w:t>生态保护红线原则上禁止</w:t>
      </w:r>
      <w:r w:rsidR="00051646" w:rsidRPr="00826A2C">
        <w:rPr>
          <w:rFonts w:hint="eastAsia"/>
        </w:rPr>
        <w:t>开发性、生产性建设活动，严格落实《自然资源部 生态环境部 国家林业和草原局关于加强生态保护红线管理的通知（试行）》。生态控制线内</w:t>
      </w:r>
      <w:r w:rsidRPr="00826A2C">
        <w:rPr>
          <w:rFonts w:hint="eastAsia"/>
        </w:rPr>
        <w:t>生态保护红线外，原则上按限制开发区域的要求进行管理</w:t>
      </w:r>
      <w:r w:rsidR="00CA2279" w:rsidRPr="00826A2C">
        <w:rPr>
          <w:rFonts w:hint="eastAsia"/>
        </w:rPr>
        <w:t>，</w:t>
      </w:r>
      <w:r w:rsidR="00051646" w:rsidRPr="00826A2C">
        <w:rPr>
          <w:rFonts w:hint="eastAsia"/>
        </w:rPr>
        <w:t>参照《自然生态空间用途管制办法（试行）》强化管控，</w:t>
      </w:r>
      <w:r w:rsidR="00CA2279" w:rsidRPr="00826A2C">
        <w:rPr>
          <w:rFonts w:hint="eastAsia"/>
        </w:rPr>
        <w:t>不得规划集中连片的城市建设用地</w:t>
      </w:r>
      <w:r w:rsidRPr="00826A2C">
        <w:rPr>
          <w:rFonts w:hint="eastAsia"/>
        </w:rPr>
        <w:t>。</w:t>
      </w:r>
    </w:p>
    <w:p w14:paraId="61F3C71E" w14:textId="08C6152D" w:rsidR="007F783D" w:rsidRPr="00826A2C" w:rsidRDefault="00467B62" w:rsidP="00467B62">
      <w:pPr>
        <w:pStyle w:val="1"/>
      </w:pPr>
      <w:bookmarkStart w:id="28" w:name="_Toc103695114"/>
      <w:bookmarkStart w:id="29" w:name="_Toc157585732"/>
      <w:bookmarkEnd w:id="27"/>
      <w:r>
        <w:rPr>
          <w:rFonts w:hint="eastAsia"/>
        </w:rPr>
        <w:t>四、</w:t>
      </w:r>
      <w:r w:rsidRPr="00826A2C">
        <w:rPr>
          <w:rFonts w:hint="eastAsia"/>
        </w:rPr>
        <w:t>绿线</w:t>
      </w:r>
      <w:bookmarkEnd w:id="28"/>
      <w:r w:rsidRPr="00826A2C">
        <w:rPr>
          <w:rFonts w:hint="eastAsia"/>
        </w:rPr>
        <w:t>实施管理</w:t>
      </w:r>
      <w:bookmarkEnd w:id="29"/>
    </w:p>
    <w:p w14:paraId="2748B65A" w14:textId="79BE2283" w:rsidR="00E46E06" w:rsidRPr="00826A2C" w:rsidRDefault="00467B62" w:rsidP="00467B62">
      <w:pPr>
        <w:pStyle w:val="2"/>
      </w:pPr>
      <w:bookmarkStart w:id="30" w:name="_Toc157585733"/>
      <w:r>
        <w:rPr>
          <w:rFonts w:hint="eastAsia"/>
        </w:rPr>
        <w:t>（一）</w:t>
      </w:r>
      <w:r w:rsidRPr="00826A2C">
        <w:rPr>
          <w:rFonts w:hint="eastAsia"/>
        </w:rPr>
        <w:t>分阶段逐步落实城市绿线</w:t>
      </w:r>
      <w:bookmarkEnd w:id="30"/>
    </w:p>
    <w:p w14:paraId="5C6B9BE6" w14:textId="28EF0B5B" w:rsidR="00E46E06" w:rsidRPr="00826A2C" w:rsidRDefault="00E46E06" w:rsidP="00E46E06">
      <w:r w:rsidRPr="00826A2C">
        <w:rPr>
          <w:rFonts w:hint="eastAsia"/>
        </w:rPr>
        <w:t>由于国土空间总体规划、控制性详细规划、修建性详细规划各阶段内容和深度不同，现状绿线、规划绿线在各阶段逐步划定。生态控制线位于非建设用地，在总体规划阶段划定。</w:t>
      </w:r>
    </w:p>
    <w:p w14:paraId="05E0BA7E" w14:textId="2281B58F" w:rsidR="00E46E06" w:rsidRPr="00826A2C" w:rsidRDefault="00467B62" w:rsidP="00467B62">
      <w:pPr>
        <w:pStyle w:val="2"/>
      </w:pPr>
      <w:bookmarkStart w:id="31" w:name="_Toc157585734"/>
      <w:bookmarkStart w:id="32" w:name="_Toc103695091"/>
      <w:r>
        <w:rPr>
          <w:rFonts w:hint="eastAsia"/>
        </w:rPr>
        <w:t>（二）</w:t>
      </w:r>
      <w:r w:rsidR="00BD0A21" w:rsidRPr="00826A2C">
        <w:rPr>
          <w:rFonts w:hint="eastAsia"/>
        </w:rPr>
        <w:t>加强绿线保护与</w:t>
      </w:r>
      <w:r w:rsidR="00E46E06" w:rsidRPr="00826A2C">
        <w:rPr>
          <w:rFonts w:hint="eastAsia"/>
        </w:rPr>
        <w:t>管理</w:t>
      </w:r>
      <w:bookmarkEnd w:id="31"/>
    </w:p>
    <w:p w14:paraId="195F1771" w14:textId="77777777" w:rsidR="00E46E06" w:rsidRPr="00826A2C" w:rsidRDefault="00E46E06" w:rsidP="00E46E06">
      <w:r w:rsidRPr="00826A2C">
        <w:rPr>
          <w:rFonts w:hint="eastAsia"/>
        </w:rPr>
        <w:t>城市绿线范围内的公园绿地、防护绿地、广场用地、附属绿地，必须按照《城市用地分类与规划建设用地标准》《城市绿地分类标准》《城市绿线划定技术规范》《公园设计规范》《城市居住区规划设计标准》和《城市道路绿化规范与设计规范》等标准进行绿地建设和管理。</w:t>
      </w:r>
    </w:p>
    <w:p w14:paraId="263B5732" w14:textId="77777777" w:rsidR="00E46E06" w:rsidRPr="00826A2C" w:rsidRDefault="00E46E06" w:rsidP="00E46E06">
      <w:pPr>
        <w:rPr>
          <w:rFonts w:ascii="微软雅黑" w:eastAsia="微软雅黑"/>
          <w:sz w:val="27"/>
          <w:szCs w:val="27"/>
        </w:rPr>
      </w:pPr>
      <w:r w:rsidRPr="00826A2C">
        <w:rPr>
          <w:rFonts w:hint="eastAsia"/>
        </w:rPr>
        <w:t>城市绿线范围内的用地，任何单位和个人不得改作他用，不得进行经营性开发建设。因特殊情况需要改变绿地规划和绿地性质的，应报经原批准机关重新审核，报上一级机关审批，并严格按规定程序办理审批手续。</w:t>
      </w:r>
    </w:p>
    <w:p w14:paraId="4D8CE537" w14:textId="77777777" w:rsidR="00E46E06" w:rsidRPr="00826A2C" w:rsidRDefault="00E46E06" w:rsidP="00E46E06">
      <w:pPr>
        <w:rPr>
          <w:rFonts w:ascii="微软雅黑" w:eastAsia="微软雅黑"/>
          <w:sz w:val="27"/>
          <w:szCs w:val="27"/>
        </w:rPr>
      </w:pPr>
      <w:r w:rsidRPr="00826A2C">
        <w:rPr>
          <w:rFonts w:hint="eastAsia"/>
        </w:rPr>
        <w:t>需临时占用城市绿线范围内用地的，须经市行政审批主管部门批准，依法办理相关审批手续。临时占用期满应按规定期限恢复原</w:t>
      </w:r>
      <w:r w:rsidRPr="00826A2C">
        <w:rPr>
          <w:rFonts w:hint="eastAsia"/>
        </w:rPr>
        <w:lastRenderedPageBreak/>
        <w:t>状，并报市城市绿化主管部门验收。</w:t>
      </w:r>
    </w:p>
    <w:bookmarkEnd w:id="32"/>
    <w:p w14:paraId="02B351D0" w14:textId="6C17BFAB" w:rsidR="001F59B5" w:rsidRPr="00826A2C" w:rsidRDefault="001F59B5" w:rsidP="00E46E06">
      <w:r w:rsidRPr="00826A2C">
        <w:rPr>
          <w:rFonts w:hint="eastAsia"/>
        </w:rPr>
        <w:t>批准的城市绿线应向社会公布，接受公众监督。任何单位和个人都有保护城市绿地、服从城市绿线管理的义务，有监督城市绿线管理、对违反城市绿线管理行为进行检举的权利。</w:t>
      </w:r>
    </w:p>
    <w:p w14:paraId="61B4FD53" w14:textId="2D0727E0" w:rsidR="006075D8" w:rsidRPr="00826A2C" w:rsidRDefault="00467B62" w:rsidP="00467B62">
      <w:pPr>
        <w:pStyle w:val="2"/>
      </w:pPr>
      <w:bookmarkStart w:id="33" w:name="_Toc157585735"/>
      <w:r>
        <w:rPr>
          <w:rFonts w:hint="eastAsia"/>
        </w:rPr>
        <w:t>（三）</w:t>
      </w:r>
      <w:r w:rsidR="00BD0A21" w:rsidRPr="00826A2C">
        <w:rPr>
          <w:rFonts w:hint="eastAsia"/>
        </w:rPr>
        <w:t>规范</w:t>
      </w:r>
      <w:r w:rsidR="006075D8" w:rsidRPr="00826A2C">
        <w:rPr>
          <w:rFonts w:hint="eastAsia"/>
        </w:rPr>
        <w:t>绿线调整</w:t>
      </w:r>
      <w:r w:rsidR="00BD0A21" w:rsidRPr="00826A2C">
        <w:rPr>
          <w:rFonts w:hint="eastAsia"/>
        </w:rPr>
        <w:t>程序</w:t>
      </w:r>
      <w:bookmarkEnd w:id="33"/>
    </w:p>
    <w:p w14:paraId="2C4F4FBF" w14:textId="77777777" w:rsidR="0014244C" w:rsidRPr="00826A2C" w:rsidRDefault="0014244C" w:rsidP="0014244C">
      <w:bookmarkStart w:id="34" w:name="_Hlk138601922"/>
      <w:r w:rsidRPr="00826A2C">
        <w:rPr>
          <w:rFonts w:hint="eastAsia"/>
        </w:rPr>
        <w:t>城市绿线可依据法定程序实行局部调整，具体包括以下情形：</w:t>
      </w:r>
    </w:p>
    <w:p w14:paraId="4386F7E6" w14:textId="2D31F4D8" w:rsidR="0014244C" w:rsidRPr="00826A2C" w:rsidRDefault="0014244C" w:rsidP="0014244C">
      <w:r w:rsidRPr="00826A2C">
        <w:rPr>
          <w:rFonts w:hint="eastAsia"/>
        </w:rPr>
        <w:t>因国土空间总体规划修编对绿地布局进行调整的；因其他已审批的法定规划（如详细规划）需要调整的；因防护主体取消，如规划道路取消、原高压线埋地等情况，防护绿地丧失功能需要取消的；在绿地总量不变的情况下，因用地权属、详细设计或工程实施造成局部控制线发生微调的；其他园林主管部门认定的情形。</w:t>
      </w:r>
    </w:p>
    <w:p w14:paraId="1DDF5524" w14:textId="77777777" w:rsidR="00467B62" w:rsidRDefault="0014244C" w:rsidP="00467B62">
      <w:r w:rsidRPr="00826A2C">
        <w:rPr>
          <w:rFonts w:hint="eastAsia"/>
        </w:rPr>
        <w:t>局部调整必须满足等量、同质、就近和可操作性的原则。防护绿地的调整必须符合相关规范规定的防护要求。</w:t>
      </w:r>
      <w:bookmarkEnd w:id="34"/>
    </w:p>
    <w:p w14:paraId="49614DFB" w14:textId="0894D956" w:rsidR="000407E5" w:rsidRPr="00826A2C" w:rsidRDefault="00453548" w:rsidP="00467B62">
      <w:pPr>
        <w:pStyle w:val="1"/>
      </w:pPr>
      <w:r>
        <w:rPr>
          <w:rFonts w:hint="eastAsia"/>
        </w:rPr>
        <w:t>附图</w:t>
      </w:r>
      <w:bookmarkStart w:id="35" w:name="_GoBack"/>
      <w:bookmarkEnd w:id="35"/>
      <w:r w:rsidR="000407E5" w:rsidRPr="00826A2C">
        <w:rPr>
          <w:rFonts w:hint="eastAsia"/>
        </w:rPr>
        <w:t>目录</w:t>
      </w:r>
    </w:p>
    <w:p w14:paraId="2ED0A74A" w14:textId="32E883ED" w:rsidR="000407E5" w:rsidRPr="00826A2C" w:rsidRDefault="000407E5" w:rsidP="000407E5">
      <w:pPr>
        <w:ind w:firstLineChars="0" w:firstLine="0"/>
      </w:pPr>
      <w:r w:rsidRPr="00826A2C">
        <w:rPr>
          <w:rFonts w:hint="eastAsia"/>
        </w:rPr>
        <w:t>1、现状绿线分布图</w:t>
      </w:r>
    </w:p>
    <w:p w14:paraId="6931236A" w14:textId="52FD8BA8" w:rsidR="000407E5" w:rsidRPr="00826A2C" w:rsidRDefault="000407E5" w:rsidP="000407E5">
      <w:pPr>
        <w:ind w:firstLineChars="0" w:firstLine="0"/>
      </w:pPr>
      <w:r w:rsidRPr="00826A2C">
        <w:rPr>
          <w:rFonts w:hint="eastAsia"/>
        </w:rPr>
        <w:t>2、规划绿线分布图</w:t>
      </w:r>
    </w:p>
    <w:p w14:paraId="02FBC2C3" w14:textId="2A75F880" w:rsidR="000407E5" w:rsidRPr="00826A2C" w:rsidRDefault="000407E5" w:rsidP="000407E5">
      <w:pPr>
        <w:ind w:firstLineChars="0" w:firstLine="0"/>
      </w:pPr>
      <w:r w:rsidRPr="00826A2C">
        <w:rPr>
          <w:rFonts w:hint="eastAsia"/>
        </w:rPr>
        <w:t>3、绿线管理单元划分图</w:t>
      </w:r>
    </w:p>
    <w:p w14:paraId="598DDD0F" w14:textId="398A41F1" w:rsidR="000407E5" w:rsidRPr="00826A2C" w:rsidRDefault="000407E5" w:rsidP="000407E5">
      <w:pPr>
        <w:ind w:firstLineChars="0" w:firstLine="0"/>
      </w:pPr>
      <w:r w:rsidRPr="00826A2C">
        <w:rPr>
          <w:rFonts w:hint="eastAsia"/>
        </w:rPr>
        <w:t>4、虚线管控单元分布图</w:t>
      </w:r>
    </w:p>
    <w:p w14:paraId="4C606014" w14:textId="076CE639" w:rsidR="000407E5" w:rsidRPr="00826A2C" w:rsidRDefault="000407E5" w:rsidP="000407E5">
      <w:pPr>
        <w:ind w:firstLineChars="0" w:firstLine="0"/>
      </w:pPr>
      <w:r w:rsidRPr="00826A2C">
        <w:rPr>
          <w:rFonts w:hint="eastAsia"/>
        </w:rPr>
        <w:t>5、生态控制线分布图</w:t>
      </w:r>
    </w:p>
    <w:p w14:paraId="1B2DBDAB" w14:textId="2BC5D312" w:rsidR="000407E5" w:rsidRPr="00826A2C" w:rsidRDefault="000407E5" w:rsidP="000407E5">
      <w:pPr>
        <w:ind w:firstLineChars="0" w:firstLine="0"/>
      </w:pPr>
      <w:r w:rsidRPr="00826A2C">
        <w:rPr>
          <w:rFonts w:hint="eastAsia"/>
        </w:rPr>
        <w:t>6、生态控制线单元划分图</w:t>
      </w:r>
    </w:p>
    <w:p w14:paraId="2DF4E930" w14:textId="497E791E" w:rsidR="000407E5" w:rsidRPr="00826A2C" w:rsidRDefault="000407E5" w:rsidP="000407E5">
      <w:pPr>
        <w:ind w:firstLineChars="0" w:firstLine="0"/>
      </w:pPr>
    </w:p>
    <w:sectPr w:rsidR="000407E5" w:rsidRPr="00826A2C" w:rsidSect="00380787">
      <w:headerReference w:type="even" r:id="rId8"/>
      <w:headerReference w:type="default" r:id="rId9"/>
      <w:footerReference w:type="even" r:id="rId10"/>
      <w:footerReference w:type="default" r:id="rId11"/>
      <w:headerReference w:type="first" r:id="rId12"/>
      <w:footerReference w:type="first" r:id="rId13"/>
      <w:pgSz w:w="11906" w:h="16838" w:code="9"/>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CF634" w14:textId="77777777" w:rsidR="00061625" w:rsidRDefault="00061625" w:rsidP="0023379B">
      <w:r>
        <w:separator/>
      </w:r>
    </w:p>
  </w:endnote>
  <w:endnote w:type="continuationSeparator" w:id="0">
    <w:p w14:paraId="2ADA07AA" w14:textId="77777777" w:rsidR="00061625" w:rsidRDefault="00061625" w:rsidP="0023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23BFB" w14:textId="77777777" w:rsidR="00957D3A" w:rsidRDefault="00957D3A">
    <w:pPr>
      <w:pStyle w:val="a5"/>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586441"/>
      <w:docPartObj>
        <w:docPartGallery w:val="Page Numbers (Bottom of Page)"/>
        <w:docPartUnique/>
      </w:docPartObj>
    </w:sdtPr>
    <w:sdtEndPr/>
    <w:sdtContent>
      <w:p w14:paraId="44C9C3D7" w14:textId="63440B1B" w:rsidR="007A2B52" w:rsidRDefault="007A2B52" w:rsidP="0023379B">
        <w:pPr>
          <w:pStyle w:val="a5"/>
          <w:ind w:firstLineChars="0" w:firstLine="0"/>
          <w:jc w:val="center"/>
        </w:pPr>
        <w:r>
          <w:fldChar w:fldCharType="begin"/>
        </w:r>
        <w:r>
          <w:instrText>PAGE   \* MERGEFORMAT</w:instrText>
        </w:r>
        <w:r>
          <w:fldChar w:fldCharType="separate"/>
        </w:r>
        <w:r w:rsidR="00453548" w:rsidRPr="00453548">
          <w:rPr>
            <w:noProof/>
            <w:lang w:val="zh-CN"/>
          </w:rPr>
          <w:t>10</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1DB85" w14:textId="77777777" w:rsidR="00957D3A" w:rsidRDefault="00957D3A">
    <w:pPr>
      <w:pStyle w:val="a5"/>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45C95" w14:textId="77777777" w:rsidR="00061625" w:rsidRDefault="00061625" w:rsidP="0023379B">
      <w:r>
        <w:separator/>
      </w:r>
    </w:p>
  </w:footnote>
  <w:footnote w:type="continuationSeparator" w:id="0">
    <w:p w14:paraId="096156C6" w14:textId="77777777" w:rsidR="00061625" w:rsidRDefault="00061625" w:rsidP="002337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15C9E" w14:textId="77777777" w:rsidR="00957D3A" w:rsidRDefault="00957D3A">
    <w:pPr>
      <w:pStyle w:val="a3"/>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27F0B" w14:textId="77777777" w:rsidR="00957D3A" w:rsidRDefault="00957D3A">
    <w:pPr>
      <w:pStyle w:val="a3"/>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02062" w14:textId="77777777" w:rsidR="00957D3A" w:rsidRDefault="00957D3A">
    <w:pPr>
      <w:pStyle w:val="a3"/>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lvl w:ilvl="0">
      <w:start w:val="1"/>
      <w:numFmt w:val="chineseCountingThousand"/>
      <w:suff w:val="space"/>
      <w:lvlText w:val="第%1章   "/>
      <w:lvlJc w:val="left"/>
      <w:pPr>
        <w:ind w:left="-2" w:firstLine="0"/>
      </w:pPr>
      <w:rPr>
        <w:rFonts w:ascii="黑体" w:eastAsia="黑体" w:hint="eastAsia"/>
        <w:b/>
        <w:i w:val="0"/>
        <w:sz w:val="30"/>
      </w:rPr>
    </w:lvl>
    <w:lvl w:ilvl="1">
      <w:start w:val="1"/>
      <w:numFmt w:val="chineseCountingThousand"/>
      <w:lvlText w:val="第%2节   "/>
      <w:lvlJc w:val="center"/>
      <w:pPr>
        <w:tabs>
          <w:tab w:val="num" w:pos="1008"/>
        </w:tabs>
        <w:ind w:left="-2" w:firstLine="290"/>
      </w:pPr>
      <w:rPr>
        <w:rFonts w:ascii="楷体_GB2312" w:eastAsia="楷体_GB2312" w:hint="eastAsia"/>
        <w:b/>
        <w:i w:val="0"/>
        <w:sz w:val="28"/>
      </w:rPr>
    </w:lvl>
    <w:lvl w:ilvl="2">
      <w:start w:val="1"/>
      <w:numFmt w:val="chineseCountingThousand"/>
      <w:suff w:val="nothing"/>
      <w:lvlText w:val="    %3、"/>
      <w:lvlJc w:val="left"/>
      <w:pPr>
        <w:ind w:left="0" w:firstLine="0"/>
      </w:pPr>
      <w:rPr>
        <w:rFonts w:ascii="黑体" w:eastAsia="黑体" w:hint="eastAsia"/>
        <w:b w:val="0"/>
        <w:i w:val="0"/>
        <w:sz w:val="24"/>
      </w:rPr>
    </w:lvl>
    <w:lvl w:ilvl="3">
      <w:start w:val="1"/>
      <w:numFmt w:val="chineseCountingThousand"/>
      <w:suff w:val="nothing"/>
      <w:lvlText w:val="（%4）"/>
      <w:lvlJc w:val="left"/>
      <w:pPr>
        <w:ind w:left="-482" w:firstLine="0"/>
      </w:pPr>
      <w:rPr>
        <w:rFonts w:ascii="宋体" w:eastAsia="宋体" w:hint="eastAsia"/>
        <w:b w:val="0"/>
        <w:i w:val="0"/>
        <w:sz w:val="24"/>
      </w:rPr>
    </w:lvl>
    <w:lvl w:ilvl="4">
      <w:start w:val="1"/>
      <w:numFmt w:val="decimal"/>
      <w:suff w:val="nothing"/>
      <w:lvlText w:val="%5、"/>
      <w:lvlJc w:val="left"/>
      <w:pPr>
        <w:ind w:left="-482" w:firstLine="0"/>
      </w:pPr>
      <w:rPr>
        <w:rFonts w:ascii="宋体" w:eastAsia="宋体" w:hint="eastAsia"/>
        <w:b w:val="0"/>
        <w:i w:val="0"/>
        <w:sz w:val="24"/>
      </w:rPr>
    </w:lvl>
    <w:lvl w:ilvl="5">
      <w:start w:val="1"/>
      <w:numFmt w:val="decimal"/>
      <w:suff w:val="nothing"/>
      <w:lvlText w:val="（%6）"/>
      <w:lvlJc w:val="left"/>
      <w:pPr>
        <w:ind w:left="-2" w:firstLine="0"/>
      </w:pPr>
      <w:rPr>
        <w:rFonts w:eastAsia="宋体" w:hint="eastAsia"/>
        <w:b w:val="0"/>
        <w:i w:val="0"/>
        <w:sz w:val="24"/>
      </w:rPr>
    </w:lvl>
    <w:lvl w:ilvl="6">
      <w:start w:val="1"/>
      <w:numFmt w:val="none"/>
      <w:suff w:val="nothing"/>
      <w:lvlText w:val=""/>
      <w:lvlJc w:val="left"/>
      <w:pPr>
        <w:ind w:left="798" w:firstLine="0"/>
      </w:pPr>
      <w:rPr>
        <w:rFonts w:hint="eastAsia"/>
      </w:rPr>
    </w:lvl>
    <w:lvl w:ilvl="7">
      <w:start w:val="1"/>
      <w:numFmt w:val="none"/>
      <w:suff w:val="nothing"/>
      <w:lvlText w:val=""/>
      <w:lvlJc w:val="left"/>
      <w:pPr>
        <w:ind w:left="798" w:firstLine="0"/>
      </w:pPr>
      <w:rPr>
        <w:rFonts w:hint="eastAsia"/>
      </w:rPr>
    </w:lvl>
    <w:lvl w:ilvl="8">
      <w:start w:val="1"/>
      <w:numFmt w:val="none"/>
      <w:suff w:val="nothing"/>
      <w:lvlText w:val=""/>
      <w:lvlJc w:val="left"/>
      <w:pPr>
        <w:ind w:left="798" w:firstLine="0"/>
      </w:pPr>
      <w:rPr>
        <w:rFonts w:hint="eastAsia"/>
      </w:rPr>
    </w:lvl>
  </w:abstractNum>
  <w:abstractNum w:abstractNumId="1" w15:restartNumberingAfterBreak="0">
    <w:nsid w:val="34001429"/>
    <w:multiLevelType w:val="hybridMultilevel"/>
    <w:tmpl w:val="A4FCF8CC"/>
    <w:lvl w:ilvl="0" w:tplc="5AA01398">
      <w:start w:val="1"/>
      <w:numFmt w:val="decimal"/>
      <w:suff w:val="space"/>
      <w:lvlText w:val="第%1条"/>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5D9863FE"/>
    <w:multiLevelType w:val="hybridMultilevel"/>
    <w:tmpl w:val="705A980A"/>
    <w:lvl w:ilvl="0" w:tplc="0E4E2E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E3E1926"/>
    <w:multiLevelType w:val="hybridMultilevel"/>
    <w:tmpl w:val="E5D2510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6ECA7EA5"/>
    <w:multiLevelType w:val="hybridMultilevel"/>
    <w:tmpl w:val="2940CF16"/>
    <w:lvl w:ilvl="0" w:tplc="837E17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1C86379"/>
    <w:multiLevelType w:val="hybridMultilevel"/>
    <w:tmpl w:val="DF0084C4"/>
    <w:lvl w:ilvl="0" w:tplc="DC44BDE0">
      <w:start w:val="1"/>
      <w:numFmt w:val="japaneseCounting"/>
      <w:lvlText w:val="%1、"/>
      <w:lvlJc w:val="left"/>
      <w:pPr>
        <w:ind w:left="900" w:hanging="90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E14"/>
    <w:rsid w:val="00004434"/>
    <w:rsid w:val="00015DBF"/>
    <w:rsid w:val="000407E5"/>
    <w:rsid w:val="000448F8"/>
    <w:rsid w:val="00051646"/>
    <w:rsid w:val="00051F7F"/>
    <w:rsid w:val="00061625"/>
    <w:rsid w:val="000638F2"/>
    <w:rsid w:val="000654A2"/>
    <w:rsid w:val="00095442"/>
    <w:rsid w:val="00096CED"/>
    <w:rsid w:val="000C487A"/>
    <w:rsid w:val="000D766B"/>
    <w:rsid w:val="000E6EDB"/>
    <w:rsid w:val="000F08FF"/>
    <w:rsid w:val="000F0B9A"/>
    <w:rsid w:val="000F1E0B"/>
    <w:rsid w:val="000F2810"/>
    <w:rsid w:val="000F6FAF"/>
    <w:rsid w:val="0010105B"/>
    <w:rsid w:val="00102676"/>
    <w:rsid w:val="0010605B"/>
    <w:rsid w:val="00110225"/>
    <w:rsid w:val="00122C31"/>
    <w:rsid w:val="00127072"/>
    <w:rsid w:val="00127315"/>
    <w:rsid w:val="00141E78"/>
    <w:rsid w:val="0014244C"/>
    <w:rsid w:val="0014339A"/>
    <w:rsid w:val="00144604"/>
    <w:rsid w:val="00147F97"/>
    <w:rsid w:val="00161FD7"/>
    <w:rsid w:val="00164006"/>
    <w:rsid w:val="00166478"/>
    <w:rsid w:val="00167B37"/>
    <w:rsid w:val="0019333E"/>
    <w:rsid w:val="00195B3E"/>
    <w:rsid w:val="001A18B8"/>
    <w:rsid w:val="001D18A4"/>
    <w:rsid w:val="001E401D"/>
    <w:rsid w:val="001E620E"/>
    <w:rsid w:val="001F59B5"/>
    <w:rsid w:val="0020061C"/>
    <w:rsid w:val="00204B8F"/>
    <w:rsid w:val="00212682"/>
    <w:rsid w:val="00213BF6"/>
    <w:rsid w:val="002212F1"/>
    <w:rsid w:val="00222CA1"/>
    <w:rsid w:val="00223129"/>
    <w:rsid w:val="00231FB0"/>
    <w:rsid w:val="0023379B"/>
    <w:rsid w:val="0024036B"/>
    <w:rsid w:val="00245F06"/>
    <w:rsid w:val="00265F09"/>
    <w:rsid w:val="00283E26"/>
    <w:rsid w:val="00286801"/>
    <w:rsid w:val="00290574"/>
    <w:rsid w:val="002A201A"/>
    <w:rsid w:val="002A3743"/>
    <w:rsid w:val="002A5470"/>
    <w:rsid w:val="002B03C0"/>
    <w:rsid w:val="002C311B"/>
    <w:rsid w:val="002C45BB"/>
    <w:rsid w:val="002C5A5F"/>
    <w:rsid w:val="002C6556"/>
    <w:rsid w:val="002D6844"/>
    <w:rsid w:val="002E2812"/>
    <w:rsid w:val="002E3A26"/>
    <w:rsid w:val="002F06AE"/>
    <w:rsid w:val="00304DF9"/>
    <w:rsid w:val="003107FC"/>
    <w:rsid w:val="00320014"/>
    <w:rsid w:val="00320741"/>
    <w:rsid w:val="00324FD8"/>
    <w:rsid w:val="00340247"/>
    <w:rsid w:val="00363525"/>
    <w:rsid w:val="00376D40"/>
    <w:rsid w:val="0037771D"/>
    <w:rsid w:val="0038017B"/>
    <w:rsid w:val="00380787"/>
    <w:rsid w:val="00394AB2"/>
    <w:rsid w:val="003A63DC"/>
    <w:rsid w:val="003B2D30"/>
    <w:rsid w:val="003B3975"/>
    <w:rsid w:val="003C34EB"/>
    <w:rsid w:val="003C7505"/>
    <w:rsid w:val="003E0131"/>
    <w:rsid w:val="003E291B"/>
    <w:rsid w:val="003E539F"/>
    <w:rsid w:val="003E5C61"/>
    <w:rsid w:val="00401264"/>
    <w:rsid w:val="0040262D"/>
    <w:rsid w:val="00407080"/>
    <w:rsid w:val="00415891"/>
    <w:rsid w:val="004174FA"/>
    <w:rsid w:val="004205E6"/>
    <w:rsid w:val="00430695"/>
    <w:rsid w:val="004459E3"/>
    <w:rsid w:val="00453548"/>
    <w:rsid w:val="00465221"/>
    <w:rsid w:val="00465E1D"/>
    <w:rsid w:val="00467B62"/>
    <w:rsid w:val="00470F2D"/>
    <w:rsid w:val="00471878"/>
    <w:rsid w:val="00472B62"/>
    <w:rsid w:val="0048299D"/>
    <w:rsid w:val="004931D8"/>
    <w:rsid w:val="00493AF3"/>
    <w:rsid w:val="004C0CF4"/>
    <w:rsid w:val="004E3CE9"/>
    <w:rsid w:val="004F05A1"/>
    <w:rsid w:val="004F17DD"/>
    <w:rsid w:val="004F7427"/>
    <w:rsid w:val="004F7A05"/>
    <w:rsid w:val="00501874"/>
    <w:rsid w:val="00510FA6"/>
    <w:rsid w:val="00514481"/>
    <w:rsid w:val="005171A5"/>
    <w:rsid w:val="00520F9F"/>
    <w:rsid w:val="0052106C"/>
    <w:rsid w:val="0053280E"/>
    <w:rsid w:val="00544297"/>
    <w:rsid w:val="00551AE5"/>
    <w:rsid w:val="00551D41"/>
    <w:rsid w:val="00554FBA"/>
    <w:rsid w:val="00560BE7"/>
    <w:rsid w:val="00573281"/>
    <w:rsid w:val="005805F1"/>
    <w:rsid w:val="00582E61"/>
    <w:rsid w:val="00587291"/>
    <w:rsid w:val="00596801"/>
    <w:rsid w:val="005A47F3"/>
    <w:rsid w:val="005A7168"/>
    <w:rsid w:val="005A7FFA"/>
    <w:rsid w:val="005B0B94"/>
    <w:rsid w:val="005C4E68"/>
    <w:rsid w:val="005E117D"/>
    <w:rsid w:val="005E42C0"/>
    <w:rsid w:val="005F1216"/>
    <w:rsid w:val="00602219"/>
    <w:rsid w:val="00604A0D"/>
    <w:rsid w:val="0060746D"/>
    <w:rsid w:val="006075D8"/>
    <w:rsid w:val="006200ED"/>
    <w:rsid w:val="0063363A"/>
    <w:rsid w:val="00635C70"/>
    <w:rsid w:val="00635FB4"/>
    <w:rsid w:val="0063762A"/>
    <w:rsid w:val="00645C77"/>
    <w:rsid w:val="00646D85"/>
    <w:rsid w:val="00667077"/>
    <w:rsid w:val="00671196"/>
    <w:rsid w:val="00672CF0"/>
    <w:rsid w:val="006752AD"/>
    <w:rsid w:val="00675940"/>
    <w:rsid w:val="00676443"/>
    <w:rsid w:val="006778C6"/>
    <w:rsid w:val="00677E91"/>
    <w:rsid w:val="00680C6C"/>
    <w:rsid w:val="006D58AF"/>
    <w:rsid w:val="006D5959"/>
    <w:rsid w:val="006D7093"/>
    <w:rsid w:val="006E768F"/>
    <w:rsid w:val="006F7346"/>
    <w:rsid w:val="0070132C"/>
    <w:rsid w:val="00703B60"/>
    <w:rsid w:val="007168FF"/>
    <w:rsid w:val="00725994"/>
    <w:rsid w:val="00733F8A"/>
    <w:rsid w:val="00734660"/>
    <w:rsid w:val="0073569C"/>
    <w:rsid w:val="00750A75"/>
    <w:rsid w:val="00757BB5"/>
    <w:rsid w:val="00765796"/>
    <w:rsid w:val="00765804"/>
    <w:rsid w:val="00776094"/>
    <w:rsid w:val="00784922"/>
    <w:rsid w:val="00785FF8"/>
    <w:rsid w:val="00790514"/>
    <w:rsid w:val="00790C79"/>
    <w:rsid w:val="00793983"/>
    <w:rsid w:val="00797743"/>
    <w:rsid w:val="007A2B52"/>
    <w:rsid w:val="007A7CFB"/>
    <w:rsid w:val="007B5976"/>
    <w:rsid w:val="007B7E92"/>
    <w:rsid w:val="007C126C"/>
    <w:rsid w:val="007C6E74"/>
    <w:rsid w:val="007D3F62"/>
    <w:rsid w:val="007D4A83"/>
    <w:rsid w:val="007D512E"/>
    <w:rsid w:val="007E0DF0"/>
    <w:rsid w:val="007E1C09"/>
    <w:rsid w:val="007E32DA"/>
    <w:rsid w:val="007E69AE"/>
    <w:rsid w:val="007F2AA5"/>
    <w:rsid w:val="007F783D"/>
    <w:rsid w:val="00803005"/>
    <w:rsid w:val="00804CD0"/>
    <w:rsid w:val="00805242"/>
    <w:rsid w:val="0081713F"/>
    <w:rsid w:val="00826A2C"/>
    <w:rsid w:val="008302FD"/>
    <w:rsid w:val="00831B62"/>
    <w:rsid w:val="00834F26"/>
    <w:rsid w:val="00853811"/>
    <w:rsid w:val="00857C16"/>
    <w:rsid w:val="00877FB9"/>
    <w:rsid w:val="00881486"/>
    <w:rsid w:val="00893D84"/>
    <w:rsid w:val="00894FD7"/>
    <w:rsid w:val="008B1E46"/>
    <w:rsid w:val="008B3E78"/>
    <w:rsid w:val="008B7D44"/>
    <w:rsid w:val="008C73E0"/>
    <w:rsid w:val="008E52D6"/>
    <w:rsid w:val="00904474"/>
    <w:rsid w:val="00907A8C"/>
    <w:rsid w:val="00915BFA"/>
    <w:rsid w:val="009207B7"/>
    <w:rsid w:val="00923546"/>
    <w:rsid w:val="00933714"/>
    <w:rsid w:val="00943B51"/>
    <w:rsid w:val="009452DA"/>
    <w:rsid w:val="00952246"/>
    <w:rsid w:val="009546A7"/>
    <w:rsid w:val="00957D3A"/>
    <w:rsid w:val="00971EA3"/>
    <w:rsid w:val="00974CCB"/>
    <w:rsid w:val="0097788F"/>
    <w:rsid w:val="00986980"/>
    <w:rsid w:val="0099150A"/>
    <w:rsid w:val="009D16C4"/>
    <w:rsid w:val="009E50FD"/>
    <w:rsid w:val="009E64FB"/>
    <w:rsid w:val="009E6650"/>
    <w:rsid w:val="009E7C1B"/>
    <w:rsid w:val="009E7C34"/>
    <w:rsid w:val="009F6A09"/>
    <w:rsid w:val="00A010CD"/>
    <w:rsid w:val="00A02FE9"/>
    <w:rsid w:val="00A11412"/>
    <w:rsid w:val="00A13712"/>
    <w:rsid w:val="00A1562C"/>
    <w:rsid w:val="00A25435"/>
    <w:rsid w:val="00A269B6"/>
    <w:rsid w:val="00A30C5D"/>
    <w:rsid w:val="00A31E06"/>
    <w:rsid w:val="00A401E8"/>
    <w:rsid w:val="00A64034"/>
    <w:rsid w:val="00A65BF8"/>
    <w:rsid w:val="00A74336"/>
    <w:rsid w:val="00A74C30"/>
    <w:rsid w:val="00A80B47"/>
    <w:rsid w:val="00A81A1A"/>
    <w:rsid w:val="00A84EAA"/>
    <w:rsid w:val="00A903BC"/>
    <w:rsid w:val="00A9244D"/>
    <w:rsid w:val="00A97960"/>
    <w:rsid w:val="00AA5EFC"/>
    <w:rsid w:val="00AB3BAE"/>
    <w:rsid w:val="00AB435F"/>
    <w:rsid w:val="00AB4DA8"/>
    <w:rsid w:val="00AB7466"/>
    <w:rsid w:val="00AC6E64"/>
    <w:rsid w:val="00AD5E83"/>
    <w:rsid w:val="00AE47B8"/>
    <w:rsid w:val="00B21DB3"/>
    <w:rsid w:val="00B251CA"/>
    <w:rsid w:val="00B3396B"/>
    <w:rsid w:val="00B34A8E"/>
    <w:rsid w:val="00B47667"/>
    <w:rsid w:val="00B5791B"/>
    <w:rsid w:val="00B70D87"/>
    <w:rsid w:val="00B800F5"/>
    <w:rsid w:val="00B8215E"/>
    <w:rsid w:val="00B83993"/>
    <w:rsid w:val="00BA108C"/>
    <w:rsid w:val="00BA28BF"/>
    <w:rsid w:val="00BB53A3"/>
    <w:rsid w:val="00BD0A21"/>
    <w:rsid w:val="00BD124A"/>
    <w:rsid w:val="00BD6280"/>
    <w:rsid w:val="00BE484A"/>
    <w:rsid w:val="00BE6FB9"/>
    <w:rsid w:val="00BF0DCA"/>
    <w:rsid w:val="00BF53E0"/>
    <w:rsid w:val="00C05869"/>
    <w:rsid w:val="00C07BE1"/>
    <w:rsid w:val="00C139C3"/>
    <w:rsid w:val="00C22AAA"/>
    <w:rsid w:val="00C23A24"/>
    <w:rsid w:val="00C46631"/>
    <w:rsid w:val="00C54483"/>
    <w:rsid w:val="00C564F6"/>
    <w:rsid w:val="00C63BB9"/>
    <w:rsid w:val="00C6688F"/>
    <w:rsid w:val="00C76A9D"/>
    <w:rsid w:val="00C86F10"/>
    <w:rsid w:val="00C9604D"/>
    <w:rsid w:val="00CA2279"/>
    <w:rsid w:val="00CB7EDA"/>
    <w:rsid w:val="00CC3C51"/>
    <w:rsid w:val="00CD18D7"/>
    <w:rsid w:val="00CD272F"/>
    <w:rsid w:val="00CD4A1D"/>
    <w:rsid w:val="00CD5AB5"/>
    <w:rsid w:val="00CE7897"/>
    <w:rsid w:val="00CF13BD"/>
    <w:rsid w:val="00CF2A55"/>
    <w:rsid w:val="00CF5570"/>
    <w:rsid w:val="00D01CC3"/>
    <w:rsid w:val="00D07919"/>
    <w:rsid w:val="00D16D59"/>
    <w:rsid w:val="00D235A0"/>
    <w:rsid w:val="00D24A0F"/>
    <w:rsid w:val="00D337C7"/>
    <w:rsid w:val="00D379E6"/>
    <w:rsid w:val="00D46238"/>
    <w:rsid w:val="00D54E5A"/>
    <w:rsid w:val="00D56D3A"/>
    <w:rsid w:val="00D63A60"/>
    <w:rsid w:val="00D70B81"/>
    <w:rsid w:val="00D72B6C"/>
    <w:rsid w:val="00D75158"/>
    <w:rsid w:val="00D921D3"/>
    <w:rsid w:val="00D9239F"/>
    <w:rsid w:val="00D94BFF"/>
    <w:rsid w:val="00D94E14"/>
    <w:rsid w:val="00DA04EC"/>
    <w:rsid w:val="00DB1A5A"/>
    <w:rsid w:val="00DB7F7D"/>
    <w:rsid w:val="00DC2E92"/>
    <w:rsid w:val="00DD10B4"/>
    <w:rsid w:val="00DD150B"/>
    <w:rsid w:val="00DE5528"/>
    <w:rsid w:val="00DE685B"/>
    <w:rsid w:val="00DF140C"/>
    <w:rsid w:val="00E02824"/>
    <w:rsid w:val="00E10CDF"/>
    <w:rsid w:val="00E13415"/>
    <w:rsid w:val="00E15F36"/>
    <w:rsid w:val="00E20673"/>
    <w:rsid w:val="00E22396"/>
    <w:rsid w:val="00E23462"/>
    <w:rsid w:val="00E23972"/>
    <w:rsid w:val="00E23C01"/>
    <w:rsid w:val="00E266CE"/>
    <w:rsid w:val="00E31082"/>
    <w:rsid w:val="00E354A4"/>
    <w:rsid w:val="00E36678"/>
    <w:rsid w:val="00E46E06"/>
    <w:rsid w:val="00E66B16"/>
    <w:rsid w:val="00E715F1"/>
    <w:rsid w:val="00E94CE1"/>
    <w:rsid w:val="00EA07D1"/>
    <w:rsid w:val="00EA1A9B"/>
    <w:rsid w:val="00EA64AA"/>
    <w:rsid w:val="00EB2F69"/>
    <w:rsid w:val="00EB47B5"/>
    <w:rsid w:val="00EB5320"/>
    <w:rsid w:val="00EB7B75"/>
    <w:rsid w:val="00EC5419"/>
    <w:rsid w:val="00ED0F38"/>
    <w:rsid w:val="00ED18EA"/>
    <w:rsid w:val="00EE1529"/>
    <w:rsid w:val="00F14632"/>
    <w:rsid w:val="00F22F45"/>
    <w:rsid w:val="00F47E1F"/>
    <w:rsid w:val="00F53808"/>
    <w:rsid w:val="00F53810"/>
    <w:rsid w:val="00F62D2D"/>
    <w:rsid w:val="00F6592E"/>
    <w:rsid w:val="00F67DC0"/>
    <w:rsid w:val="00F7468F"/>
    <w:rsid w:val="00F824C8"/>
    <w:rsid w:val="00F83E8D"/>
    <w:rsid w:val="00F86F42"/>
    <w:rsid w:val="00FC08EE"/>
    <w:rsid w:val="00FE125D"/>
    <w:rsid w:val="00FE6E12"/>
    <w:rsid w:val="00FF2C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360EF"/>
  <w15:docId w15:val="{C08FC96F-2665-C843-9F1C-0C1289883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F7D"/>
    <w:pPr>
      <w:widowControl w:val="0"/>
      <w:spacing w:line="360" w:lineRule="auto"/>
      <w:ind w:firstLineChars="200" w:firstLine="560"/>
    </w:pPr>
    <w:rPr>
      <w:rFonts w:ascii="仿宋" w:eastAsia="仿宋" w:hAnsi="仿宋"/>
      <w:sz w:val="28"/>
      <w:szCs w:val="28"/>
    </w:rPr>
  </w:style>
  <w:style w:type="paragraph" w:styleId="1">
    <w:name w:val="heading 1"/>
    <w:basedOn w:val="a"/>
    <w:next w:val="a"/>
    <w:link w:val="10"/>
    <w:uiPriority w:val="9"/>
    <w:qFormat/>
    <w:rsid w:val="00467B62"/>
    <w:pPr>
      <w:keepNext/>
      <w:keepLines/>
      <w:spacing w:before="120" w:after="120"/>
      <w:ind w:firstLineChars="0" w:firstLine="0"/>
      <w:outlineLvl w:val="0"/>
    </w:pPr>
    <w:rPr>
      <w:rFonts w:ascii="黑体" w:eastAsia="黑体" w:hAnsi="黑体"/>
      <w:b/>
      <w:bCs/>
      <w:kern w:val="44"/>
      <w:sz w:val="40"/>
      <w:szCs w:val="40"/>
    </w:rPr>
  </w:style>
  <w:style w:type="paragraph" w:styleId="2">
    <w:name w:val="heading 2"/>
    <w:basedOn w:val="a"/>
    <w:next w:val="a"/>
    <w:link w:val="20"/>
    <w:uiPriority w:val="9"/>
    <w:unhideWhenUsed/>
    <w:qFormat/>
    <w:rsid w:val="00467B62"/>
    <w:pPr>
      <w:keepNext/>
      <w:keepLines/>
      <w:ind w:left="440" w:firstLineChars="0" w:hanging="440"/>
      <w:outlineLvl w:val="1"/>
    </w:pPr>
    <w:rPr>
      <w:rFonts w:ascii="Times New Roman" w:hAnsi="Times New Roman" w:cs="Times New Roman"/>
      <w:b/>
      <w:bCs/>
      <w:sz w:val="36"/>
      <w:szCs w:val="36"/>
    </w:rPr>
  </w:style>
  <w:style w:type="paragraph" w:styleId="3">
    <w:name w:val="heading 3"/>
    <w:basedOn w:val="a"/>
    <w:next w:val="a"/>
    <w:link w:val="30"/>
    <w:uiPriority w:val="9"/>
    <w:unhideWhenUsed/>
    <w:qFormat/>
    <w:rsid w:val="00667077"/>
    <w:pPr>
      <w:keepNext/>
      <w:keepLines/>
      <w:ind w:firstLineChars="0" w:firstLine="0"/>
      <w:outlineLvl w:val="2"/>
    </w:pPr>
    <w:rPr>
      <w:b/>
      <w:bCs/>
      <w:szCs w:val="32"/>
    </w:rPr>
  </w:style>
  <w:style w:type="paragraph" w:styleId="4">
    <w:name w:val="heading 4"/>
    <w:basedOn w:val="a"/>
    <w:next w:val="a"/>
    <w:link w:val="40"/>
    <w:uiPriority w:val="9"/>
    <w:unhideWhenUsed/>
    <w:qFormat/>
    <w:rsid w:val="004459E3"/>
    <w:pPr>
      <w:ind w:firstLine="562"/>
      <w:outlineLvl w:val="3"/>
    </w:pPr>
    <w:rPr>
      <w:b/>
      <w:bCs/>
    </w:rPr>
  </w:style>
  <w:style w:type="paragraph" w:styleId="5">
    <w:name w:val="heading 5"/>
    <w:basedOn w:val="4"/>
    <w:next w:val="a"/>
    <w:link w:val="50"/>
    <w:uiPriority w:val="9"/>
    <w:unhideWhenUsed/>
    <w:qFormat/>
    <w:rsid w:val="00A80B47"/>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7B62"/>
    <w:rPr>
      <w:rFonts w:ascii="黑体" w:eastAsia="黑体" w:hAnsi="黑体"/>
      <w:b/>
      <w:bCs/>
      <w:kern w:val="44"/>
      <w:sz w:val="40"/>
      <w:szCs w:val="40"/>
    </w:rPr>
  </w:style>
  <w:style w:type="paragraph" w:styleId="a3">
    <w:name w:val="header"/>
    <w:basedOn w:val="a"/>
    <w:link w:val="a4"/>
    <w:uiPriority w:val="99"/>
    <w:unhideWhenUsed/>
    <w:rsid w:val="002F06AE"/>
    <w:pPr>
      <w:tabs>
        <w:tab w:val="center" w:pos="4153"/>
        <w:tab w:val="right" w:pos="8306"/>
      </w:tabs>
      <w:snapToGrid w:val="0"/>
      <w:jc w:val="center"/>
    </w:pPr>
    <w:rPr>
      <w:sz w:val="18"/>
      <w:szCs w:val="18"/>
    </w:rPr>
  </w:style>
  <w:style w:type="character" w:customStyle="1" w:styleId="a4">
    <w:name w:val="页眉 字符"/>
    <w:basedOn w:val="a0"/>
    <w:link w:val="a3"/>
    <w:uiPriority w:val="99"/>
    <w:rsid w:val="002F06AE"/>
    <w:rPr>
      <w:rFonts w:ascii="仿宋" w:eastAsia="仿宋" w:hAnsi="仿宋"/>
      <w:sz w:val="18"/>
      <w:szCs w:val="18"/>
    </w:rPr>
  </w:style>
  <w:style w:type="paragraph" w:styleId="a5">
    <w:name w:val="footer"/>
    <w:basedOn w:val="a"/>
    <w:link w:val="a6"/>
    <w:uiPriority w:val="99"/>
    <w:unhideWhenUsed/>
    <w:rsid w:val="00D01CC3"/>
    <w:pPr>
      <w:tabs>
        <w:tab w:val="center" w:pos="4153"/>
        <w:tab w:val="right" w:pos="8306"/>
      </w:tabs>
      <w:snapToGrid w:val="0"/>
    </w:pPr>
    <w:rPr>
      <w:sz w:val="18"/>
      <w:szCs w:val="18"/>
    </w:rPr>
  </w:style>
  <w:style w:type="character" w:customStyle="1" w:styleId="a6">
    <w:name w:val="页脚 字符"/>
    <w:basedOn w:val="a0"/>
    <w:link w:val="a5"/>
    <w:uiPriority w:val="99"/>
    <w:rsid w:val="00D01CC3"/>
    <w:rPr>
      <w:sz w:val="18"/>
      <w:szCs w:val="18"/>
    </w:rPr>
  </w:style>
  <w:style w:type="character" w:customStyle="1" w:styleId="20">
    <w:name w:val="标题 2 字符"/>
    <w:basedOn w:val="a0"/>
    <w:link w:val="2"/>
    <w:uiPriority w:val="9"/>
    <w:rsid w:val="00467B62"/>
    <w:rPr>
      <w:rFonts w:ascii="Times New Roman" w:eastAsia="仿宋" w:hAnsi="Times New Roman" w:cs="Times New Roman"/>
      <w:b/>
      <w:bCs/>
      <w:sz w:val="36"/>
      <w:szCs w:val="36"/>
    </w:rPr>
  </w:style>
  <w:style w:type="paragraph" w:styleId="a7">
    <w:name w:val="Plain Text"/>
    <w:basedOn w:val="a"/>
    <w:link w:val="a8"/>
    <w:rsid w:val="00363525"/>
    <w:rPr>
      <w:rFonts w:ascii="宋体" w:eastAsia="宋体" w:hAnsi="Courier New" w:cs="Times New Roman"/>
      <w:szCs w:val="20"/>
    </w:rPr>
  </w:style>
  <w:style w:type="character" w:customStyle="1" w:styleId="a8">
    <w:name w:val="纯文本 字符"/>
    <w:basedOn w:val="a0"/>
    <w:link w:val="a7"/>
    <w:rsid w:val="00363525"/>
    <w:rPr>
      <w:rFonts w:ascii="宋体" w:eastAsia="宋体" w:hAnsi="Courier New" w:cs="Times New Roman"/>
      <w:szCs w:val="20"/>
    </w:rPr>
  </w:style>
  <w:style w:type="paragraph" w:customStyle="1" w:styleId="11">
    <w:name w:val="正文1"/>
    <w:basedOn w:val="a"/>
    <w:rsid w:val="00363525"/>
    <w:pPr>
      <w:tabs>
        <w:tab w:val="left" w:pos="0"/>
      </w:tabs>
      <w:snapToGrid w:val="0"/>
      <w:spacing w:line="440" w:lineRule="exact"/>
      <w:ind w:firstLine="540"/>
    </w:pPr>
    <w:rPr>
      <w:rFonts w:ascii="仿宋_GB2312" w:eastAsia="仿宋_GB2312" w:hAnsi="宋体" w:cs="Times New Roman"/>
      <w:b/>
      <w:color w:val="000000"/>
      <w:sz w:val="30"/>
      <w:szCs w:val="20"/>
    </w:rPr>
  </w:style>
  <w:style w:type="paragraph" w:customStyle="1" w:styleId="cybtext12-white">
    <w:name w:val="cybtext12-white"/>
    <w:basedOn w:val="a"/>
    <w:rsid w:val="00A401E8"/>
    <w:pPr>
      <w:widowControl/>
      <w:spacing w:before="100" w:beforeAutospacing="1" w:after="100" w:afterAutospacing="1" w:line="225" w:lineRule="atLeast"/>
    </w:pPr>
    <w:rPr>
      <w:rFonts w:ascii="ˎ̥" w:eastAsia="宋体" w:hAnsi="ˎ̥" w:cs="宋体"/>
      <w:color w:val="FFFFFF"/>
      <w:kern w:val="0"/>
      <w:sz w:val="18"/>
      <w:szCs w:val="18"/>
    </w:rPr>
  </w:style>
  <w:style w:type="paragraph" w:styleId="TOC">
    <w:name w:val="TOC Heading"/>
    <w:basedOn w:val="1"/>
    <w:next w:val="a"/>
    <w:uiPriority w:val="39"/>
    <w:unhideWhenUsed/>
    <w:qFormat/>
    <w:rsid w:val="00C139C3"/>
    <w:pPr>
      <w:widowControl/>
      <w:spacing w:before="240" w:after="0" w:line="259" w:lineRule="auto"/>
      <w:outlineLvl w:val="9"/>
    </w:pPr>
    <w:rPr>
      <w:rFonts w:asciiTheme="majorHAnsi" w:hAnsiTheme="majorHAnsi" w:cstheme="majorBidi"/>
      <w:b w:val="0"/>
      <w:bCs w:val="0"/>
      <w:color w:val="2E74B5" w:themeColor="accent1" w:themeShade="BF"/>
      <w:kern w:val="0"/>
      <w:sz w:val="32"/>
      <w:szCs w:val="32"/>
    </w:rPr>
  </w:style>
  <w:style w:type="paragraph" w:styleId="12">
    <w:name w:val="toc 1"/>
    <w:basedOn w:val="a"/>
    <w:next w:val="a"/>
    <w:autoRedefine/>
    <w:uiPriority w:val="39"/>
    <w:unhideWhenUsed/>
    <w:rsid w:val="00C139C3"/>
  </w:style>
  <w:style w:type="character" w:styleId="a9">
    <w:name w:val="Hyperlink"/>
    <w:basedOn w:val="a0"/>
    <w:uiPriority w:val="99"/>
    <w:unhideWhenUsed/>
    <w:rsid w:val="00C139C3"/>
    <w:rPr>
      <w:color w:val="0563C1" w:themeColor="hyperlink"/>
      <w:u w:val="single"/>
    </w:rPr>
  </w:style>
  <w:style w:type="paragraph" w:styleId="aa">
    <w:name w:val="Document Map"/>
    <w:basedOn w:val="a"/>
    <w:link w:val="ab"/>
    <w:uiPriority w:val="99"/>
    <w:semiHidden/>
    <w:unhideWhenUsed/>
    <w:rsid w:val="00ED18EA"/>
    <w:rPr>
      <w:rFonts w:ascii="宋体" w:eastAsia="宋体"/>
      <w:sz w:val="18"/>
      <w:szCs w:val="18"/>
    </w:rPr>
  </w:style>
  <w:style w:type="character" w:customStyle="1" w:styleId="ab">
    <w:name w:val="文档结构图 字符"/>
    <w:basedOn w:val="a0"/>
    <w:link w:val="aa"/>
    <w:uiPriority w:val="99"/>
    <w:semiHidden/>
    <w:rsid w:val="00ED18EA"/>
    <w:rPr>
      <w:rFonts w:ascii="宋体" w:eastAsia="宋体"/>
      <w:sz w:val="18"/>
      <w:szCs w:val="18"/>
    </w:rPr>
  </w:style>
  <w:style w:type="paragraph" w:styleId="ac">
    <w:name w:val="Balloon Text"/>
    <w:basedOn w:val="a"/>
    <w:link w:val="ad"/>
    <w:uiPriority w:val="99"/>
    <w:semiHidden/>
    <w:unhideWhenUsed/>
    <w:rsid w:val="00ED18EA"/>
    <w:rPr>
      <w:sz w:val="18"/>
      <w:szCs w:val="18"/>
    </w:rPr>
  </w:style>
  <w:style w:type="character" w:customStyle="1" w:styleId="ad">
    <w:name w:val="批注框文本 字符"/>
    <w:basedOn w:val="a0"/>
    <w:link w:val="ac"/>
    <w:uiPriority w:val="99"/>
    <w:semiHidden/>
    <w:rsid w:val="00ED18EA"/>
    <w:rPr>
      <w:sz w:val="18"/>
      <w:szCs w:val="18"/>
    </w:rPr>
  </w:style>
  <w:style w:type="paragraph" w:customStyle="1" w:styleId="Default">
    <w:name w:val="Default"/>
    <w:rsid w:val="00520F9F"/>
    <w:pPr>
      <w:widowControl w:val="0"/>
      <w:autoSpaceDE w:val="0"/>
      <w:autoSpaceDN w:val="0"/>
      <w:adjustRightInd w:val="0"/>
    </w:pPr>
    <w:rPr>
      <w:rFonts w:ascii="微软雅黑" w:eastAsia="微软雅黑" w:cs="微软雅黑"/>
      <w:color w:val="000000"/>
      <w:kern w:val="0"/>
      <w:sz w:val="24"/>
      <w:szCs w:val="24"/>
    </w:rPr>
  </w:style>
  <w:style w:type="character" w:styleId="ae">
    <w:name w:val="annotation reference"/>
    <w:basedOn w:val="a0"/>
    <w:uiPriority w:val="99"/>
    <w:semiHidden/>
    <w:unhideWhenUsed/>
    <w:rsid w:val="00FE125D"/>
    <w:rPr>
      <w:sz w:val="21"/>
      <w:szCs w:val="21"/>
    </w:rPr>
  </w:style>
  <w:style w:type="paragraph" w:styleId="af">
    <w:name w:val="annotation text"/>
    <w:basedOn w:val="a"/>
    <w:link w:val="af0"/>
    <w:uiPriority w:val="99"/>
    <w:unhideWhenUsed/>
    <w:rsid w:val="00FE125D"/>
  </w:style>
  <w:style w:type="character" w:customStyle="1" w:styleId="af0">
    <w:name w:val="批注文字 字符"/>
    <w:basedOn w:val="a0"/>
    <w:link w:val="af"/>
    <w:uiPriority w:val="99"/>
    <w:rsid w:val="00FE125D"/>
  </w:style>
  <w:style w:type="paragraph" w:styleId="af1">
    <w:name w:val="annotation subject"/>
    <w:basedOn w:val="af"/>
    <w:next w:val="af"/>
    <w:link w:val="af2"/>
    <w:uiPriority w:val="99"/>
    <w:semiHidden/>
    <w:unhideWhenUsed/>
    <w:rsid w:val="00FE125D"/>
    <w:rPr>
      <w:b/>
      <w:bCs/>
    </w:rPr>
  </w:style>
  <w:style w:type="character" w:customStyle="1" w:styleId="af2">
    <w:name w:val="批注主题 字符"/>
    <w:basedOn w:val="af0"/>
    <w:link w:val="af1"/>
    <w:uiPriority w:val="99"/>
    <w:semiHidden/>
    <w:rsid w:val="00FE125D"/>
    <w:rPr>
      <w:b/>
      <w:bCs/>
    </w:rPr>
  </w:style>
  <w:style w:type="paragraph" w:styleId="af3">
    <w:name w:val="No Spacing"/>
    <w:uiPriority w:val="1"/>
    <w:qFormat/>
    <w:rsid w:val="00EC5419"/>
    <w:pPr>
      <w:widowControl w:val="0"/>
      <w:jc w:val="both"/>
    </w:pPr>
  </w:style>
  <w:style w:type="character" w:customStyle="1" w:styleId="30">
    <w:name w:val="标题 3 字符"/>
    <w:basedOn w:val="a0"/>
    <w:link w:val="3"/>
    <w:uiPriority w:val="9"/>
    <w:rsid w:val="00667077"/>
    <w:rPr>
      <w:rFonts w:ascii="仿宋" w:eastAsia="仿宋" w:hAnsi="仿宋"/>
      <w:b/>
      <w:bCs/>
      <w:sz w:val="28"/>
      <w:szCs w:val="32"/>
    </w:rPr>
  </w:style>
  <w:style w:type="paragraph" w:styleId="21">
    <w:name w:val="toc 2"/>
    <w:basedOn w:val="a"/>
    <w:next w:val="a"/>
    <w:autoRedefine/>
    <w:uiPriority w:val="39"/>
    <w:unhideWhenUsed/>
    <w:rsid w:val="005805F1"/>
    <w:pPr>
      <w:ind w:leftChars="200" w:left="420"/>
    </w:pPr>
  </w:style>
  <w:style w:type="paragraph" w:styleId="31">
    <w:name w:val="toc 3"/>
    <w:basedOn w:val="a"/>
    <w:next w:val="a"/>
    <w:autoRedefine/>
    <w:uiPriority w:val="39"/>
    <w:unhideWhenUsed/>
    <w:rsid w:val="005805F1"/>
    <w:pPr>
      <w:ind w:leftChars="400" w:left="840"/>
    </w:pPr>
  </w:style>
  <w:style w:type="character" w:customStyle="1" w:styleId="50">
    <w:name w:val="标题 5 字符"/>
    <w:basedOn w:val="a0"/>
    <w:link w:val="5"/>
    <w:uiPriority w:val="9"/>
    <w:rsid w:val="00A80B47"/>
    <w:rPr>
      <w:rFonts w:ascii="仿宋" w:eastAsia="仿宋" w:hAnsi="仿宋"/>
      <w:b/>
      <w:bCs/>
      <w:sz w:val="28"/>
      <w:szCs w:val="28"/>
    </w:rPr>
  </w:style>
  <w:style w:type="paragraph" w:styleId="af4">
    <w:name w:val="Body Text Indent"/>
    <w:basedOn w:val="a"/>
    <w:link w:val="af5"/>
    <w:uiPriority w:val="99"/>
    <w:unhideWhenUsed/>
    <w:rsid w:val="00B34A8E"/>
    <w:pPr>
      <w:spacing w:after="120"/>
      <w:ind w:leftChars="200" w:left="420" w:firstLineChars="0" w:firstLine="0"/>
      <w:jc w:val="both"/>
    </w:pPr>
    <w:rPr>
      <w:rFonts w:ascii="Times New Roman" w:eastAsia="宋体" w:hAnsi="Times New Roman" w:cs="Times New Roman"/>
      <w:sz w:val="24"/>
      <w:szCs w:val="24"/>
    </w:rPr>
  </w:style>
  <w:style w:type="character" w:customStyle="1" w:styleId="af5">
    <w:name w:val="正文文本缩进 字符"/>
    <w:basedOn w:val="a0"/>
    <w:link w:val="af4"/>
    <w:uiPriority w:val="99"/>
    <w:rsid w:val="00B34A8E"/>
    <w:rPr>
      <w:rFonts w:ascii="Times New Roman" w:eastAsia="宋体" w:hAnsi="Times New Roman" w:cs="Times New Roman"/>
      <w:sz w:val="24"/>
      <w:szCs w:val="24"/>
    </w:rPr>
  </w:style>
  <w:style w:type="character" w:customStyle="1" w:styleId="40">
    <w:name w:val="标题 4 字符"/>
    <w:basedOn w:val="a0"/>
    <w:link w:val="4"/>
    <w:uiPriority w:val="9"/>
    <w:rsid w:val="004459E3"/>
    <w:rPr>
      <w:rFonts w:ascii="仿宋" w:eastAsia="仿宋" w:hAnsi="仿宋"/>
      <w:b/>
      <w:bCs/>
      <w:sz w:val="28"/>
      <w:szCs w:val="28"/>
    </w:rPr>
  </w:style>
  <w:style w:type="paragraph" w:styleId="af6">
    <w:name w:val="Normal (Web)"/>
    <w:basedOn w:val="a"/>
    <w:uiPriority w:val="99"/>
    <w:semiHidden/>
    <w:unhideWhenUsed/>
    <w:rsid w:val="00BF53E0"/>
    <w:pPr>
      <w:widowControl/>
      <w:spacing w:before="100" w:beforeAutospacing="1" w:after="100" w:afterAutospacing="1" w:line="240" w:lineRule="auto"/>
      <w:ind w:firstLineChars="0" w:firstLine="0"/>
    </w:pPr>
    <w:rPr>
      <w:rFonts w:ascii="宋体" w:eastAsia="宋体" w:hAnsi="宋体" w:cs="宋体"/>
      <w:kern w:val="0"/>
      <w:sz w:val="24"/>
      <w:szCs w:val="24"/>
    </w:rPr>
  </w:style>
  <w:style w:type="table" w:styleId="af7">
    <w:name w:val="Table Grid"/>
    <w:basedOn w:val="a1"/>
    <w:uiPriority w:val="39"/>
    <w:rsid w:val="00040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7965">
      <w:bodyDiv w:val="1"/>
      <w:marLeft w:val="0"/>
      <w:marRight w:val="0"/>
      <w:marTop w:val="0"/>
      <w:marBottom w:val="0"/>
      <w:divBdr>
        <w:top w:val="none" w:sz="0" w:space="0" w:color="auto"/>
        <w:left w:val="none" w:sz="0" w:space="0" w:color="auto"/>
        <w:bottom w:val="none" w:sz="0" w:space="0" w:color="auto"/>
        <w:right w:val="none" w:sz="0" w:space="0" w:color="auto"/>
      </w:divBdr>
    </w:div>
    <w:div w:id="80418662">
      <w:bodyDiv w:val="1"/>
      <w:marLeft w:val="0"/>
      <w:marRight w:val="0"/>
      <w:marTop w:val="0"/>
      <w:marBottom w:val="0"/>
      <w:divBdr>
        <w:top w:val="none" w:sz="0" w:space="0" w:color="auto"/>
        <w:left w:val="none" w:sz="0" w:space="0" w:color="auto"/>
        <w:bottom w:val="none" w:sz="0" w:space="0" w:color="auto"/>
        <w:right w:val="none" w:sz="0" w:space="0" w:color="auto"/>
      </w:divBdr>
    </w:div>
    <w:div w:id="165289444">
      <w:bodyDiv w:val="1"/>
      <w:marLeft w:val="0"/>
      <w:marRight w:val="0"/>
      <w:marTop w:val="0"/>
      <w:marBottom w:val="0"/>
      <w:divBdr>
        <w:top w:val="none" w:sz="0" w:space="0" w:color="auto"/>
        <w:left w:val="none" w:sz="0" w:space="0" w:color="auto"/>
        <w:bottom w:val="none" w:sz="0" w:space="0" w:color="auto"/>
        <w:right w:val="none" w:sz="0" w:space="0" w:color="auto"/>
      </w:divBdr>
    </w:div>
    <w:div w:id="200627620">
      <w:bodyDiv w:val="1"/>
      <w:marLeft w:val="0"/>
      <w:marRight w:val="0"/>
      <w:marTop w:val="0"/>
      <w:marBottom w:val="0"/>
      <w:divBdr>
        <w:top w:val="none" w:sz="0" w:space="0" w:color="auto"/>
        <w:left w:val="none" w:sz="0" w:space="0" w:color="auto"/>
        <w:bottom w:val="none" w:sz="0" w:space="0" w:color="auto"/>
        <w:right w:val="none" w:sz="0" w:space="0" w:color="auto"/>
      </w:divBdr>
    </w:div>
    <w:div w:id="240339345">
      <w:bodyDiv w:val="1"/>
      <w:marLeft w:val="0"/>
      <w:marRight w:val="0"/>
      <w:marTop w:val="0"/>
      <w:marBottom w:val="0"/>
      <w:divBdr>
        <w:top w:val="none" w:sz="0" w:space="0" w:color="auto"/>
        <w:left w:val="none" w:sz="0" w:space="0" w:color="auto"/>
        <w:bottom w:val="none" w:sz="0" w:space="0" w:color="auto"/>
        <w:right w:val="none" w:sz="0" w:space="0" w:color="auto"/>
      </w:divBdr>
    </w:div>
    <w:div w:id="251790694">
      <w:bodyDiv w:val="1"/>
      <w:marLeft w:val="0"/>
      <w:marRight w:val="0"/>
      <w:marTop w:val="0"/>
      <w:marBottom w:val="0"/>
      <w:divBdr>
        <w:top w:val="none" w:sz="0" w:space="0" w:color="auto"/>
        <w:left w:val="none" w:sz="0" w:space="0" w:color="auto"/>
        <w:bottom w:val="none" w:sz="0" w:space="0" w:color="auto"/>
        <w:right w:val="none" w:sz="0" w:space="0" w:color="auto"/>
      </w:divBdr>
    </w:div>
    <w:div w:id="258298784">
      <w:bodyDiv w:val="1"/>
      <w:marLeft w:val="0"/>
      <w:marRight w:val="0"/>
      <w:marTop w:val="0"/>
      <w:marBottom w:val="0"/>
      <w:divBdr>
        <w:top w:val="none" w:sz="0" w:space="0" w:color="auto"/>
        <w:left w:val="none" w:sz="0" w:space="0" w:color="auto"/>
        <w:bottom w:val="none" w:sz="0" w:space="0" w:color="auto"/>
        <w:right w:val="none" w:sz="0" w:space="0" w:color="auto"/>
      </w:divBdr>
    </w:div>
    <w:div w:id="343943025">
      <w:bodyDiv w:val="1"/>
      <w:marLeft w:val="0"/>
      <w:marRight w:val="0"/>
      <w:marTop w:val="0"/>
      <w:marBottom w:val="0"/>
      <w:divBdr>
        <w:top w:val="none" w:sz="0" w:space="0" w:color="auto"/>
        <w:left w:val="none" w:sz="0" w:space="0" w:color="auto"/>
        <w:bottom w:val="none" w:sz="0" w:space="0" w:color="auto"/>
        <w:right w:val="none" w:sz="0" w:space="0" w:color="auto"/>
      </w:divBdr>
    </w:div>
    <w:div w:id="702290023">
      <w:bodyDiv w:val="1"/>
      <w:marLeft w:val="0"/>
      <w:marRight w:val="0"/>
      <w:marTop w:val="0"/>
      <w:marBottom w:val="0"/>
      <w:divBdr>
        <w:top w:val="none" w:sz="0" w:space="0" w:color="auto"/>
        <w:left w:val="none" w:sz="0" w:space="0" w:color="auto"/>
        <w:bottom w:val="none" w:sz="0" w:space="0" w:color="auto"/>
        <w:right w:val="none" w:sz="0" w:space="0" w:color="auto"/>
      </w:divBdr>
    </w:div>
    <w:div w:id="730616446">
      <w:bodyDiv w:val="1"/>
      <w:marLeft w:val="0"/>
      <w:marRight w:val="0"/>
      <w:marTop w:val="0"/>
      <w:marBottom w:val="0"/>
      <w:divBdr>
        <w:top w:val="none" w:sz="0" w:space="0" w:color="auto"/>
        <w:left w:val="none" w:sz="0" w:space="0" w:color="auto"/>
        <w:bottom w:val="none" w:sz="0" w:space="0" w:color="auto"/>
        <w:right w:val="none" w:sz="0" w:space="0" w:color="auto"/>
      </w:divBdr>
    </w:div>
    <w:div w:id="850678615">
      <w:bodyDiv w:val="1"/>
      <w:marLeft w:val="0"/>
      <w:marRight w:val="0"/>
      <w:marTop w:val="0"/>
      <w:marBottom w:val="0"/>
      <w:divBdr>
        <w:top w:val="none" w:sz="0" w:space="0" w:color="auto"/>
        <w:left w:val="none" w:sz="0" w:space="0" w:color="auto"/>
        <w:bottom w:val="none" w:sz="0" w:space="0" w:color="auto"/>
        <w:right w:val="none" w:sz="0" w:space="0" w:color="auto"/>
      </w:divBdr>
    </w:div>
    <w:div w:id="945575439">
      <w:bodyDiv w:val="1"/>
      <w:marLeft w:val="0"/>
      <w:marRight w:val="0"/>
      <w:marTop w:val="0"/>
      <w:marBottom w:val="0"/>
      <w:divBdr>
        <w:top w:val="none" w:sz="0" w:space="0" w:color="auto"/>
        <w:left w:val="none" w:sz="0" w:space="0" w:color="auto"/>
        <w:bottom w:val="none" w:sz="0" w:space="0" w:color="auto"/>
        <w:right w:val="none" w:sz="0" w:space="0" w:color="auto"/>
      </w:divBdr>
    </w:div>
    <w:div w:id="1169252824">
      <w:bodyDiv w:val="1"/>
      <w:marLeft w:val="0"/>
      <w:marRight w:val="0"/>
      <w:marTop w:val="0"/>
      <w:marBottom w:val="0"/>
      <w:divBdr>
        <w:top w:val="none" w:sz="0" w:space="0" w:color="auto"/>
        <w:left w:val="none" w:sz="0" w:space="0" w:color="auto"/>
        <w:bottom w:val="none" w:sz="0" w:space="0" w:color="auto"/>
        <w:right w:val="none" w:sz="0" w:space="0" w:color="auto"/>
      </w:divBdr>
      <w:divsChild>
        <w:div w:id="20710642">
          <w:marLeft w:val="0"/>
          <w:marRight w:val="0"/>
          <w:marTop w:val="0"/>
          <w:marBottom w:val="0"/>
          <w:divBdr>
            <w:top w:val="none" w:sz="0" w:space="0" w:color="auto"/>
            <w:left w:val="none" w:sz="0" w:space="0" w:color="auto"/>
            <w:bottom w:val="none" w:sz="0" w:space="0" w:color="auto"/>
            <w:right w:val="none" w:sz="0" w:space="0" w:color="auto"/>
          </w:divBdr>
        </w:div>
      </w:divsChild>
    </w:div>
    <w:div w:id="1177576624">
      <w:bodyDiv w:val="1"/>
      <w:marLeft w:val="0"/>
      <w:marRight w:val="0"/>
      <w:marTop w:val="0"/>
      <w:marBottom w:val="0"/>
      <w:divBdr>
        <w:top w:val="none" w:sz="0" w:space="0" w:color="auto"/>
        <w:left w:val="none" w:sz="0" w:space="0" w:color="auto"/>
        <w:bottom w:val="none" w:sz="0" w:space="0" w:color="auto"/>
        <w:right w:val="none" w:sz="0" w:space="0" w:color="auto"/>
      </w:divBdr>
    </w:div>
    <w:div w:id="1298141517">
      <w:bodyDiv w:val="1"/>
      <w:marLeft w:val="0"/>
      <w:marRight w:val="0"/>
      <w:marTop w:val="0"/>
      <w:marBottom w:val="0"/>
      <w:divBdr>
        <w:top w:val="none" w:sz="0" w:space="0" w:color="auto"/>
        <w:left w:val="none" w:sz="0" w:space="0" w:color="auto"/>
        <w:bottom w:val="none" w:sz="0" w:space="0" w:color="auto"/>
        <w:right w:val="none" w:sz="0" w:space="0" w:color="auto"/>
      </w:divBdr>
    </w:div>
    <w:div w:id="1355107408">
      <w:bodyDiv w:val="1"/>
      <w:marLeft w:val="0"/>
      <w:marRight w:val="0"/>
      <w:marTop w:val="0"/>
      <w:marBottom w:val="0"/>
      <w:divBdr>
        <w:top w:val="none" w:sz="0" w:space="0" w:color="auto"/>
        <w:left w:val="none" w:sz="0" w:space="0" w:color="auto"/>
        <w:bottom w:val="none" w:sz="0" w:space="0" w:color="auto"/>
        <w:right w:val="none" w:sz="0" w:space="0" w:color="auto"/>
      </w:divBdr>
    </w:div>
    <w:div w:id="1372612277">
      <w:bodyDiv w:val="1"/>
      <w:marLeft w:val="0"/>
      <w:marRight w:val="0"/>
      <w:marTop w:val="0"/>
      <w:marBottom w:val="0"/>
      <w:divBdr>
        <w:top w:val="none" w:sz="0" w:space="0" w:color="auto"/>
        <w:left w:val="none" w:sz="0" w:space="0" w:color="auto"/>
        <w:bottom w:val="none" w:sz="0" w:space="0" w:color="auto"/>
        <w:right w:val="none" w:sz="0" w:space="0" w:color="auto"/>
      </w:divBdr>
    </w:div>
    <w:div w:id="1390497586">
      <w:bodyDiv w:val="1"/>
      <w:marLeft w:val="0"/>
      <w:marRight w:val="0"/>
      <w:marTop w:val="0"/>
      <w:marBottom w:val="0"/>
      <w:divBdr>
        <w:top w:val="none" w:sz="0" w:space="0" w:color="auto"/>
        <w:left w:val="none" w:sz="0" w:space="0" w:color="auto"/>
        <w:bottom w:val="none" w:sz="0" w:space="0" w:color="auto"/>
        <w:right w:val="none" w:sz="0" w:space="0" w:color="auto"/>
      </w:divBdr>
    </w:div>
    <w:div w:id="1392384796">
      <w:bodyDiv w:val="1"/>
      <w:marLeft w:val="0"/>
      <w:marRight w:val="0"/>
      <w:marTop w:val="0"/>
      <w:marBottom w:val="0"/>
      <w:divBdr>
        <w:top w:val="none" w:sz="0" w:space="0" w:color="auto"/>
        <w:left w:val="none" w:sz="0" w:space="0" w:color="auto"/>
        <w:bottom w:val="none" w:sz="0" w:space="0" w:color="auto"/>
        <w:right w:val="none" w:sz="0" w:space="0" w:color="auto"/>
      </w:divBdr>
    </w:div>
    <w:div w:id="1489400688">
      <w:bodyDiv w:val="1"/>
      <w:marLeft w:val="0"/>
      <w:marRight w:val="0"/>
      <w:marTop w:val="0"/>
      <w:marBottom w:val="0"/>
      <w:divBdr>
        <w:top w:val="none" w:sz="0" w:space="0" w:color="auto"/>
        <w:left w:val="none" w:sz="0" w:space="0" w:color="auto"/>
        <w:bottom w:val="none" w:sz="0" w:space="0" w:color="auto"/>
        <w:right w:val="none" w:sz="0" w:space="0" w:color="auto"/>
      </w:divBdr>
    </w:div>
    <w:div w:id="1491751436">
      <w:bodyDiv w:val="1"/>
      <w:marLeft w:val="0"/>
      <w:marRight w:val="0"/>
      <w:marTop w:val="0"/>
      <w:marBottom w:val="0"/>
      <w:divBdr>
        <w:top w:val="none" w:sz="0" w:space="0" w:color="auto"/>
        <w:left w:val="none" w:sz="0" w:space="0" w:color="auto"/>
        <w:bottom w:val="none" w:sz="0" w:space="0" w:color="auto"/>
        <w:right w:val="none" w:sz="0" w:space="0" w:color="auto"/>
      </w:divBdr>
    </w:div>
    <w:div w:id="1708414312">
      <w:bodyDiv w:val="1"/>
      <w:marLeft w:val="0"/>
      <w:marRight w:val="0"/>
      <w:marTop w:val="0"/>
      <w:marBottom w:val="0"/>
      <w:divBdr>
        <w:top w:val="none" w:sz="0" w:space="0" w:color="auto"/>
        <w:left w:val="none" w:sz="0" w:space="0" w:color="auto"/>
        <w:bottom w:val="none" w:sz="0" w:space="0" w:color="auto"/>
        <w:right w:val="none" w:sz="0" w:space="0" w:color="auto"/>
      </w:divBdr>
    </w:div>
    <w:div w:id="1746606994">
      <w:bodyDiv w:val="1"/>
      <w:marLeft w:val="0"/>
      <w:marRight w:val="0"/>
      <w:marTop w:val="0"/>
      <w:marBottom w:val="0"/>
      <w:divBdr>
        <w:top w:val="none" w:sz="0" w:space="0" w:color="auto"/>
        <w:left w:val="none" w:sz="0" w:space="0" w:color="auto"/>
        <w:bottom w:val="none" w:sz="0" w:space="0" w:color="auto"/>
        <w:right w:val="none" w:sz="0" w:space="0" w:color="auto"/>
      </w:divBdr>
      <w:divsChild>
        <w:div w:id="2097702085">
          <w:marLeft w:val="720"/>
          <w:marRight w:val="0"/>
          <w:marTop w:val="0"/>
          <w:marBottom w:val="0"/>
          <w:divBdr>
            <w:top w:val="none" w:sz="0" w:space="0" w:color="auto"/>
            <w:left w:val="none" w:sz="0" w:space="0" w:color="auto"/>
            <w:bottom w:val="none" w:sz="0" w:space="0" w:color="auto"/>
            <w:right w:val="none" w:sz="0" w:space="0" w:color="auto"/>
          </w:divBdr>
        </w:div>
        <w:div w:id="1642731586">
          <w:marLeft w:val="720"/>
          <w:marRight w:val="0"/>
          <w:marTop w:val="0"/>
          <w:marBottom w:val="0"/>
          <w:divBdr>
            <w:top w:val="none" w:sz="0" w:space="0" w:color="auto"/>
            <w:left w:val="none" w:sz="0" w:space="0" w:color="auto"/>
            <w:bottom w:val="none" w:sz="0" w:space="0" w:color="auto"/>
            <w:right w:val="none" w:sz="0" w:space="0" w:color="auto"/>
          </w:divBdr>
        </w:div>
        <w:div w:id="794105213">
          <w:marLeft w:val="720"/>
          <w:marRight w:val="0"/>
          <w:marTop w:val="0"/>
          <w:marBottom w:val="0"/>
          <w:divBdr>
            <w:top w:val="none" w:sz="0" w:space="0" w:color="auto"/>
            <w:left w:val="none" w:sz="0" w:space="0" w:color="auto"/>
            <w:bottom w:val="none" w:sz="0" w:space="0" w:color="auto"/>
            <w:right w:val="none" w:sz="0" w:space="0" w:color="auto"/>
          </w:divBdr>
        </w:div>
        <w:div w:id="627780047">
          <w:marLeft w:val="720"/>
          <w:marRight w:val="0"/>
          <w:marTop w:val="0"/>
          <w:marBottom w:val="0"/>
          <w:divBdr>
            <w:top w:val="none" w:sz="0" w:space="0" w:color="auto"/>
            <w:left w:val="none" w:sz="0" w:space="0" w:color="auto"/>
            <w:bottom w:val="none" w:sz="0" w:space="0" w:color="auto"/>
            <w:right w:val="none" w:sz="0" w:space="0" w:color="auto"/>
          </w:divBdr>
        </w:div>
        <w:div w:id="1543664968">
          <w:marLeft w:val="720"/>
          <w:marRight w:val="0"/>
          <w:marTop w:val="0"/>
          <w:marBottom w:val="0"/>
          <w:divBdr>
            <w:top w:val="none" w:sz="0" w:space="0" w:color="auto"/>
            <w:left w:val="none" w:sz="0" w:space="0" w:color="auto"/>
            <w:bottom w:val="none" w:sz="0" w:space="0" w:color="auto"/>
            <w:right w:val="none" w:sz="0" w:space="0" w:color="auto"/>
          </w:divBdr>
        </w:div>
      </w:divsChild>
    </w:div>
    <w:div w:id="1801802664">
      <w:bodyDiv w:val="1"/>
      <w:marLeft w:val="0"/>
      <w:marRight w:val="0"/>
      <w:marTop w:val="0"/>
      <w:marBottom w:val="0"/>
      <w:divBdr>
        <w:top w:val="none" w:sz="0" w:space="0" w:color="auto"/>
        <w:left w:val="none" w:sz="0" w:space="0" w:color="auto"/>
        <w:bottom w:val="none" w:sz="0" w:space="0" w:color="auto"/>
        <w:right w:val="none" w:sz="0" w:space="0" w:color="auto"/>
      </w:divBdr>
    </w:div>
    <w:div w:id="2011567467">
      <w:bodyDiv w:val="1"/>
      <w:marLeft w:val="0"/>
      <w:marRight w:val="0"/>
      <w:marTop w:val="0"/>
      <w:marBottom w:val="0"/>
      <w:divBdr>
        <w:top w:val="none" w:sz="0" w:space="0" w:color="auto"/>
        <w:left w:val="none" w:sz="0" w:space="0" w:color="auto"/>
        <w:bottom w:val="none" w:sz="0" w:space="0" w:color="auto"/>
        <w:right w:val="none" w:sz="0" w:space="0" w:color="auto"/>
      </w:divBdr>
    </w:div>
    <w:div w:id="2027824205">
      <w:bodyDiv w:val="1"/>
      <w:marLeft w:val="0"/>
      <w:marRight w:val="0"/>
      <w:marTop w:val="0"/>
      <w:marBottom w:val="0"/>
      <w:divBdr>
        <w:top w:val="none" w:sz="0" w:space="0" w:color="auto"/>
        <w:left w:val="none" w:sz="0" w:space="0" w:color="auto"/>
        <w:bottom w:val="none" w:sz="0" w:space="0" w:color="auto"/>
        <w:right w:val="none" w:sz="0" w:space="0" w:color="auto"/>
      </w:divBdr>
    </w:div>
    <w:div w:id="2081829630">
      <w:bodyDiv w:val="1"/>
      <w:marLeft w:val="0"/>
      <w:marRight w:val="0"/>
      <w:marTop w:val="0"/>
      <w:marBottom w:val="0"/>
      <w:divBdr>
        <w:top w:val="none" w:sz="0" w:space="0" w:color="auto"/>
        <w:left w:val="none" w:sz="0" w:space="0" w:color="auto"/>
        <w:bottom w:val="none" w:sz="0" w:space="0" w:color="auto"/>
        <w:right w:val="none" w:sz="0" w:space="0" w:color="auto"/>
      </w:divBdr>
    </w:div>
    <w:div w:id="2082633164">
      <w:bodyDiv w:val="1"/>
      <w:marLeft w:val="0"/>
      <w:marRight w:val="0"/>
      <w:marTop w:val="0"/>
      <w:marBottom w:val="0"/>
      <w:divBdr>
        <w:top w:val="none" w:sz="0" w:space="0" w:color="auto"/>
        <w:left w:val="none" w:sz="0" w:space="0" w:color="auto"/>
        <w:bottom w:val="none" w:sz="0" w:space="0" w:color="auto"/>
        <w:right w:val="none" w:sz="0" w:space="0" w:color="auto"/>
      </w:divBdr>
    </w:div>
    <w:div w:id="210221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310B7-4512-448D-A2D7-88E792EBB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775</Words>
  <Characters>4422</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ZQL</cp:lastModifiedBy>
  <cp:revision>5</cp:revision>
  <cp:lastPrinted>2025-01-02T08:28:00Z</cp:lastPrinted>
  <dcterms:created xsi:type="dcterms:W3CDTF">2025-01-02T08:12:00Z</dcterms:created>
  <dcterms:modified xsi:type="dcterms:W3CDTF">2025-01-02T09:14:00Z</dcterms:modified>
</cp:coreProperties>
</file>