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color w:val="auto"/>
          <w:sz w:val="40"/>
          <w:szCs w:val="40"/>
        </w:rPr>
      </w:pPr>
      <w:r>
        <w:rPr>
          <w:rFonts w:ascii="方正小标宋简体" w:hAnsi="方正小标宋简体" w:eastAsia="方正小标宋简体" w:cs="方正小标宋简体"/>
          <w:color w:val="auto"/>
          <w:kern w:val="0"/>
          <w:sz w:val="40"/>
          <w:szCs w:val="40"/>
          <w:lang w:val="en-US" w:eastAsia="zh-CN" w:bidi="ar"/>
        </w:rPr>
        <w:t>舟山市住房和城乡建设局关于</w:t>
      </w:r>
      <w:r>
        <w:rPr>
          <w:rFonts w:hint="eastAsia" w:ascii="方正小标宋简体" w:hAnsi="方正小标宋简体" w:eastAsia="方正小标宋简体" w:cs="方正小标宋简体"/>
          <w:color w:val="auto"/>
          <w:kern w:val="0"/>
          <w:sz w:val="40"/>
          <w:szCs w:val="40"/>
          <w:lang w:val="en-US" w:eastAsia="zh-CN" w:bidi="ar"/>
        </w:rPr>
        <w:t>修订</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color w:val="auto"/>
          <w:sz w:val="40"/>
          <w:szCs w:val="40"/>
        </w:rPr>
      </w:pPr>
      <w:r>
        <w:rPr>
          <w:rFonts w:hint="eastAsia" w:ascii="方正小标宋简体" w:hAnsi="方正小标宋简体" w:eastAsia="方正小标宋简体" w:cs="方正小标宋简体"/>
          <w:color w:val="auto"/>
          <w:kern w:val="0"/>
          <w:sz w:val="40"/>
          <w:szCs w:val="40"/>
          <w:lang w:val="en-US" w:eastAsia="zh-CN" w:bidi="ar"/>
        </w:rPr>
        <w:t>《舟山市房屋建筑和市政基础设施施工</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color w:val="auto"/>
          <w:sz w:val="40"/>
          <w:szCs w:val="40"/>
        </w:rPr>
      </w:pPr>
      <w:r>
        <w:rPr>
          <w:rFonts w:hint="eastAsia" w:ascii="方正小标宋简体" w:hAnsi="方正小标宋简体" w:eastAsia="方正小标宋简体" w:cs="方正小标宋简体"/>
          <w:color w:val="auto"/>
          <w:kern w:val="0"/>
          <w:sz w:val="40"/>
          <w:szCs w:val="40"/>
          <w:lang w:val="en-US" w:eastAsia="zh-CN" w:bidi="ar"/>
        </w:rPr>
        <w:t>总承包评标办法》的通知（征求意见稿）</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ascii="仿宋_GB2312" w:hAnsi="宋体" w:eastAsia="仿宋_GB2312" w:cs="仿宋_GB2312"/>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color w:val="auto"/>
          <w:sz w:val="32"/>
          <w:szCs w:val="32"/>
        </w:rPr>
      </w:pPr>
      <w:r>
        <w:rPr>
          <w:rFonts w:ascii="仿宋_GB2312" w:hAnsi="宋体" w:eastAsia="仿宋_GB2312" w:cs="仿宋_GB2312"/>
          <w:color w:val="auto"/>
          <w:kern w:val="0"/>
          <w:sz w:val="32"/>
          <w:szCs w:val="32"/>
          <w:lang w:val="en-US" w:eastAsia="zh-CN" w:bidi="ar"/>
        </w:rPr>
        <w:t>各县（区）住建局、功能区建设局、各相关单位：</w:t>
      </w:r>
      <w:r>
        <w:rPr>
          <w:rFonts w:hint="eastAsia" w:ascii="仿宋_GB2312" w:hAnsi="宋体" w:eastAsia="仿宋_GB2312" w:cs="仿宋_GB2312"/>
          <w:color w:val="auto"/>
          <w:kern w:val="0"/>
          <w:sz w:val="32"/>
          <w:szCs w:val="32"/>
          <w:lang w:val="en-US" w:eastAsia="zh-CN" w:bidi="ar"/>
        </w:rPr>
        <w:t xml:space="preserve">  </w:t>
      </w:r>
      <w:r>
        <w:rPr>
          <w:rFonts w:ascii="仿宋_GB2312" w:hAnsi="宋体" w:eastAsia="仿宋_GB2312" w:cs="仿宋_GB2312"/>
          <w:color w:val="auto"/>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s="仿宋_GB2312"/>
          <w:color w:val="000000"/>
          <w:sz w:val="31"/>
          <w:szCs w:val="31"/>
          <w:lang w:val="en-US" w:eastAsia="zh-CN"/>
        </w:rPr>
      </w:pPr>
      <w:r>
        <w:rPr>
          <w:rFonts w:hint="eastAsia" w:ascii="仿宋_GB2312" w:hAnsi="仿宋_GB2312" w:eastAsia="仿宋_GB2312" w:cs="仿宋_GB2312"/>
          <w:sz w:val="32"/>
          <w:szCs w:val="32"/>
          <w:lang w:val="en-US" w:eastAsia="zh-CN"/>
        </w:rPr>
        <w:t>根据《浙江省促进民营经济高质量发展若干措施》、省发改委《关于严格落实招投标“七个不准”的通知》（浙发改公管〔2023〕245号）和</w:t>
      </w:r>
      <w:r>
        <w:rPr>
          <w:rFonts w:hint="eastAsia" w:ascii="仿宋_GB2312" w:eastAsia="仿宋_GB2312" w:cs="仿宋_GB2312"/>
          <w:color w:val="000000"/>
          <w:sz w:val="31"/>
          <w:szCs w:val="31"/>
          <w:lang w:val="en-US" w:eastAsia="zh-CN"/>
        </w:rPr>
        <w:t>省级示范文本“评定分离”的相关要求</w:t>
      </w:r>
      <w:r>
        <w:rPr>
          <w:rFonts w:hint="eastAsia" w:ascii="仿宋_GB2312" w:hAnsi="仿宋_GB2312" w:eastAsia="仿宋_GB2312" w:cs="仿宋_GB2312"/>
          <w:sz w:val="32"/>
          <w:szCs w:val="32"/>
          <w:lang w:val="en-US" w:eastAsia="zh-CN"/>
        </w:rPr>
        <w:t>，</w:t>
      </w:r>
      <w:r>
        <w:rPr>
          <w:rFonts w:hint="eastAsia" w:ascii="仿宋_GB2312" w:hAnsi="宋体" w:eastAsia="仿宋_GB2312" w:cs="仿宋_GB2312"/>
          <w:color w:val="auto"/>
          <w:kern w:val="0"/>
          <w:sz w:val="32"/>
          <w:szCs w:val="32"/>
          <w:lang w:val="en-US" w:eastAsia="zh-CN" w:bidi="ar"/>
        </w:rPr>
        <w:t>我局对《舟山市房屋建筑和市政基础设施施工总承包评标办法》（</w:t>
      </w:r>
      <w:r>
        <w:rPr>
          <w:rFonts w:ascii="仿宋_GB2312" w:hAnsi="宋体" w:eastAsia="仿宋_GB2312" w:cs="仿宋_GB2312"/>
          <w:color w:val="auto"/>
          <w:kern w:val="0"/>
          <w:sz w:val="32"/>
          <w:szCs w:val="32"/>
          <w:lang w:val="en-US" w:eastAsia="zh-CN" w:bidi="ar"/>
        </w:rPr>
        <w:t>舟建发〔</w:t>
      </w:r>
      <w:r>
        <w:rPr>
          <w:rFonts w:hint="eastAsia" w:ascii="仿宋_GB2312" w:hAnsi="宋体" w:eastAsia="仿宋_GB2312" w:cs="仿宋_GB2312"/>
          <w:color w:val="auto"/>
          <w:kern w:val="0"/>
          <w:sz w:val="32"/>
          <w:szCs w:val="32"/>
          <w:lang w:val="en-US" w:eastAsia="zh-CN" w:bidi="ar"/>
        </w:rPr>
        <w:t>2023〕85号）进行了</w:t>
      </w:r>
      <w:r>
        <w:rPr>
          <w:rFonts w:hint="eastAsia" w:ascii="仿宋_GB2312" w:eastAsia="仿宋_GB2312" w:cs="仿宋_GB2312"/>
          <w:color w:val="000000"/>
          <w:sz w:val="31"/>
          <w:szCs w:val="31"/>
          <w:lang w:val="en-US" w:eastAsia="zh-CN"/>
        </w:rPr>
        <w:t>修订和完善，现印发给你们，请遵照执行。</w:t>
      </w:r>
    </w:p>
    <w:p>
      <w:pPr>
        <w:ind w:firstLine="640" w:firstLineChars="200"/>
        <w:jc w:val="both"/>
        <w:rPr>
          <w:rFonts w:hint="default"/>
          <w:lang w:val="en-US" w:eastAsia="zh-CN"/>
        </w:rPr>
      </w:pPr>
      <w:r>
        <w:rPr>
          <w:rFonts w:hint="eastAsia" w:ascii="仿宋_GB2312" w:hAnsi="宋体" w:eastAsia="仿宋_GB2312" w:cs="仿宋_GB2312"/>
          <w:color w:val="auto"/>
          <w:kern w:val="0"/>
          <w:sz w:val="32"/>
          <w:szCs w:val="32"/>
          <w:lang w:val="en-US" w:eastAsia="zh-CN" w:bidi="ar"/>
        </w:rPr>
        <w:t>同时，对舟山市园林绿化工程招投标规定作如下调整：1、园林绿化工程招标文件参照《浙江省房屋建筑和市政基础设施施工招标文件示范文本（2023版）》执行。2、园林绿化工程评标定标办法参照《舟山市房屋建筑和市政基础设施施工总承包评标定标办法（征求意见稿）》执行。3、园林绿化工程项目负责人应具备相应的初级及以上技术职称。</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eastAsia="仿宋_GB2312" w:cs="仿宋_GB2312"/>
          <w:color w:val="000000"/>
          <w:sz w:val="31"/>
          <w:szCs w:val="31"/>
          <w:lang w:val="en-US" w:eastAsia="zh-CN"/>
        </w:rPr>
      </w:pPr>
      <w:r>
        <w:rPr>
          <w:rFonts w:hint="eastAsia" w:ascii="仿宋_GB2312" w:eastAsia="仿宋_GB2312" w:cs="仿宋_GB2312"/>
          <w:color w:val="000000"/>
          <w:sz w:val="31"/>
          <w:szCs w:val="31"/>
          <w:lang w:val="en-US" w:eastAsia="zh-CN"/>
        </w:rPr>
        <w:t>本通知自*年*月*日起执行，在*月*日之前已完成招标文件备案的项目仍执行原规定，原评标办法与本通知不一致的以本通知为准。</w:t>
      </w:r>
      <w:r>
        <w:rPr>
          <w:rFonts w:hint="eastAsia" w:ascii="仿宋_GB2312" w:hAnsi="宋体" w:eastAsia="仿宋_GB2312" w:cs="仿宋_GB2312"/>
          <w:color w:val="auto"/>
          <w:kern w:val="0"/>
          <w:sz w:val="32"/>
          <w:szCs w:val="32"/>
          <w:lang w:val="en-US" w:eastAsia="zh-CN" w:bidi="ar"/>
        </w:rPr>
        <w:t xml:space="preserve"> </w:t>
      </w:r>
      <w:r>
        <w:rPr>
          <w:rFonts w:hint="default" w:ascii="仿宋_GB2312" w:hAnsi="宋体" w:eastAsia="仿宋_GB2312" w:cs="仿宋_GB2312"/>
          <w:color w:val="auto"/>
          <w:kern w:val="0"/>
          <w:sz w:val="32"/>
          <w:szCs w:val="32"/>
          <w:lang w:val="en-US" w:eastAsia="zh-CN" w:bidi="ar"/>
        </w:rPr>
        <w:t>《关于规范我市园林绿化工程招投标活动的通知》（舟建发〔2018〕9号）和《关于园林绿化工程招投标活动中信誉标设置的规定》（舟建发〔2018〕84号）废止</w:t>
      </w:r>
      <w:r>
        <w:rPr>
          <w:rFonts w:hint="eastAsia" w:ascii="仿宋_GB2312" w:hAnsi="宋体" w:eastAsia="仿宋_GB2312" w:cs="仿宋_GB2312"/>
          <w:color w:val="auto"/>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eastAsia="仿宋_GB2312" w:cs="仿宋_GB2312"/>
          <w:color w:val="000000"/>
          <w:sz w:val="31"/>
          <w:szCs w:val="31"/>
          <w:lang w:val="en-US" w:eastAsia="zh-CN"/>
        </w:rPr>
      </w:pPr>
      <w:r>
        <w:rPr>
          <w:rFonts w:hint="eastAsia" w:ascii="仿宋_GB2312" w:eastAsia="仿宋_GB2312" w:cs="仿宋_GB2312"/>
          <w:color w:val="000000"/>
          <w:sz w:val="31"/>
          <w:szCs w:val="31"/>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仿宋_GB2312"/>
          <w:color w:val="auto"/>
          <w:kern w:val="0"/>
          <w:sz w:val="32"/>
          <w:szCs w:val="32"/>
          <w:lang w:val="en-US" w:eastAsia="zh-CN" w:bidi="ar"/>
        </w:rPr>
      </w:pPr>
    </w:p>
    <w:p>
      <w:pPr>
        <w:pStyle w:val="3"/>
        <w:jc w:val="both"/>
        <w:rPr>
          <w:rFonts w:hint="eastAsia"/>
          <w:highlight w:val="white"/>
        </w:rPr>
      </w:pPr>
      <w:r>
        <w:rPr>
          <w:rFonts w:hint="eastAsia" w:ascii="仿宋_GB2312" w:hAnsi="宋体" w:eastAsia="仿宋_GB2312" w:cs="仿宋_GB2312"/>
          <w:color w:val="auto"/>
          <w:kern w:val="0"/>
          <w:sz w:val="32"/>
          <w:szCs w:val="32"/>
          <w:lang w:val="en-US" w:eastAsia="zh-CN" w:bidi="ar"/>
        </w:rPr>
        <w:t xml:space="preserve">    附件：</w:t>
      </w:r>
      <w:r>
        <w:rPr>
          <w:rFonts w:hint="eastAsia" w:ascii="仿宋_GB2312" w:hAnsi="宋体" w:eastAsia="仿宋_GB2312" w:cs="仿宋_GB2312"/>
          <w:bCs w:val="0"/>
          <w:color w:val="auto"/>
          <w:kern w:val="0"/>
          <w:sz w:val="32"/>
          <w:szCs w:val="32"/>
          <w:lang w:val="en-US" w:eastAsia="zh-CN" w:bidi="ar"/>
        </w:rPr>
        <w:t>舟山市房屋建筑和市政基础设施施工总承包评标定标办法（征求意见稿）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right"/>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舟山市住房和城乡建设局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right"/>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2024年*月*日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rPr>
          <w:rFonts w:hint="eastAsia" w:ascii="仿宋_GB2312" w:hAnsi="宋体" w:eastAsia="仿宋_GB2312" w:cs="仿宋_GB2312"/>
          <w:color w:val="auto"/>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rPr>
          <w:rFonts w:hint="eastAsia" w:ascii="仿宋_GB2312" w:hAnsi="宋体" w:eastAsia="仿宋_GB2312" w:cs="仿宋_GB2312"/>
          <w:color w:val="auto"/>
          <w:kern w:val="0"/>
          <w:sz w:val="32"/>
          <w:szCs w:val="32"/>
          <w:lang w:val="en-US" w:eastAsia="zh-CN" w:bidi="ar"/>
        </w:rPr>
      </w:pPr>
    </w:p>
    <w:p>
      <w:pPr>
        <w:pStyle w:val="3"/>
        <w:rPr>
          <w:rFonts w:hint="eastAsia"/>
          <w:highlight w:val="white"/>
        </w:rPr>
      </w:pPr>
      <w:bookmarkStart w:id="0" w:name="_Toc142033667"/>
      <w:r>
        <w:rPr>
          <w:rFonts w:hint="eastAsia"/>
          <w:highlight w:val="white"/>
        </w:rPr>
        <w:t>舟山市房屋建筑和市政基础设施施工总承包评标</w:t>
      </w:r>
      <w:r>
        <w:rPr>
          <w:rFonts w:hint="eastAsia"/>
          <w:highlight w:val="white"/>
          <w:lang w:val="en-US" w:eastAsia="zh-CN"/>
        </w:rPr>
        <w:t>定标</w:t>
      </w:r>
      <w:r>
        <w:rPr>
          <w:rFonts w:hint="eastAsia"/>
          <w:highlight w:val="white"/>
        </w:rPr>
        <w:t>办法（征求意见</w:t>
      </w:r>
      <w:r>
        <w:rPr>
          <w:rFonts w:hint="eastAsia"/>
          <w:highlight w:val="white"/>
          <w:lang w:val="en-US" w:eastAsia="zh-CN"/>
        </w:rPr>
        <w:t>稿</w:t>
      </w:r>
      <w:r>
        <w:rPr>
          <w:rFonts w:hint="eastAsia"/>
          <w:highlight w:val="white"/>
        </w:rPr>
        <w:t>）</w:t>
      </w:r>
    </w:p>
    <w:p>
      <w:pPr>
        <w:pStyle w:val="3"/>
        <w:rPr>
          <w:highlight w:val="none"/>
        </w:rPr>
      </w:pPr>
      <w:r>
        <w:rPr>
          <w:rFonts w:hint="eastAsia"/>
          <w:highlight w:val="none"/>
        </w:rPr>
        <w:t>第三章</w:t>
      </w:r>
      <w:r>
        <w:rPr>
          <w:highlight w:val="none"/>
        </w:rPr>
        <w:t xml:space="preserve"> </w:t>
      </w:r>
      <w:r>
        <w:rPr>
          <w:rFonts w:hint="eastAsia"/>
          <w:highlight w:val="none"/>
        </w:rPr>
        <w:t>评标</w:t>
      </w:r>
      <w:r>
        <w:rPr>
          <w:rFonts w:hint="eastAsia"/>
          <w:highlight w:val="none"/>
          <w:lang w:eastAsia="zh-CN"/>
        </w:rPr>
        <w:t>定标</w:t>
      </w:r>
      <w:r>
        <w:rPr>
          <w:rFonts w:hint="eastAsia"/>
          <w:highlight w:val="none"/>
        </w:rPr>
        <w:t>办法</w:t>
      </w:r>
    </w:p>
    <w:p>
      <w:pPr>
        <w:pStyle w:val="4"/>
        <w:keepNext w:val="0"/>
        <w:keepLines w:val="0"/>
        <w:pageBreakBefore w:val="0"/>
        <w:overflowPunct/>
        <w:topLinePunct w:val="0"/>
        <w:bidi w:val="0"/>
        <w:spacing w:line="240" w:lineRule="auto"/>
        <w:ind w:firstLine="281"/>
        <w:jc w:val="center"/>
        <w:rPr>
          <w:rFonts w:ascii="Times New Roman" w:hAnsi="Times New Roman"/>
          <w:color w:val="auto"/>
          <w:highlight w:val="none"/>
        </w:rPr>
      </w:pPr>
      <w:bookmarkStart w:id="1" w:name="EB7e9437915aac47c48bfef48f7560715f"/>
      <w:r>
        <w:rPr>
          <w:rFonts w:hint="eastAsia"/>
          <w:color w:val="000080"/>
          <w:sz w:val="20"/>
          <w:highlight w:val="none"/>
        </w:rPr>
        <w:t xml:space="preserve"> </w:t>
      </w:r>
      <w:bookmarkEnd w:id="1"/>
      <w:bookmarkStart w:id="2" w:name="EB1efd14ef946c434985396bccce674355"/>
      <w:r>
        <w:rPr>
          <w:rFonts w:hint="eastAsia"/>
          <w:color w:val="000080"/>
          <w:sz w:val="20"/>
          <w:highlight w:val="none"/>
        </w:rPr>
        <w:t xml:space="preserve"> </w:t>
      </w:r>
      <w:bookmarkEnd w:id="2"/>
      <w:bookmarkStart w:id="3" w:name="_Toc23880"/>
      <w:bookmarkStart w:id="4" w:name="_Toc493511448"/>
      <w:r>
        <w:rPr>
          <w:rFonts w:ascii="Times New Roman" w:hAnsi="Times New Roman"/>
          <w:color w:val="auto"/>
          <w:highlight w:val="none"/>
        </w:rPr>
        <w:t>第一节 评标办法</w:t>
      </w:r>
      <w:bookmarkEnd w:id="3"/>
      <w:bookmarkEnd w:id="4"/>
      <w:bookmarkStart w:id="5" w:name="EBa33e82eb4dbd4558a1727fad5957aa91"/>
      <w:bookmarkEnd w:id="5"/>
    </w:p>
    <w:p>
      <w:pPr>
        <w:pStyle w:val="4"/>
        <w:keepNext w:val="0"/>
        <w:keepLines w:val="0"/>
        <w:pageBreakBefore w:val="0"/>
        <w:overflowPunct/>
        <w:topLinePunct w:val="0"/>
        <w:bidi w:val="0"/>
        <w:spacing w:line="240" w:lineRule="auto"/>
        <w:ind w:firstLine="281"/>
        <w:jc w:val="left"/>
        <w:rPr>
          <w:rFonts w:hint="eastAsia"/>
          <w:sz w:val="24"/>
          <w:szCs w:val="24"/>
          <w:highlight w:val="none"/>
        </w:rPr>
      </w:pPr>
      <w:r>
        <w:rPr>
          <w:rFonts w:ascii="宋体" w:hAnsi="宋体"/>
          <w:color w:val="auto"/>
          <w:sz w:val="28"/>
          <w:szCs w:val="28"/>
          <w:highlight w:val="none"/>
        </w:rPr>
        <w:t>□</w:t>
      </w:r>
      <w:r>
        <w:rPr>
          <w:rFonts w:hint="eastAsia"/>
          <w:sz w:val="24"/>
          <w:szCs w:val="24"/>
          <w:highlight w:val="none"/>
        </w:rPr>
        <w:t>评标办法（一）</w:t>
      </w:r>
    </w:p>
    <w:p>
      <w:pPr>
        <w:keepNext w:val="0"/>
        <w:keepLines w:val="0"/>
        <w:pageBreakBefore w:val="0"/>
        <w:overflowPunct/>
        <w:topLinePunct w:val="0"/>
        <w:autoSpaceDE w:val="0"/>
        <w:autoSpaceDN w:val="0"/>
        <w:bidi w:val="0"/>
        <w:adjustRightInd w:val="0"/>
        <w:spacing w:line="240" w:lineRule="auto"/>
        <w:jc w:val="center"/>
        <w:rPr>
          <w:rFonts w:hint="eastAsia" w:ascii="黑体" w:hAnsi="Calibri" w:eastAsia="黑体"/>
          <w:b w:val="0"/>
          <w:color w:val="auto"/>
          <w:kern w:val="0"/>
          <w:sz w:val="28"/>
          <w:szCs w:val="28"/>
          <w:highlight w:val="none"/>
        </w:rPr>
      </w:pPr>
      <w:r>
        <w:rPr>
          <w:rFonts w:hint="eastAsia" w:ascii="黑体" w:hAnsi="Calibri" w:eastAsia="黑体"/>
          <w:b w:val="0"/>
          <w:color w:val="auto"/>
          <w:kern w:val="0"/>
          <w:sz w:val="28"/>
          <w:szCs w:val="28"/>
          <w:highlight w:val="none"/>
        </w:rPr>
        <w:t>经评审的最低投标价法</w:t>
      </w:r>
      <w:r>
        <w:rPr>
          <w:rFonts w:hint="eastAsia" w:ascii="黑体" w:eastAsia="黑体"/>
          <w:b w:val="0"/>
          <w:color w:val="auto"/>
          <w:sz w:val="28"/>
          <w:szCs w:val="28"/>
          <w:highlight w:val="none"/>
          <w:lang w:eastAsia="zh-CN"/>
        </w:rPr>
        <w:t>（</w:t>
      </w:r>
      <w:r>
        <w:rPr>
          <w:rFonts w:hint="eastAsia" w:ascii="黑体" w:eastAsia="黑体"/>
          <w:b w:val="0"/>
          <w:color w:val="auto"/>
          <w:sz w:val="28"/>
          <w:szCs w:val="28"/>
          <w:highlight w:val="none"/>
          <w:lang w:val="en-US" w:eastAsia="zh-CN"/>
        </w:rPr>
        <w:t>一</w:t>
      </w:r>
      <w:r>
        <w:rPr>
          <w:rFonts w:hint="eastAsia" w:ascii="黑体" w:eastAsia="黑体"/>
          <w:b w:val="0"/>
          <w:color w:val="auto"/>
          <w:sz w:val="28"/>
          <w:szCs w:val="28"/>
          <w:highlight w:val="none"/>
          <w:lang w:eastAsia="zh-CN"/>
        </w:rPr>
        <w:t>）</w:t>
      </w:r>
    </w:p>
    <w:p>
      <w:pPr>
        <w:pStyle w:val="10"/>
        <w:adjustRightInd w:val="0"/>
        <w:snapToGrid w:val="0"/>
        <w:spacing w:line="360" w:lineRule="auto"/>
        <w:ind w:firstLine="480" w:firstLineChars="200"/>
        <w:jc w:val="both"/>
        <w:rPr>
          <w:rFonts w:hint="default" w:ascii="Times New Roman" w:hAnsi="宋体" w:eastAsia="宋体" w:cs="Times New Roman"/>
          <w:color w:val="auto"/>
          <w:kern w:val="0"/>
          <w:sz w:val="24"/>
          <w:szCs w:val="24"/>
          <w:highlight w:val="none"/>
          <w:lang w:val="zh-CN" w:eastAsia="zh-CN" w:bidi="ar-SA"/>
        </w:rPr>
      </w:pPr>
      <w:r>
        <w:rPr>
          <w:rFonts w:hint="eastAsia" w:ascii="Times New Roman" w:hAnsi="宋体" w:eastAsia="宋体" w:cs="Times New Roman"/>
          <w:color w:val="auto"/>
          <w:kern w:val="0"/>
          <w:sz w:val="24"/>
          <w:szCs w:val="24"/>
          <w:highlight w:val="none"/>
          <w:lang w:val="zh-CN" w:eastAsia="zh-CN" w:bidi="ar-SA"/>
        </w:rPr>
        <w:t>经评审的最低投标价法，适用于具有通用技术、性能标准或者招标人对其技术、性能没有特殊要求的一般房屋建筑和市政基础设施工程施工招标。评标应遵循公平、公正、科学、择优的原则。</w:t>
      </w:r>
    </w:p>
    <w:p>
      <w:pPr>
        <w:pStyle w:val="10"/>
        <w:adjustRightInd w:val="0"/>
        <w:snapToGrid w:val="0"/>
        <w:spacing w:line="360" w:lineRule="auto"/>
        <w:ind w:firstLine="480" w:firstLineChars="200"/>
        <w:jc w:val="both"/>
        <w:rPr>
          <w:rFonts w:cs="宋体"/>
          <w:kern w:val="2"/>
          <w:sz w:val="21"/>
          <w:highlight w:val="none"/>
        </w:rPr>
      </w:pPr>
      <w:r>
        <w:rPr>
          <w:rFonts w:hint="eastAsia" w:cs="宋体"/>
          <w:kern w:val="2"/>
          <w:sz w:val="24"/>
          <w:szCs w:val="24"/>
          <w:highlight w:val="none"/>
        </w:rPr>
        <w:t>经评审的最低投标价法应先对投标人进行资格审查，已通过资格审查的投标人经过评审区间确定、</w:t>
      </w:r>
      <w:r>
        <w:rPr>
          <w:rFonts w:hint="eastAsia" w:cs="宋体"/>
          <w:kern w:val="2"/>
          <w:sz w:val="24"/>
          <w:szCs w:val="24"/>
          <w:highlight w:val="none"/>
          <w:lang w:eastAsia="zh-CN"/>
        </w:rPr>
        <w:t>综合</w:t>
      </w:r>
      <w:r>
        <w:rPr>
          <w:rFonts w:hint="eastAsia" w:cs="宋体"/>
          <w:kern w:val="2"/>
          <w:sz w:val="24"/>
          <w:szCs w:val="24"/>
          <w:highlight w:val="none"/>
        </w:rPr>
        <w:t>评审的评标程序后报价最低的投标人推荐为中标候选人。</w:t>
      </w:r>
    </w:p>
    <w:p>
      <w:pPr>
        <w:pStyle w:val="10"/>
        <w:adjustRightInd w:val="0"/>
        <w:snapToGrid w:val="0"/>
        <w:spacing w:line="360" w:lineRule="auto"/>
        <w:ind w:firstLine="480" w:firstLineChars="200"/>
        <w:jc w:val="both"/>
        <w:rPr>
          <w:rFonts w:cs="宋体"/>
          <w:color w:val="2B00FF"/>
          <w:szCs w:val="24"/>
          <w:highlight w:val="none"/>
          <w:u w:val="single"/>
        </w:rPr>
      </w:pPr>
      <w:r>
        <w:rPr>
          <w:rFonts w:hint="eastAsia" w:cs="宋体"/>
          <w:kern w:val="2"/>
          <w:sz w:val="24"/>
          <w:szCs w:val="24"/>
          <w:highlight w:val="none"/>
        </w:rPr>
        <w:t>评标工作由招标人依法组建的评标委员会负责，评标委员会成员</w:t>
      </w:r>
      <w:r>
        <w:rPr>
          <w:rFonts w:hint="eastAsia" w:cs="宋体"/>
          <w:sz w:val="24"/>
          <w:szCs w:val="24"/>
          <w:highlight w:val="none"/>
        </w:rPr>
        <w:t>为</w:t>
      </w:r>
      <w:bookmarkStart w:id="6" w:name="EBdc90b844e3db40c68a15b246e00963e3"/>
      <w:r>
        <w:rPr>
          <w:rFonts w:hint="eastAsia" w:cs="宋体"/>
          <w:color w:val="0000FF"/>
          <w:sz w:val="24"/>
          <w:szCs w:val="24"/>
          <w:highlight w:val="none"/>
          <w:u w:val="single"/>
        </w:rPr>
        <w:t>（应根据法律法规及相关文件要求填写）</w:t>
      </w:r>
      <w:bookmarkEnd w:id="6"/>
      <w:r>
        <w:rPr>
          <w:rFonts w:hint="eastAsia" w:cs="宋体"/>
          <w:sz w:val="24"/>
          <w:szCs w:val="24"/>
          <w:highlight w:val="none"/>
        </w:rPr>
        <w:t>。</w:t>
      </w:r>
    </w:p>
    <w:p>
      <w:pPr>
        <w:widowControl/>
        <w:spacing w:line="360" w:lineRule="auto"/>
        <w:ind w:firstLine="480" w:firstLineChars="200"/>
        <w:rPr>
          <w:rFonts w:ascii="Times New Roman" w:hAnsi="Times New Roman"/>
          <w:kern w:val="0"/>
          <w:sz w:val="24"/>
          <w:szCs w:val="24"/>
          <w:highlight w:val="none"/>
          <w:lang w:val="zh-CN"/>
        </w:rPr>
      </w:pPr>
      <w:r>
        <w:rPr>
          <w:rFonts w:hint="eastAsia" w:ascii="Times New Roman" w:hAnsi="Times New Roman"/>
          <w:kern w:val="0"/>
          <w:sz w:val="24"/>
          <w:szCs w:val="24"/>
          <w:highlight w:val="none"/>
          <w:lang w:val="zh-CN"/>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pPr>
        <w:widowControl/>
        <w:spacing w:line="360" w:lineRule="auto"/>
        <w:ind w:firstLine="482" w:firstLineChars="200"/>
        <w:outlineLvl w:val="2"/>
        <w:rPr>
          <w:rFonts w:ascii="Times New Roman" w:hAnsi="Times New Roman"/>
          <w:b/>
          <w:bCs/>
          <w:kern w:val="0"/>
          <w:sz w:val="24"/>
          <w:szCs w:val="24"/>
          <w:highlight w:val="none"/>
          <w:lang w:val="zh-CN"/>
        </w:rPr>
      </w:pPr>
      <w:r>
        <w:rPr>
          <w:rFonts w:hint="eastAsia" w:ascii="Times New Roman" w:hAnsi="Times New Roman"/>
          <w:b/>
          <w:bCs/>
          <w:kern w:val="0"/>
          <w:sz w:val="24"/>
          <w:szCs w:val="24"/>
          <w:highlight w:val="none"/>
          <w:lang w:val="zh-CN"/>
        </w:rPr>
        <w:t>一、评标程序</w:t>
      </w:r>
    </w:p>
    <w:p>
      <w:pPr>
        <w:spacing w:line="360" w:lineRule="auto"/>
        <w:ind w:firstLine="480" w:firstLineChars="200"/>
        <w:rPr>
          <w:rFonts w:ascii="Times New Roman" w:hAnsi="Times New Roman"/>
          <w:sz w:val="24"/>
          <w:szCs w:val="24"/>
          <w:highlight w:val="none"/>
          <w:lang w:val="zh-CN"/>
        </w:rPr>
      </w:pPr>
      <w:r>
        <w:rPr>
          <w:rFonts w:hint="eastAsia" w:ascii="Times New Roman" w:hAnsi="Times New Roman"/>
          <w:sz w:val="24"/>
          <w:szCs w:val="24"/>
          <w:highlight w:val="none"/>
          <w:lang w:val="zh-CN"/>
        </w:rPr>
        <w:t>（一）资格审查</w:t>
      </w:r>
    </w:p>
    <w:p>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lang w:val="zh-CN"/>
        </w:rPr>
        <w:t>（二）</w:t>
      </w:r>
      <w:r>
        <w:rPr>
          <w:rFonts w:hint="eastAsia" w:ascii="Times New Roman" w:hAnsi="Times New Roman"/>
          <w:sz w:val="24"/>
          <w:szCs w:val="24"/>
          <w:highlight w:val="none"/>
        </w:rPr>
        <w:t>评审区间确定</w:t>
      </w:r>
    </w:p>
    <w:p>
      <w:pPr>
        <w:spacing w:line="360" w:lineRule="auto"/>
        <w:ind w:firstLine="480" w:firstLineChars="200"/>
        <w:rPr>
          <w:rFonts w:ascii="Times New Roman" w:hAnsi="Times New Roman"/>
          <w:sz w:val="24"/>
          <w:szCs w:val="24"/>
          <w:highlight w:val="none"/>
          <w:lang w:val="zh-CN"/>
        </w:rPr>
      </w:pPr>
      <w:r>
        <w:rPr>
          <w:rFonts w:hint="eastAsia" w:ascii="Times New Roman" w:hAnsi="Times New Roman"/>
          <w:sz w:val="24"/>
          <w:szCs w:val="24"/>
          <w:highlight w:val="none"/>
          <w:lang w:val="zh-CN"/>
        </w:rPr>
        <w:t>（三）综合评审</w:t>
      </w:r>
    </w:p>
    <w:p>
      <w:pPr>
        <w:spacing w:line="360" w:lineRule="auto"/>
        <w:ind w:firstLine="480" w:firstLineChars="200"/>
        <w:rPr>
          <w:rFonts w:ascii="Times New Roman" w:hAnsi="Times New Roman"/>
          <w:sz w:val="24"/>
          <w:szCs w:val="24"/>
          <w:highlight w:val="none"/>
          <w:lang w:val="zh-CN"/>
        </w:rPr>
      </w:pPr>
      <w:r>
        <w:rPr>
          <w:rFonts w:hint="eastAsia" w:ascii="Times New Roman" w:hAnsi="Times New Roman"/>
          <w:sz w:val="24"/>
          <w:szCs w:val="24"/>
          <w:highlight w:val="none"/>
          <w:lang w:val="zh-CN"/>
        </w:rPr>
        <w:t>（</w:t>
      </w:r>
      <w:r>
        <w:rPr>
          <w:rFonts w:hint="eastAsia" w:ascii="Times New Roman" w:hAnsi="Times New Roman"/>
          <w:sz w:val="24"/>
          <w:szCs w:val="24"/>
          <w:highlight w:val="none"/>
        </w:rPr>
        <w:t>四</w:t>
      </w:r>
      <w:r>
        <w:rPr>
          <w:rFonts w:hint="eastAsia" w:ascii="Times New Roman" w:hAnsi="Times New Roman"/>
          <w:sz w:val="24"/>
          <w:szCs w:val="24"/>
          <w:highlight w:val="none"/>
          <w:lang w:val="zh-CN"/>
        </w:rPr>
        <w:t>）推荐中标候选人</w:t>
      </w:r>
    </w:p>
    <w:p>
      <w:pPr>
        <w:widowControl/>
        <w:spacing w:line="360" w:lineRule="auto"/>
        <w:ind w:firstLine="482" w:firstLineChars="200"/>
        <w:outlineLvl w:val="2"/>
        <w:rPr>
          <w:rFonts w:ascii="Times New Roman" w:hAnsi="Times New Roman"/>
          <w:b/>
          <w:bCs/>
          <w:kern w:val="0"/>
          <w:sz w:val="24"/>
          <w:szCs w:val="24"/>
          <w:highlight w:val="none"/>
          <w:lang w:val="zh-CN"/>
        </w:rPr>
      </w:pPr>
      <w:r>
        <w:rPr>
          <w:rFonts w:hint="eastAsia" w:ascii="Times New Roman" w:hAnsi="Times New Roman"/>
          <w:b/>
          <w:bCs/>
          <w:kern w:val="0"/>
          <w:sz w:val="24"/>
          <w:szCs w:val="24"/>
          <w:highlight w:val="none"/>
          <w:lang w:val="zh-CN"/>
        </w:rPr>
        <w:t>二、资格审查</w:t>
      </w:r>
    </w:p>
    <w:p>
      <w:pPr>
        <w:widowControl/>
        <w:spacing w:line="360" w:lineRule="auto"/>
        <w:ind w:firstLine="480" w:firstLineChars="200"/>
        <w:rPr>
          <w:rFonts w:hint="eastAsia" w:ascii="Times New Roman" w:hAnsi="Times New Roman"/>
          <w:kern w:val="0"/>
          <w:szCs w:val="21"/>
          <w:highlight w:val="none"/>
        </w:rPr>
      </w:pPr>
      <w:r>
        <w:rPr>
          <w:rFonts w:hint="eastAsia" w:ascii="Times New Roman" w:hAnsi="Times New Roman"/>
          <w:kern w:val="0"/>
          <w:sz w:val="24"/>
          <w:szCs w:val="24"/>
          <w:highlight w:val="none"/>
        </w:rPr>
        <w:t>评标委员会通过招投标平台系统对投标人的资格审查资料中涉及</w:t>
      </w:r>
      <w:r>
        <w:rPr>
          <w:rFonts w:ascii="Times New Roman" w:hAnsi="Times New Roman"/>
          <w:kern w:val="0"/>
          <w:sz w:val="24"/>
          <w:szCs w:val="24"/>
          <w:highlight w:val="none"/>
        </w:rPr>
        <w:t>“</w:t>
      </w:r>
      <w:r>
        <w:rPr>
          <w:rFonts w:hint="eastAsia" w:ascii="Times New Roman" w:hAnsi="Times New Roman"/>
          <w:kern w:val="0"/>
          <w:sz w:val="24"/>
          <w:szCs w:val="24"/>
          <w:highlight w:val="none"/>
        </w:rPr>
        <w:t>企业营业执照、资质证书、安全许可证</w:t>
      </w:r>
      <w:r>
        <w:rPr>
          <w:rFonts w:ascii="Times New Roman" w:hAnsi="Times New Roman"/>
          <w:kern w:val="0"/>
          <w:sz w:val="24"/>
          <w:szCs w:val="24"/>
          <w:highlight w:val="none"/>
        </w:rPr>
        <w:t>”</w:t>
      </w:r>
      <w:r>
        <w:rPr>
          <w:rFonts w:hint="eastAsia" w:ascii="Times New Roman" w:hAnsi="Times New Roman"/>
          <w:kern w:val="0"/>
          <w:sz w:val="24"/>
          <w:szCs w:val="24"/>
          <w:highlight w:val="none"/>
        </w:rPr>
        <w:t>进行核对，投标人投标文件中上述资料未通过系统平台企业诚信库导入或存在投标须知前附表</w:t>
      </w:r>
      <w:r>
        <w:rPr>
          <w:rFonts w:ascii="Times New Roman" w:hAnsi="Times New Roman"/>
          <w:kern w:val="0"/>
          <w:sz w:val="24"/>
          <w:szCs w:val="24"/>
          <w:highlight w:val="none"/>
        </w:rPr>
        <w:t>10.5</w:t>
      </w:r>
      <w:r>
        <w:rPr>
          <w:rFonts w:hint="eastAsia" w:ascii="Times New Roman" w:hAnsi="Times New Roman"/>
          <w:kern w:val="0"/>
          <w:sz w:val="24"/>
          <w:szCs w:val="24"/>
          <w:highlight w:val="none"/>
        </w:rPr>
        <w:t>情形之一的，评标委员会组织投标人询问核实后，情况属实的，资格审查不予通过，否决其投标。评标委员会核查投标人投标保证金递交情况，投标人未按招标文件要求递交投标保证金的，评标委员会组织投标人询问核实后，情况属实的，资格审查不予通过，否决其投标。</w:t>
      </w:r>
    </w:p>
    <w:p>
      <w:pPr>
        <w:widowControl/>
        <w:spacing w:line="360" w:lineRule="auto"/>
        <w:ind w:firstLine="480" w:firstLineChars="200"/>
        <w:rPr>
          <w:rFonts w:hint="eastAsia" w:ascii="Times New Roman" w:hAnsi="Times New Roman"/>
          <w:color w:val="auto"/>
          <w:kern w:val="0"/>
          <w:szCs w:val="21"/>
          <w:highlight w:val="none"/>
        </w:rPr>
      </w:pPr>
      <w:r>
        <w:rPr>
          <w:rFonts w:hint="eastAsia" w:ascii="Times New Roman" w:hAnsi="Times New Roman"/>
          <w:color w:val="auto"/>
          <w:kern w:val="0"/>
          <w:sz w:val="24"/>
          <w:szCs w:val="24"/>
          <w:highlight w:val="none"/>
          <w:lang w:val="en-US" w:eastAsia="zh-CN"/>
        </w:rPr>
        <w:t>评标委员会应审查投标人提供的“资质动态核查证明”，未按招标文件要求提供“资质动态核查证明”的或提供的“资质动态核查证明”不符合招标文件要求的，资格审查不予通过，否决其投标。</w:t>
      </w:r>
    </w:p>
    <w:p>
      <w:pPr>
        <w:widowControl/>
        <w:spacing w:line="360" w:lineRule="auto"/>
        <w:ind w:firstLine="482" w:firstLineChars="200"/>
        <w:outlineLvl w:val="2"/>
        <w:rPr>
          <w:rFonts w:ascii="Times New Roman" w:hAnsi="Times New Roman"/>
          <w:b/>
          <w:bCs/>
          <w:kern w:val="0"/>
          <w:sz w:val="24"/>
          <w:szCs w:val="24"/>
          <w:highlight w:val="none"/>
          <w:lang w:val="zh-CN"/>
        </w:rPr>
      </w:pPr>
      <w:r>
        <w:rPr>
          <w:rFonts w:hint="eastAsia" w:ascii="Times New Roman" w:hAnsi="Times New Roman"/>
          <w:b/>
          <w:bCs/>
          <w:kern w:val="0"/>
          <w:sz w:val="24"/>
          <w:szCs w:val="24"/>
          <w:highlight w:val="none"/>
          <w:lang w:val="zh-CN"/>
        </w:rPr>
        <w:t>三、评审区间确定</w:t>
      </w:r>
    </w:p>
    <w:p>
      <w:pPr>
        <w:widowControl/>
        <w:spacing w:line="360" w:lineRule="auto"/>
        <w:ind w:firstLine="480" w:firstLineChars="200"/>
        <w:rPr>
          <w:rFonts w:ascii="Times New Roman" w:hAnsi="Times New Roman"/>
          <w:kern w:val="0"/>
          <w:szCs w:val="21"/>
          <w:highlight w:val="none"/>
        </w:rPr>
      </w:pPr>
      <w:r>
        <w:rPr>
          <w:rFonts w:hint="eastAsia" w:ascii="Times New Roman" w:hAnsi="Times New Roman"/>
          <w:kern w:val="0"/>
          <w:sz w:val="24"/>
          <w:szCs w:val="24"/>
          <w:highlight w:val="none"/>
        </w:rPr>
        <w:t>（一）为防止投标人恶意低价竞标</w:t>
      </w:r>
      <w:r>
        <w:rPr>
          <w:rFonts w:hint="eastAsia" w:ascii="Times New Roman" w:hAnsi="Times New Roman"/>
          <w:kern w:val="0"/>
          <w:sz w:val="24"/>
          <w:szCs w:val="24"/>
          <w:highlight w:val="none"/>
          <w:lang w:val="zh-CN"/>
        </w:rPr>
        <w:t>，</w:t>
      </w:r>
      <w:r>
        <w:rPr>
          <w:rFonts w:hint="eastAsia" w:ascii="Times New Roman" w:hAnsi="Times New Roman"/>
          <w:kern w:val="0"/>
          <w:sz w:val="24"/>
          <w:szCs w:val="24"/>
          <w:highlight w:val="none"/>
        </w:rPr>
        <w:t>招标人应在招标文件中明确合理的评审区间，评审区间下限按如下原则确定：（</w:t>
      </w:r>
      <w:r>
        <w:rPr>
          <w:rFonts w:ascii="Times New Roman" w:hAnsi="Times New Roman"/>
          <w:kern w:val="0"/>
          <w:sz w:val="24"/>
          <w:szCs w:val="24"/>
          <w:highlight w:val="none"/>
        </w:rPr>
        <w:t>1</w:t>
      </w:r>
      <w:r>
        <w:rPr>
          <w:rFonts w:hint="eastAsia" w:ascii="Times New Roman" w:hAnsi="Times New Roman"/>
          <w:kern w:val="0"/>
          <w:sz w:val="24"/>
          <w:szCs w:val="24"/>
          <w:highlight w:val="none"/>
        </w:rPr>
        <w:t>）招标人可组织专家会议评审确定相关项目的评审区间下限；（</w:t>
      </w:r>
      <w:r>
        <w:rPr>
          <w:rFonts w:ascii="Times New Roman" w:hAnsi="Times New Roman"/>
          <w:kern w:val="0"/>
          <w:sz w:val="24"/>
          <w:szCs w:val="24"/>
          <w:highlight w:val="none"/>
        </w:rPr>
        <w:t>2</w:t>
      </w:r>
      <w:r>
        <w:rPr>
          <w:rFonts w:hint="eastAsia" w:ascii="Times New Roman" w:hAnsi="Times New Roman"/>
          <w:kern w:val="0"/>
          <w:sz w:val="24"/>
          <w:szCs w:val="24"/>
          <w:highlight w:val="none"/>
        </w:rPr>
        <w:t>）</w:t>
      </w:r>
      <w:bookmarkStart w:id="7" w:name="EB54f7052a57c64737a0376d800627ba39"/>
      <w:r>
        <w:rPr>
          <w:rFonts w:hint="eastAsia" w:ascii="Times New Roman" w:hAnsi="Times New Roman"/>
          <w:kern w:val="0"/>
          <w:sz w:val="24"/>
          <w:szCs w:val="24"/>
          <w:highlight w:val="none"/>
          <w:u w:val="single"/>
          <w:lang w:val="en-US" w:eastAsia="zh-CN"/>
        </w:rPr>
        <w:t xml:space="preserve">    </w:t>
      </w:r>
      <w:r>
        <w:rPr>
          <w:rFonts w:hint="eastAsia" w:ascii="Times New Roman" w:hAnsi="Times New Roman"/>
          <w:color w:val="0000FF"/>
          <w:kern w:val="0"/>
          <w:sz w:val="24"/>
          <w:szCs w:val="24"/>
          <w:highlight w:val="none"/>
        </w:rPr>
        <w:t>（其他）</w:t>
      </w:r>
      <w:bookmarkEnd w:id="7"/>
      <w:r>
        <w:rPr>
          <w:rFonts w:ascii="Times New Roman" w:hAnsi="Times New Roman"/>
          <w:kern w:val="0"/>
          <w:sz w:val="24"/>
          <w:szCs w:val="24"/>
          <w:highlight w:val="none"/>
        </w:rPr>
        <w:t>。</w:t>
      </w:r>
      <w:r>
        <w:rPr>
          <w:rFonts w:hint="eastAsia" w:ascii="Times New Roman" w:hAnsi="Times New Roman"/>
          <w:kern w:val="0"/>
          <w:sz w:val="24"/>
          <w:szCs w:val="24"/>
          <w:highlight w:val="none"/>
        </w:rPr>
        <w:t>本项目招标人依据上述第（</w:t>
      </w:r>
      <w:bookmarkStart w:id="8" w:name="EBe17599a548c24ab389275ae37d51afb2"/>
      <w:bookmarkEnd w:id="8"/>
      <w:r>
        <w:rPr>
          <w:rFonts w:hint="eastAsia" w:ascii="Times New Roman" w:hAnsi="Times New Roman" w:eastAsia="宋体"/>
          <w:color w:val="0000FF"/>
          <w:kern w:val="0"/>
          <w:sz w:val="24"/>
          <w:szCs w:val="24"/>
          <w:highlight w:val="none"/>
          <w:u w:val="single"/>
          <w:lang w:val="en-US" w:eastAsia="zh-CN"/>
        </w:rPr>
        <w:t xml:space="preserve">  </w:t>
      </w:r>
      <w:r>
        <w:rPr>
          <w:rFonts w:hint="eastAsia" w:ascii="Times New Roman" w:hAnsi="Times New Roman"/>
          <w:kern w:val="0"/>
          <w:sz w:val="24"/>
          <w:szCs w:val="24"/>
          <w:highlight w:val="none"/>
        </w:rPr>
        <w:t>）条原则确定的评审区间下限为：</w:t>
      </w:r>
      <w:bookmarkStart w:id="9" w:name="EB47c0b219332644acb669087dbe01aecf"/>
      <w:bookmarkEnd w:id="9"/>
      <w:r>
        <w:rPr>
          <w:rFonts w:hint="eastAsia" w:ascii="Times New Roman" w:hAnsi="Times New Roman"/>
          <w:color w:val="0000FF"/>
          <w:kern w:val="0"/>
          <w:sz w:val="24"/>
          <w:szCs w:val="24"/>
          <w:highlight w:val="none"/>
          <w:u w:val="single"/>
          <w:lang w:val="en-US" w:eastAsia="zh-CN"/>
        </w:rPr>
        <w:t xml:space="preserve">    </w:t>
      </w:r>
      <w:r>
        <w:rPr>
          <w:rFonts w:hint="eastAsia" w:ascii="Times New Roman" w:hAnsi="Times New Roman"/>
          <w:kern w:val="0"/>
          <w:sz w:val="24"/>
          <w:szCs w:val="24"/>
          <w:highlight w:val="none"/>
        </w:rPr>
        <w:t>万元。</w:t>
      </w:r>
    </w:p>
    <w:p>
      <w:pPr>
        <w:widowControl/>
        <w:spacing w:line="360" w:lineRule="auto"/>
        <w:ind w:firstLine="480" w:firstLineChars="200"/>
        <w:rPr>
          <w:rFonts w:ascii="Times New Roman" w:hAnsi="Times New Roman"/>
          <w:kern w:val="0"/>
          <w:sz w:val="24"/>
          <w:szCs w:val="24"/>
          <w:highlight w:val="none"/>
          <w:lang w:val="zh-CN"/>
        </w:rPr>
      </w:pPr>
      <w:r>
        <w:rPr>
          <w:rFonts w:hint="eastAsia" w:ascii="Times New Roman" w:hAnsi="Times New Roman"/>
          <w:kern w:val="0"/>
          <w:sz w:val="24"/>
          <w:szCs w:val="24"/>
          <w:highlight w:val="none"/>
        </w:rPr>
        <w:t>（二）评审区间入围单位按如下原则确定：（</w:t>
      </w:r>
      <w:r>
        <w:rPr>
          <w:rFonts w:ascii="Times New Roman" w:hAnsi="Times New Roman"/>
          <w:kern w:val="0"/>
          <w:sz w:val="24"/>
          <w:szCs w:val="24"/>
          <w:highlight w:val="none"/>
        </w:rPr>
        <w:t>1</w:t>
      </w:r>
      <w:r>
        <w:rPr>
          <w:rFonts w:hint="eastAsia" w:ascii="Times New Roman" w:hAnsi="Times New Roman"/>
          <w:kern w:val="0"/>
          <w:sz w:val="24"/>
          <w:szCs w:val="24"/>
          <w:highlight w:val="none"/>
        </w:rPr>
        <w:t>）</w:t>
      </w:r>
      <w:r>
        <w:rPr>
          <w:rFonts w:hint="eastAsia" w:ascii="Times New Roman" w:hAnsi="Times New Roman"/>
          <w:kern w:val="0"/>
          <w:sz w:val="24"/>
          <w:szCs w:val="24"/>
          <w:highlight w:val="none"/>
          <w:lang w:val="zh-CN"/>
        </w:rPr>
        <w:t>评标委员会</w:t>
      </w:r>
      <w:r>
        <w:rPr>
          <w:rFonts w:hint="eastAsia" w:ascii="Times New Roman" w:hAnsi="Times New Roman"/>
          <w:kern w:val="0"/>
          <w:sz w:val="24"/>
          <w:szCs w:val="24"/>
          <w:highlight w:val="none"/>
        </w:rPr>
        <w:t>对报价高于等于评审区间下限投标</w:t>
      </w:r>
      <w:r>
        <w:rPr>
          <w:rFonts w:hint="eastAsia" w:ascii="Times New Roman" w:hAnsi="Times New Roman"/>
          <w:kern w:val="0"/>
          <w:sz w:val="24"/>
          <w:szCs w:val="24"/>
          <w:highlight w:val="none"/>
          <w:lang w:val="zh-CN"/>
        </w:rPr>
        <w:t>报价由低到高</w:t>
      </w:r>
      <w:r>
        <w:rPr>
          <w:rFonts w:hint="eastAsia" w:ascii="Times New Roman" w:hAnsi="Times New Roman"/>
          <w:kern w:val="0"/>
          <w:sz w:val="24"/>
          <w:szCs w:val="24"/>
          <w:highlight w:val="none"/>
        </w:rPr>
        <w:t>的原则</w:t>
      </w:r>
      <w:r>
        <w:rPr>
          <w:rFonts w:hint="eastAsia" w:ascii="Times New Roman" w:hAnsi="Times New Roman"/>
          <w:kern w:val="0"/>
          <w:sz w:val="24"/>
          <w:szCs w:val="24"/>
          <w:highlight w:val="none"/>
          <w:lang w:val="zh-CN"/>
        </w:rPr>
        <w:t>依次进行排序。（</w:t>
      </w:r>
      <w:r>
        <w:rPr>
          <w:rFonts w:ascii="Times New Roman" w:hAnsi="Times New Roman"/>
          <w:kern w:val="0"/>
          <w:sz w:val="24"/>
          <w:szCs w:val="24"/>
          <w:highlight w:val="none"/>
        </w:rPr>
        <w:t>2</w:t>
      </w:r>
      <w:r>
        <w:rPr>
          <w:rFonts w:hint="eastAsia" w:ascii="Times New Roman" w:hAnsi="Times New Roman"/>
          <w:kern w:val="0"/>
          <w:sz w:val="24"/>
          <w:szCs w:val="24"/>
          <w:highlight w:val="none"/>
          <w:lang w:val="zh-CN"/>
        </w:rPr>
        <w:t>）</w:t>
      </w:r>
      <w:r>
        <w:rPr>
          <w:rFonts w:hint="eastAsia" w:ascii="Times New Roman" w:hAnsi="Times New Roman"/>
          <w:kern w:val="0"/>
          <w:sz w:val="24"/>
          <w:szCs w:val="24"/>
          <w:highlight w:val="none"/>
        </w:rPr>
        <w:t>当通过资格审查且报价不低于评审区间下限、不高于招标控制价的投标人（以下简称合格投标人）个数不足</w:t>
      </w:r>
      <w:r>
        <w:rPr>
          <w:rFonts w:ascii="Times New Roman" w:hAnsi="Times New Roman"/>
          <w:kern w:val="0"/>
          <w:sz w:val="24"/>
          <w:szCs w:val="24"/>
          <w:highlight w:val="none"/>
        </w:rPr>
        <w:t>10</w:t>
      </w:r>
      <w:r>
        <w:rPr>
          <w:rFonts w:hint="eastAsia" w:ascii="Times New Roman" w:hAnsi="Times New Roman"/>
          <w:kern w:val="0"/>
          <w:sz w:val="24"/>
          <w:szCs w:val="24"/>
          <w:highlight w:val="none"/>
        </w:rPr>
        <w:t>家时，全部合格投标人进入评审入围单位。（</w:t>
      </w:r>
      <w:r>
        <w:rPr>
          <w:rFonts w:ascii="Times New Roman" w:hAnsi="Times New Roman"/>
          <w:kern w:val="0"/>
          <w:sz w:val="24"/>
          <w:szCs w:val="24"/>
          <w:highlight w:val="none"/>
        </w:rPr>
        <w:t>3</w:t>
      </w:r>
      <w:r>
        <w:rPr>
          <w:rFonts w:hint="eastAsia" w:ascii="Times New Roman" w:hAnsi="Times New Roman"/>
          <w:kern w:val="0"/>
          <w:sz w:val="24"/>
          <w:szCs w:val="24"/>
          <w:highlight w:val="none"/>
        </w:rPr>
        <w:t>）当合格投标人个数超过</w:t>
      </w:r>
      <w:r>
        <w:rPr>
          <w:rFonts w:ascii="Times New Roman" w:hAnsi="Times New Roman"/>
          <w:kern w:val="0"/>
          <w:sz w:val="24"/>
          <w:szCs w:val="24"/>
          <w:highlight w:val="none"/>
        </w:rPr>
        <w:t>10</w:t>
      </w:r>
      <w:r>
        <w:rPr>
          <w:rFonts w:hint="eastAsia" w:ascii="Times New Roman" w:hAnsi="Times New Roman"/>
          <w:kern w:val="0"/>
          <w:sz w:val="24"/>
          <w:szCs w:val="24"/>
          <w:highlight w:val="none"/>
        </w:rPr>
        <w:t>家时，按排序确定</w:t>
      </w:r>
      <w:r>
        <w:rPr>
          <w:rFonts w:ascii="Times New Roman" w:hAnsi="Times New Roman"/>
          <w:kern w:val="0"/>
          <w:sz w:val="24"/>
          <w:szCs w:val="24"/>
          <w:highlight w:val="none"/>
        </w:rPr>
        <w:t>10</w:t>
      </w:r>
      <w:r>
        <w:rPr>
          <w:rFonts w:hint="eastAsia" w:ascii="Times New Roman" w:hAnsi="Times New Roman"/>
          <w:kern w:val="0"/>
          <w:sz w:val="24"/>
          <w:szCs w:val="24"/>
          <w:highlight w:val="none"/>
        </w:rPr>
        <w:t>家投标人为评审入围单位，</w:t>
      </w:r>
      <w:r>
        <w:rPr>
          <w:rFonts w:hint="eastAsia" w:ascii="Times New Roman" w:hAnsi="Times New Roman"/>
          <w:kern w:val="0"/>
          <w:sz w:val="24"/>
          <w:szCs w:val="24"/>
          <w:highlight w:val="none"/>
          <w:lang w:eastAsia="zh-CN"/>
        </w:rPr>
        <w:t>当第</w:t>
      </w:r>
      <w:r>
        <w:rPr>
          <w:rFonts w:hint="eastAsia" w:ascii="Times New Roman" w:hAnsi="Times New Roman"/>
          <w:kern w:val="0"/>
          <w:sz w:val="24"/>
          <w:szCs w:val="24"/>
          <w:highlight w:val="none"/>
          <w:lang w:val="en-US" w:eastAsia="zh-CN"/>
        </w:rPr>
        <w:t>10家评审入围单位</w:t>
      </w:r>
      <w:r>
        <w:rPr>
          <w:rFonts w:hint="eastAsia" w:ascii="Times New Roman" w:hAnsi="Times New Roman"/>
          <w:kern w:val="0"/>
          <w:sz w:val="24"/>
          <w:szCs w:val="24"/>
          <w:highlight w:val="none"/>
        </w:rPr>
        <w:t>并列时，</w:t>
      </w:r>
      <w:r>
        <w:rPr>
          <w:rFonts w:hint="eastAsia" w:ascii="Times New Roman" w:hAnsi="Times New Roman"/>
          <w:kern w:val="0"/>
          <w:sz w:val="24"/>
          <w:szCs w:val="24"/>
          <w:highlight w:val="none"/>
          <w:lang w:eastAsia="zh-CN"/>
        </w:rPr>
        <w:t>随机选择</w:t>
      </w:r>
      <w:r>
        <w:rPr>
          <w:rFonts w:hint="eastAsia" w:ascii="Times New Roman" w:hAnsi="Times New Roman"/>
          <w:kern w:val="0"/>
          <w:sz w:val="24"/>
          <w:szCs w:val="24"/>
          <w:highlight w:val="none"/>
        </w:rPr>
        <w:t>进入评审入围单位。</w:t>
      </w:r>
    </w:p>
    <w:p>
      <w:pPr>
        <w:widowControl/>
        <w:spacing w:line="360" w:lineRule="auto"/>
        <w:ind w:firstLine="482" w:firstLineChars="200"/>
        <w:outlineLvl w:val="2"/>
        <w:rPr>
          <w:rFonts w:ascii="Times New Roman" w:hAnsi="Times New Roman"/>
          <w:b/>
          <w:bCs/>
          <w:kern w:val="0"/>
          <w:sz w:val="24"/>
          <w:szCs w:val="24"/>
          <w:highlight w:val="none"/>
          <w:lang w:val="zh-CN"/>
        </w:rPr>
      </w:pPr>
      <w:r>
        <w:rPr>
          <w:rFonts w:hint="eastAsia" w:ascii="Times New Roman" w:hAnsi="Times New Roman"/>
          <w:b/>
          <w:bCs/>
          <w:kern w:val="0"/>
          <w:sz w:val="24"/>
          <w:szCs w:val="24"/>
          <w:highlight w:val="none"/>
          <w:lang w:val="zh-CN"/>
        </w:rPr>
        <w:t>四、综合评审</w:t>
      </w:r>
    </w:p>
    <w:p>
      <w:pPr>
        <w:widowControl/>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lang w:val="zh-CN"/>
        </w:rPr>
        <w:t>综合评审是对通过</w:t>
      </w:r>
      <w:r>
        <w:rPr>
          <w:rFonts w:hint="eastAsia" w:ascii="Times New Roman" w:hAnsi="Times New Roman"/>
          <w:kern w:val="0"/>
          <w:sz w:val="24"/>
          <w:szCs w:val="24"/>
          <w:highlight w:val="none"/>
        </w:rPr>
        <w:t>资格审查（平台系统核对）</w:t>
      </w:r>
      <w:r>
        <w:rPr>
          <w:rFonts w:hint="eastAsia" w:ascii="Times New Roman" w:hAnsi="Times New Roman"/>
          <w:kern w:val="0"/>
          <w:sz w:val="24"/>
          <w:szCs w:val="24"/>
          <w:highlight w:val="none"/>
          <w:lang w:val="zh-CN"/>
        </w:rPr>
        <w:t>的</w:t>
      </w:r>
      <w:r>
        <w:rPr>
          <w:rFonts w:hint="eastAsia" w:ascii="Times New Roman" w:hAnsi="Times New Roman"/>
          <w:kern w:val="0"/>
          <w:sz w:val="24"/>
          <w:szCs w:val="24"/>
          <w:highlight w:val="none"/>
        </w:rPr>
        <w:t>投标人投标文件其他内容的进行评审，投标人存在投标须知前附表</w:t>
      </w:r>
      <w:r>
        <w:rPr>
          <w:rFonts w:ascii="Times New Roman" w:hAnsi="Times New Roman"/>
          <w:kern w:val="0"/>
          <w:sz w:val="24"/>
          <w:szCs w:val="24"/>
          <w:highlight w:val="none"/>
        </w:rPr>
        <w:t>10.5</w:t>
      </w:r>
      <w:r>
        <w:rPr>
          <w:rFonts w:hint="eastAsia" w:ascii="Times New Roman" w:hAnsi="Times New Roman"/>
          <w:kern w:val="0"/>
          <w:sz w:val="24"/>
          <w:szCs w:val="24"/>
          <w:highlight w:val="none"/>
        </w:rPr>
        <w:t>情形之一的，评标委员会组织投标人询问核实后，情况属实的，综合评审不予通过，否决其投标。</w:t>
      </w:r>
    </w:p>
    <w:p>
      <w:pPr>
        <w:widowControl/>
        <w:spacing w:line="360" w:lineRule="auto"/>
        <w:ind w:firstLine="482" w:firstLineChars="200"/>
        <w:outlineLvl w:val="2"/>
        <w:rPr>
          <w:rFonts w:ascii="Times New Roman" w:hAnsi="Times New Roman"/>
          <w:b/>
          <w:bCs/>
          <w:kern w:val="0"/>
          <w:sz w:val="24"/>
          <w:szCs w:val="24"/>
          <w:highlight w:val="none"/>
          <w:lang w:val="zh-CN"/>
        </w:rPr>
      </w:pPr>
      <w:r>
        <w:rPr>
          <w:rFonts w:hint="eastAsia" w:ascii="Times New Roman" w:hAnsi="Times New Roman"/>
          <w:b/>
          <w:bCs/>
          <w:kern w:val="0"/>
          <w:sz w:val="24"/>
          <w:szCs w:val="24"/>
          <w:highlight w:val="none"/>
          <w:lang w:val="zh-CN"/>
        </w:rPr>
        <w:t>五、推荐中标候选人</w:t>
      </w:r>
    </w:p>
    <w:p>
      <w:pPr>
        <w:widowControl/>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评标委员会对通过综合评审的投标人按投标报价从低到高进行排序，并按照排序推荐中标候选人。如投标报价相同的</w:t>
      </w:r>
      <w:bookmarkStart w:id="10" w:name="EB4df9700bb495462abdcbc1521b24b197"/>
      <w:r>
        <w:rPr>
          <w:rFonts w:hint="eastAsia" w:ascii="Times New Roman" w:hAnsi="Times New Roman"/>
          <w:color w:val="0000FF"/>
          <w:kern w:val="0"/>
          <w:sz w:val="24"/>
          <w:szCs w:val="24"/>
          <w:highlight w:val="none"/>
          <w:u w:val="single"/>
        </w:rPr>
        <w:t xml:space="preserve"> (在招标文件中明确确定方式) </w:t>
      </w:r>
      <w:bookmarkEnd w:id="10"/>
      <w:r>
        <w:rPr>
          <w:rFonts w:hint="eastAsia" w:ascii="Times New Roman" w:hAnsi="Times New Roman"/>
          <w:kern w:val="0"/>
          <w:sz w:val="24"/>
          <w:szCs w:val="24"/>
          <w:highlight w:val="none"/>
        </w:rPr>
        <w:t>。</w:t>
      </w:r>
    </w:p>
    <w:p>
      <w:pPr>
        <w:widowControl/>
        <w:tabs>
          <w:tab w:val="left" w:pos="9360"/>
        </w:tabs>
        <w:spacing w:line="360" w:lineRule="auto"/>
        <w:ind w:firstLine="480" w:firstLineChars="200"/>
        <w:rPr>
          <w:rFonts w:ascii="Times New Roman" w:hAnsi="Times New Roman"/>
          <w:kern w:val="0"/>
          <w:szCs w:val="21"/>
          <w:highlight w:val="none"/>
        </w:rPr>
      </w:pPr>
      <w:r>
        <w:rPr>
          <w:rFonts w:hint="eastAsia" w:ascii="Times New Roman" w:hAnsi="Times New Roman"/>
          <w:kern w:val="0"/>
          <w:sz w:val="24"/>
          <w:szCs w:val="24"/>
          <w:highlight w:val="none"/>
        </w:rPr>
        <w:t>评标委员会对拟确定的推荐中标候选人和其拟派项目负责人，是否列入失信被执行人名单及在本招标文件（招标公告）规定时间范围内是否有贿赂犯罪记录</w:t>
      </w:r>
      <w:r>
        <w:rPr>
          <w:rFonts w:hint="eastAsia" w:ascii="Times New Roman" w:hAnsi="Times New Roman"/>
          <w:kern w:val="0"/>
          <w:sz w:val="24"/>
          <w:szCs w:val="24"/>
          <w:highlight w:val="none"/>
          <w:lang w:eastAsia="zh-CN"/>
        </w:rPr>
        <w:t>；</w:t>
      </w:r>
      <w:r>
        <w:rPr>
          <w:rFonts w:hint="eastAsia" w:ascii="Times New Roman" w:hAnsi="宋体" w:eastAsia="宋体" w:cs="Times New Roman"/>
          <w:color w:val="auto"/>
          <w:sz w:val="24"/>
          <w:szCs w:val="24"/>
          <w:highlight w:val="none"/>
          <w:lang w:val="en-US" w:eastAsia="zh-CN" w:bidi="ar-SA"/>
        </w:rPr>
        <w:t>是否</w:t>
      </w:r>
      <w:r>
        <w:rPr>
          <w:rFonts w:hint="default" w:ascii="Times New Roman" w:hAnsi="宋体" w:eastAsia="宋体" w:cs="Times New Roman"/>
          <w:color w:val="auto"/>
          <w:sz w:val="24"/>
          <w:szCs w:val="24"/>
          <w:highlight w:val="none"/>
          <w:lang w:val="en-US" w:eastAsia="zh-CN" w:bidi="ar-SA"/>
        </w:rPr>
        <w:t>被列入建筑市场严重失信名单的</w:t>
      </w:r>
      <w:r>
        <w:rPr>
          <w:rFonts w:hint="eastAsia" w:ascii="Times New Roman" w:hAnsi="宋体" w:eastAsia="宋体" w:cs="Times New Roman"/>
          <w:color w:val="auto"/>
          <w:sz w:val="24"/>
          <w:szCs w:val="24"/>
          <w:highlight w:val="none"/>
          <w:lang w:val="en-US" w:eastAsia="zh-CN" w:bidi="ar-SA"/>
        </w:rPr>
        <w:t>、是否被市场监督管理机关在全国企业信用信息公示系统中列入严重违法失信企业名单的、是否被人力资源社会保障行政部门列入失信联合惩戒名单（有效期内）的</w:t>
      </w:r>
      <w:r>
        <w:rPr>
          <w:rFonts w:hint="eastAsia" w:ascii="Times New Roman" w:hAnsi="宋体" w:cs="Times New Roman"/>
          <w:color w:val="auto"/>
          <w:sz w:val="24"/>
          <w:szCs w:val="24"/>
          <w:highlight w:val="none"/>
          <w:lang w:val="en-US" w:eastAsia="zh-CN" w:bidi="ar-SA"/>
        </w:rPr>
        <w:t>情形</w:t>
      </w:r>
      <w:r>
        <w:rPr>
          <w:rFonts w:hint="eastAsia" w:ascii="Times New Roman" w:hAnsi="Times New Roman"/>
          <w:color w:val="auto"/>
          <w:kern w:val="0"/>
          <w:sz w:val="24"/>
          <w:szCs w:val="24"/>
          <w:highlight w:val="none"/>
        </w:rPr>
        <w:t>进行查验</w:t>
      </w:r>
      <w:r>
        <w:rPr>
          <w:rFonts w:hint="eastAsia" w:ascii="Times New Roman" w:hAnsi="Times New Roman"/>
          <w:kern w:val="0"/>
          <w:sz w:val="24"/>
          <w:szCs w:val="24"/>
          <w:highlight w:val="none"/>
        </w:rPr>
        <w:t>。如查实存在的，则取消其中标候选人资格。</w:t>
      </w:r>
    </w:p>
    <w:p>
      <w:pPr>
        <w:widowControl/>
        <w:spacing w:line="360" w:lineRule="auto"/>
        <w:ind w:firstLine="480" w:firstLineChars="200"/>
        <w:rPr>
          <w:rFonts w:hint="eastAsia" w:ascii="Times New Roman" w:hAnsi="Times New Roman"/>
          <w:kern w:val="0"/>
          <w:sz w:val="24"/>
          <w:szCs w:val="24"/>
          <w:highlight w:val="none"/>
          <w:lang w:val="zh-CN"/>
        </w:rPr>
        <w:sectPr>
          <w:pgSz w:w="11906" w:h="16838"/>
          <w:pgMar w:top="1440" w:right="1800" w:bottom="1440" w:left="1800" w:header="851" w:footer="992" w:gutter="0"/>
          <w:cols w:space="720" w:num="1"/>
          <w:docGrid w:type="lines" w:linePitch="312" w:charSpace="0"/>
        </w:sectPr>
      </w:pPr>
      <w:r>
        <w:rPr>
          <w:rFonts w:hint="eastAsia" w:ascii="Times New Roman" w:hAnsi="Times New Roman"/>
          <w:kern w:val="0"/>
          <w:sz w:val="24"/>
          <w:szCs w:val="24"/>
          <w:highlight w:val="none"/>
          <w:lang w:val="zh-CN"/>
        </w:rPr>
        <w:t>当有效投标人＜3家时，评标委员会应判定本次投标是否具有竞争力。若评标委员会认为本次投标明显缺乏竞争的，可以否决全部投标。</w:t>
      </w:r>
    </w:p>
    <w:p>
      <w:pPr>
        <w:widowControl/>
        <w:rPr>
          <w:rFonts w:hint="eastAsia" w:ascii="Times New Roman" w:hAnsi="Times New Roman" w:eastAsia="宋体"/>
          <w:b/>
          <w:bCs/>
          <w:kern w:val="0"/>
          <w:sz w:val="24"/>
          <w:szCs w:val="24"/>
          <w:highlight w:val="none"/>
          <w:lang w:val="en-US" w:eastAsia="zh-CN"/>
        </w:rPr>
      </w:pPr>
      <w:r>
        <w:rPr>
          <w:rFonts w:ascii="宋体" w:hAnsi="宋体"/>
          <w:b/>
          <w:bCs/>
          <w:color w:val="auto"/>
          <w:sz w:val="28"/>
          <w:szCs w:val="28"/>
          <w:highlight w:val="none"/>
        </w:rPr>
        <w:t>□</w:t>
      </w:r>
      <w:r>
        <w:rPr>
          <w:rFonts w:hint="eastAsia" w:ascii="Times New Roman" w:hAnsi="Times New Roman"/>
          <w:b/>
          <w:bCs/>
          <w:kern w:val="0"/>
          <w:sz w:val="24"/>
          <w:szCs w:val="24"/>
          <w:highlight w:val="none"/>
          <w:lang w:val="en-US" w:eastAsia="zh-CN"/>
        </w:rPr>
        <w:t>评标办法（二）</w:t>
      </w:r>
    </w:p>
    <w:p>
      <w:pPr>
        <w:pStyle w:val="10"/>
        <w:adjustRightInd w:val="0"/>
        <w:snapToGrid w:val="0"/>
        <w:spacing w:line="360" w:lineRule="auto"/>
        <w:ind w:firstLine="560" w:firstLineChars="200"/>
        <w:jc w:val="center"/>
        <w:rPr>
          <w:rFonts w:hint="eastAsia" w:ascii="黑体" w:hAnsi="黑体" w:eastAsia="黑体" w:cs="黑体"/>
          <w:color w:val="auto"/>
          <w:kern w:val="0"/>
          <w:sz w:val="28"/>
          <w:szCs w:val="28"/>
          <w:highlight w:val="none"/>
          <w:lang w:val="zh-CN" w:eastAsia="zh-CN" w:bidi="ar-SA"/>
        </w:rPr>
      </w:pPr>
      <w:r>
        <w:rPr>
          <w:rFonts w:hint="eastAsia" w:ascii="黑体" w:hAnsi="黑体" w:eastAsia="黑体" w:cs="黑体"/>
          <w:color w:val="auto"/>
          <w:kern w:val="0"/>
          <w:sz w:val="28"/>
          <w:szCs w:val="28"/>
          <w:highlight w:val="none"/>
          <w:lang w:val="zh-CN" w:eastAsia="zh-CN" w:bidi="ar-SA"/>
        </w:rPr>
        <w:t>经评审的最低投标价法（</w:t>
      </w:r>
      <w:r>
        <w:rPr>
          <w:rFonts w:hint="eastAsia" w:ascii="黑体" w:hAnsi="黑体" w:eastAsia="黑体" w:cs="黑体"/>
          <w:color w:val="auto"/>
          <w:kern w:val="0"/>
          <w:sz w:val="28"/>
          <w:szCs w:val="28"/>
          <w:highlight w:val="none"/>
          <w:lang w:val="en-US" w:eastAsia="zh-CN" w:bidi="ar-SA"/>
        </w:rPr>
        <w:t>二</w:t>
      </w:r>
      <w:r>
        <w:rPr>
          <w:rFonts w:hint="eastAsia" w:ascii="黑体" w:hAnsi="黑体" w:eastAsia="黑体" w:cs="黑体"/>
          <w:color w:val="auto"/>
          <w:kern w:val="0"/>
          <w:sz w:val="28"/>
          <w:szCs w:val="28"/>
          <w:highlight w:val="none"/>
          <w:lang w:val="zh-CN" w:eastAsia="zh-CN" w:bidi="ar-SA"/>
        </w:rPr>
        <w:t>）</w:t>
      </w:r>
    </w:p>
    <w:p>
      <w:pPr>
        <w:pStyle w:val="10"/>
        <w:adjustRightInd w:val="0"/>
        <w:snapToGrid w:val="0"/>
        <w:spacing w:line="360" w:lineRule="auto"/>
        <w:ind w:firstLine="480" w:firstLineChars="200"/>
        <w:jc w:val="both"/>
        <w:rPr>
          <w:rFonts w:hint="default" w:ascii="Times New Roman" w:hAnsi="宋体" w:eastAsia="宋体" w:cs="Times New Roman"/>
          <w:color w:val="auto"/>
          <w:kern w:val="0"/>
          <w:sz w:val="24"/>
          <w:szCs w:val="24"/>
          <w:highlight w:val="none"/>
          <w:lang w:val="zh-CN" w:eastAsia="zh-CN" w:bidi="ar-SA"/>
        </w:rPr>
      </w:pPr>
      <w:r>
        <w:rPr>
          <w:rFonts w:hint="default" w:ascii="Times New Roman" w:hAnsi="宋体" w:eastAsia="宋体" w:cs="Times New Roman"/>
          <w:color w:val="auto"/>
          <w:kern w:val="0"/>
          <w:sz w:val="24"/>
          <w:szCs w:val="24"/>
          <w:highlight w:val="none"/>
          <w:lang w:val="zh-CN" w:eastAsia="zh-CN" w:bidi="ar-SA"/>
        </w:rPr>
        <w:t>经评审的最低投标价法，适用于具有通用技术、性能标准或者招标人对其技术、性能没有特殊要求的一般房屋建筑和市政基础设施工程施工招标。评标应遵循公平、公正、科学、择优的原则。</w:t>
      </w:r>
    </w:p>
    <w:p>
      <w:pPr>
        <w:pStyle w:val="10"/>
        <w:adjustRightInd w:val="0"/>
        <w:snapToGrid w:val="0"/>
        <w:spacing w:line="360" w:lineRule="auto"/>
        <w:ind w:firstLine="480" w:firstLineChars="200"/>
        <w:jc w:val="both"/>
        <w:rPr>
          <w:rFonts w:hint="default" w:ascii="Times New Roman" w:cs="Times New Roman"/>
          <w:color w:val="auto"/>
          <w:szCs w:val="24"/>
          <w:highlight w:val="none"/>
        </w:rPr>
      </w:pPr>
      <w:r>
        <w:rPr>
          <w:rFonts w:hint="default" w:ascii="Times New Roman" w:cs="Times New Roman"/>
          <w:color w:val="auto"/>
          <w:szCs w:val="24"/>
          <w:highlight w:val="none"/>
        </w:rPr>
        <w:t>经评审的最低投标价法应先对投标人进行资格审查，</w:t>
      </w:r>
      <w:r>
        <w:rPr>
          <w:rFonts w:hint="default" w:ascii="Times New Roman" w:cs="Times New Roman"/>
          <w:color w:val="auto"/>
          <w:szCs w:val="24"/>
          <w:highlight w:val="none"/>
          <w:lang w:val="en-US"/>
        </w:rPr>
        <w:t>已</w:t>
      </w:r>
      <w:r>
        <w:rPr>
          <w:rFonts w:hint="default" w:ascii="Times New Roman" w:cs="Times New Roman"/>
          <w:color w:val="auto"/>
          <w:szCs w:val="24"/>
          <w:highlight w:val="none"/>
        </w:rPr>
        <w:t>通过资格审查的投标人</w:t>
      </w:r>
      <w:r>
        <w:rPr>
          <w:rFonts w:hint="default" w:ascii="Times New Roman" w:cs="Times New Roman"/>
          <w:color w:val="auto"/>
          <w:szCs w:val="24"/>
          <w:highlight w:val="none"/>
          <w:lang w:val="en-US"/>
        </w:rPr>
        <w:t>经过</w:t>
      </w:r>
      <w:r>
        <w:rPr>
          <w:rFonts w:hint="eastAsia" w:ascii="Times New Roman" w:cs="Times New Roman"/>
          <w:color w:val="auto"/>
          <w:szCs w:val="24"/>
          <w:highlight w:val="none"/>
          <w:lang w:eastAsia="zh-CN"/>
        </w:rPr>
        <w:t>评审区间确定</w:t>
      </w:r>
      <w:r>
        <w:rPr>
          <w:rFonts w:hint="default" w:ascii="Times New Roman" w:cs="Times New Roman"/>
          <w:color w:val="auto"/>
          <w:szCs w:val="24"/>
          <w:highlight w:val="none"/>
        </w:rPr>
        <w:t>、</w:t>
      </w:r>
      <w:r>
        <w:rPr>
          <w:rFonts w:hint="eastAsia" w:ascii="Times New Roman" w:cs="Times New Roman"/>
          <w:color w:val="auto"/>
          <w:szCs w:val="24"/>
          <w:highlight w:val="none"/>
          <w:lang w:val="en-US" w:eastAsia="zh-CN"/>
        </w:rPr>
        <w:t>详细</w:t>
      </w:r>
      <w:r>
        <w:rPr>
          <w:rFonts w:hint="default" w:ascii="Times New Roman" w:cs="Times New Roman"/>
          <w:color w:val="auto"/>
          <w:szCs w:val="24"/>
          <w:highlight w:val="none"/>
        </w:rPr>
        <w:t>评审</w:t>
      </w:r>
      <w:r>
        <w:rPr>
          <w:rFonts w:hint="eastAsia" w:ascii="Times New Roman" w:cs="Times New Roman"/>
          <w:color w:val="auto"/>
          <w:szCs w:val="24"/>
          <w:highlight w:val="none"/>
          <w:lang w:eastAsia="zh-CN"/>
        </w:rPr>
        <w:t>、综合评审</w:t>
      </w:r>
      <w:r>
        <w:rPr>
          <w:rFonts w:hint="default" w:ascii="Times New Roman" w:cs="Times New Roman"/>
          <w:color w:val="auto"/>
          <w:szCs w:val="24"/>
          <w:highlight w:val="none"/>
          <w:lang w:val="en-US"/>
        </w:rPr>
        <w:t>的评标程序</w:t>
      </w:r>
      <w:r>
        <w:rPr>
          <w:rFonts w:hint="default" w:ascii="Times New Roman" w:cs="Times New Roman"/>
          <w:color w:val="auto"/>
          <w:szCs w:val="24"/>
          <w:highlight w:val="none"/>
        </w:rPr>
        <w:t>后</w:t>
      </w:r>
      <w:r>
        <w:rPr>
          <w:rFonts w:hint="eastAsia" w:ascii="Times New Roman" w:cs="Times New Roman"/>
          <w:color w:val="auto"/>
          <w:szCs w:val="24"/>
          <w:highlight w:val="none"/>
          <w:lang w:eastAsia="zh-CN"/>
        </w:rPr>
        <w:t>，评标价最低</w:t>
      </w:r>
      <w:r>
        <w:rPr>
          <w:rFonts w:hint="default" w:ascii="Times New Roman" w:cs="Times New Roman"/>
          <w:color w:val="auto"/>
          <w:szCs w:val="24"/>
          <w:highlight w:val="none"/>
        </w:rPr>
        <w:t>的投标人推荐为中标候选人。</w:t>
      </w:r>
    </w:p>
    <w:p>
      <w:pPr>
        <w:pStyle w:val="10"/>
        <w:adjustRightInd w:val="0"/>
        <w:snapToGrid w:val="0"/>
        <w:spacing w:line="360" w:lineRule="auto"/>
        <w:ind w:firstLine="480" w:firstLineChars="200"/>
        <w:jc w:val="both"/>
        <w:rPr>
          <w:rFonts w:cs="宋体"/>
          <w:color w:val="2B00FF"/>
          <w:szCs w:val="24"/>
          <w:highlight w:val="none"/>
          <w:u w:val="single"/>
        </w:rPr>
      </w:pPr>
      <w:r>
        <w:rPr>
          <w:rFonts w:hint="eastAsia" w:cs="宋体"/>
          <w:kern w:val="2"/>
          <w:sz w:val="24"/>
          <w:szCs w:val="24"/>
          <w:highlight w:val="none"/>
        </w:rPr>
        <w:t>评标工作由招标人依法组建的评标委员会负责，评标委员会成员</w:t>
      </w:r>
      <w:r>
        <w:rPr>
          <w:rFonts w:hint="eastAsia" w:cs="宋体"/>
          <w:sz w:val="24"/>
          <w:szCs w:val="24"/>
          <w:highlight w:val="none"/>
        </w:rPr>
        <w:t>为</w:t>
      </w:r>
      <w:r>
        <w:rPr>
          <w:rFonts w:hint="eastAsia" w:cs="宋体"/>
          <w:color w:val="0000FF"/>
          <w:sz w:val="24"/>
          <w:szCs w:val="24"/>
          <w:highlight w:val="none"/>
          <w:u w:val="single"/>
        </w:rPr>
        <w:t>（应根据法律法规及相关文件要求填写）</w:t>
      </w:r>
      <w:r>
        <w:rPr>
          <w:rFonts w:hint="eastAsia" w:cs="宋体"/>
          <w:sz w:val="24"/>
          <w:szCs w:val="24"/>
          <w:highlight w:val="none"/>
        </w:rPr>
        <w:t>。</w:t>
      </w:r>
    </w:p>
    <w:p>
      <w:pPr>
        <w:pStyle w:val="10"/>
        <w:adjustRightInd w:val="0"/>
        <w:snapToGrid w:val="0"/>
        <w:spacing w:line="360" w:lineRule="auto"/>
        <w:ind w:firstLine="480" w:firstLineChars="200"/>
        <w:jc w:val="both"/>
        <w:rPr>
          <w:rFonts w:hint="eastAsia" w:ascii="Times New Roman" w:hAnsi="Times New Roman"/>
          <w:kern w:val="0"/>
          <w:sz w:val="24"/>
          <w:szCs w:val="24"/>
          <w:highlight w:val="none"/>
          <w:lang w:val="zh-CN"/>
        </w:rPr>
      </w:pPr>
      <w:r>
        <w:rPr>
          <w:rFonts w:hint="eastAsia" w:ascii="Times New Roman" w:hAnsi="Times New Roman"/>
          <w:kern w:val="0"/>
          <w:sz w:val="24"/>
          <w:szCs w:val="24"/>
          <w:highlight w:val="none"/>
          <w:lang w:val="zh-CN"/>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pPr>
        <w:pStyle w:val="10"/>
        <w:adjustRightInd w:val="0"/>
        <w:snapToGrid w:val="0"/>
        <w:spacing w:line="360" w:lineRule="auto"/>
        <w:ind w:firstLine="482" w:firstLineChars="200"/>
        <w:jc w:val="both"/>
        <w:rPr>
          <w:rFonts w:hint="eastAsia" w:ascii="Times New Roman" w:hAnsi="Times New Roman"/>
          <w:b/>
          <w:bCs/>
          <w:kern w:val="0"/>
          <w:sz w:val="24"/>
          <w:szCs w:val="24"/>
          <w:highlight w:val="none"/>
          <w:lang w:val="en-US" w:eastAsia="zh-CN"/>
        </w:rPr>
      </w:pPr>
      <w:r>
        <w:rPr>
          <w:rFonts w:hint="eastAsia" w:ascii="Times New Roman" w:hAnsi="Times New Roman"/>
          <w:b/>
          <w:bCs/>
          <w:kern w:val="0"/>
          <w:sz w:val="24"/>
          <w:szCs w:val="24"/>
          <w:highlight w:val="none"/>
          <w:lang w:val="en-US" w:eastAsia="zh-CN"/>
        </w:rPr>
        <w:t>一、评标程序</w:t>
      </w:r>
    </w:p>
    <w:p>
      <w:pPr>
        <w:pStyle w:val="10"/>
        <w:adjustRightInd w:val="0"/>
        <w:snapToGrid w:val="0"/>
        <w:spacing w:line="360" w:lineRule="auto"/>
        <w:ind w:firstLine="480" w:firstLineChars="200"/>
        <w:jc w:val="both"/>
        <w:rPr>
          <w:rFonts w:hint="eastAsia" w:ascii="Times New Roman" w:hAnsi="Times New Roman"/>
          <w:kern w:val="0"/>
          <w:sz w:val="24"/>
          <w:szCs w:val="24"/>
          <w:highlight w:val="none"/>
          <w:lang w:val="en-US" w:eastAsia="zh-CN"/>
        </w:rPr>
      </w:pPr>
      <w:r>
        <w:rPr>
          <w:rFonts w:hint="eastAsia" w:ascii="Times New Roman" w:hAnsi="Times New Roman"/>
          <w:kern w:val="0"/>
          <w:sz w:val="24"/>
          <w:szCs w:val="24"/>
          <w:highlight w:val="none"/>
          <w:lang w:val="en-US" w:eastAsia="zh-CN"/>
        </w:rPr>
        <w:t>（一）资格审查</w:t>
      </w:r>
    </w:p>
    <w:p>
      <w:pPr>
        <w:pStyle w:val="10"/>
        <w:adjustRightInd w:val="0"/>
        <w:snapToGrid w:val="0"/>
        <w:spacing w:line="360" w:lineRule="auto"/>
        <w:ind w:firstLine="480" w:firstLineChars="200"/>
        <w:jc w:val="both"/>
        <w:rPr>
          <w:rFonts w:hint="eastAsia" w:ascii="Times New Roman" w:hAnsi="Times New Roman"/>
          <w:kern w:val="0"/>
          <w:sz w:val="24"/>
          <w:szCs w:val="24"/>
          <w:highlight w:val="none"/>
          <w:lang w:val="en-US" w:eastAsia="zh-CN"/>
        </w:rPr>
      </w:pPr>
      <w:r>
        <w:rPr>
          <w:rFonts w:hint="eastAsia" w:ascii="Times New Roman" w:hAnsi="Times New Roman"/>
          <w:kern w:val="0"/>
          <w:sz w:val="24"/>
          <w:szCs w:val="24"/>
          <w:highlight w:val="none"/>
          <w:lang w:val="en-US" w:eastAsia="zh-CN"/>
        </w:rPr>
        <w:t>（二）评审区间确定</w:t>
      </w:r>
    </w:p>
    <w:p>
      <w:pPr>
        <w:pStyle w:val="10"/>
        <w:adjustRightInd w:val="0"/>
        <w:snapToGrid w:val="0"/>
        <w:spacing w:line="360" w:lineRule="auto"/>
        <w:ind w:firstLine="480" w:firstLineChars="200"/>
        <w:jc w:val="both"/>
        <w:rPr>
          <w:rFonts w:hint="eastAsia" w:ascii="Times New Roman" w:hAnsi="Times New Roman"/>
          <w:kern w:val="0"/>
          <w:sz w:val="24"/>
          <w:szCs w:val="24"/>
          <w:highlight w:val="none"/>
          <w:lang w:val="en-US" w:eastAsia="zh-CN"/>
        </w:rPr>
      </w:pPr>
      <w:r>
        <w:rPr>
          <w:rFonts w:hint="eastAsia" w:ascii="Times New Roman" w:hAnsi="Times New Roman"/>
          <w:kern w:val="0"/>
          <w:sz w:val="24"/>
          <w:szCs w:val="24"/>
          <w:highlight w:val="none"/>
          <w:lang w:val="en-US" w:eastAsia="zh-CN"/>
        </w:rPr>
        <w:t>（三）详细评审</w:t>
      </w:r>
    </w:p>
    <w:p>
      <w:pPr>
        <w:pStyle w:val="10"/>
        <w:adjustRightInd w:val="0"/>
        <w:snapToGrid w:val="0"/>
        <w:spacing w:line="360" w:lineRule="auto"/>
        <w:ind w:firstLine="480" w:firstLineChars="200"/>
        <w:jc w:val="both"/>
        <w:rPr>
          <w:rFonts w:hint="eastAsia" w:ascii="Times New Roman" w:hAnsi="Times New Roman"/>
          <w:kern w:val="0"/>
          <w:sz w:val="24"/>
          <w:szCs w:val="24"/>
          <w:highlight w:val="none"/>
          <w:lang w:val="en-US" w:eastAsia="zh-CN"/>
        </w:rPr>
      </w:pPr>
      <w:r>
        <w:rPr>
          <w:rFonts w:hint="eastAsia" w:ascii="Times New Roman" w:hAnsi="Times New Roman"/>
          <w:kern w:val="0"/>
          <w:sz w:val="24"/>
          <w:szCs w:val="24"/>
          <w:highlight w:val="none"/>
          <w:lang w:val="en-US" w:eastAsia="zh-CN"/>
        </w:rPr>
        <w:t>（四）综合评审</w:t>
      </w:r>
    </w:p>
    <w:p>
      <w:pPr>
        <w:pStyle w:val="10"/>
        <w:adjustRightInd w:val="0"/>
        <w:snapToGrid w:val="0"/>
        <w:spacing w:line="360" w:lineRule="auto"/>
        <w:ind w:firstLine="480" w:firstLineChars="200"/>
        <w:jc w:val="both"/>
        <w:rPr>
          <w:rFonts w:hint="eastAsia" w:ascii="Times New Roman" w:hAnsi="Times New Roman"/>
          <w:kern w:val="0"/>
          <w:sz w:val="24"/>
          <w:szCs w:val="24"/>
          <w:highlight w:val="none"/>
          <w:lang w:val="en-US" w:eastAsia="zh-CN"/>
        </w:rPr>
      </w:pPr>
      <w:r>
        <w:rPr>
          <w:rFonts w:hint="eastAsia" w:ascii="Times New Roman" w:hAnsi="Times New Roman"/>
          <w:kern w:val="0"/>
          <w:sz w:val="24"/>
          <w:szCs w:val="24"/>
          <w:highlight w:val="none"/>
          <w:lang w:val="en-US" w:eastAsia="zh-CN"/>
        </w:rPr>
        <w:t>（五）推荐中标候选人</w:t>
      </w:r>
    </w:p>
    <w:p>
      <w:pPr>
        <w:widowControl/>
        <w:spacing w:line="360" w:lineRule="auto"/>
        <w:ind w:firstLine="482" w:firstLineChars="200"/>
        <w:outlineLvl w:val="2"/>
        <w:rPr>
          <w:rFonts w:ascii="Times New Roman" w:hAnsi="Times New Roman"/>
          <w:b/>
          <w:bCs/>
          <w:kern w:val="0"/>
          <w:sz w:val="24"/>
          <w:szCs w:val="24"/>
          <w:highlight w:val="none"/>
          <w:lang w:val="zh-CN"/>
        </w:rPr>
      </w:pPr>
      <w:r>
        <w:rPr>
          <w:rFonts w:hint="eastAsia" w:ascii="Times New Roman" w:hAnsi="Times New Roman"/>
          <w:b/>
          <w:bCs/>
          <w:kern w:val="0"/>
          <w:sz w:val="24"/>
          <w:szCs w:val="24"/>
          <w:highlight w:val="none"/>
          <w:lang w:val="zh-CN"/>
        </w:rPr>
        <w:t>二、资格审查</w:t>
      </w:r>
    </w:p>
    <w:p>
      <w:pPr>
        <w:widowControl/>
        <w:spacing w:line="360" w:lineRule="auto"/>
        <w:ind w:firstLine="480" w:firstLineChars="200"/>
        <w:rPr>
          <w:rFonts w:hint="eastAsia" w:ascii="Times New Roman" w:hAnsi="Times New Roman"/>
          <w:kern w:val="0"/>
          <w:szCs w:val="21"/>
          <w:highlight w:val="none"/>
        </w:rPr>
      </w:pPr>
      <w:r>
        <w:rPr>
          <w:rFonts w:hint="eastAsia" w:ascii="Times New Roman" w:hAnsi="Times New Roman"/>
          <w:kern w:val="0"/>
          <w:sz w:val="24"/>
          <w:szCs w:val="24"/>
          <w:highlight w:val="none"/>
        </w:rPr>
        <w:t>评标委员会通过招投标平台系统对投标人的资格审查资料中涉及</w:t>
      </w:r>
      <w:r>
        <w:rPr>
          <w:rFonts w:ascii="Times New Roman" w:hAnsi="Times New Roman"/>
          <w:kern w:val="0"/>
          <w:sz w:val="24"/>
          <w:szCs w:val="24"/>
          <w:highlight w:val="none"/>
        </w:rPr>
        <w:t>“</w:t>
      </w:r>
      <w:r>
        <w:rPr>
          <w:rFonts w:hint="eastAsia" w:ascii="Times New Roman" w:hAnsi="Times New Roman"/>
          <w:kern w:val="0"/>
          <w:sz w:val="24"/>
          <w:szCs w:val="24"/>
          <w:highlight w:val="none"/>
        </w:rPr>
        <w:t>企业营业执照、资质证书、安全许可证</w:t>
      </w:r>
      <w:r>
        <w:rPr>
          <w:rFonts w:ascii="Times New Roman" w:hAnsi="Times New Roman"/>
          <w:kern w:val="0"/>
          <w:sz w:val="24"/>
          <w:szCs w:val="24"/>
          <w:highlight w:val="none"/>
        </w:rPr>
        <w:t>”</w:t>
      </w:r>
      <w:r>
        <w:rPr>
          <w:rFonts w:hint="eastAsia" w:ascii="Times New Roman" w:hAnsi="Times New Roman"/>
          <w:kern w:val="0"/>
          <w:sz w:val="24"/>
          <w:szCs w:val="24"/>
          <w:highlight w:val="none"/>
        </w:rPr>
        <w:t>进行核对，投标人投标文件中上述资料未通过系统平台企业诚信库导入或存在投标须知前附表</w:t>
      </w:r>
      <w:r>
        <w:rPr>
          <w:rFonts w:ascii="Times New Roman" w:hAnsi="Times New Roman"/>
          <w:kern w:val="0"/>
          <w:sz w:val="24"/>
          <w:szCs w:val="24"/>
          <w:highlight w:val="none"/>
        </w:rPr>
        <w:t>10.5</w:t>
      </w:r>
      <w:r>
        <w:rPr>
          <w:rFonts w:hint="eastAsia" w:ascii="Times New Roman" w:hAnsi="Times New Roman"/>
          <w:kern w:val="0"/>
          <w:sz w:val="24"/>
          <w:szCs w:val="24"/>
          <w:highlight w:val="none"/>
        </w:rPr>
        <w:t>情形之一的，评标委员会组织投标人询问核实后，情况属实的，资格审查不予通过，否决其投标。评标委员会核查投标人投标保证金递交情况，投标人未按招标文件要求递交投标保证金的，评标委员会组织投标人询问核实后，情况属实的，资格审查不予通过，否决其投标。</w:t>
      </w:r>
    </w:p>
    <w:p>
      <w:pPr>
        <w:pStyle w:val="10"/>
        <w:adjustRightInd w:val="0"/>
        <w:snapToGrid w:val="0"/>
        <w:spacing w:line="360" w:lineRule="auto"/>
        <w:ind w:firstLine="480" w:firstLineChars="200"/>
        <w:jc w:val="both"/>
        <w:rPr>
          <w:rFonts w:hint="eastAsia" w:ascii="Times New Roman" w:hAnsi="Times New Roman"/>
          <w:color w:val="auto"/>
          <w:kern w:val="0"/>
          <w:sz w:val="24"/>
          <w:szCs w:val="24"/>
          <w:highlight w:val="none"/>
          <w:lang w:val="en-US" w:eastAsia="zh-CN"/>
        </w:rPr>
      </w:pPr>
      <w:r>
        <w:rPr>
          <w:rFonts w:hint="eastAsia" w:ascii="Times New Roman" w:hAnsi="Times New Roman"/>
          <w:color w:val="auto"/>
          <w:kern w:val="0"/>
          <w:sz w:val="24"/>
          <w:szCs w:val="24"/>
          <w:highlight w:val="none"/>
          <w:lang w:val="en-US" w:eastAsia="zh-CN"/>
        </w:rPr>
        <w:t>评标委员会应审查投标人提供的“资质动态核查证明”，未按招标文件要求提供“资质动态核查证明”的或提供的“资质动态核查证明”不符合招标文件要求的，资格审查不予通过，否决其投标。</w:t>
      </w:r>
    </w:p>
    <w:p>
      <w:pPr>
        <w:widowControl/>
        <w:spacing w:line="360" w:lineRule="auto"/>
        <w:ind w:firstLine="482" w:firstLineChars="200"/>
        <w:outlineLvl w:val="2"/>
        <w:rPr>
          <w:rFonts w:ascii="Times New Roman" w:hAnsi="Times New Roman"/>
          <w:b/>
          <w:bCs/>
          <w:kern w:val="0"/>
          <w:sz w:val="24"/>
          <w:szCs w:val="24"/>
          <w:highlight w:val="none"/>
          <w:lang w:val="zh-CN"/>
        </w:rPr>
      </w:pPr>
      <w:r>
        <w:rPr>
          <w:rFonts w:hint="eastAsia" w:ascii="Times New Roman" w:hAnsi="Times New Roman"/>
          <w:b/>
          <w:bCs/>
          <w:kern w:val="0"/>
          <w:sz w:val="24"/>
          <w:szCs w:val="24"/>
          <w:highlight w:val="none"/>
          <w:lang w:val="zh-CN"/>
        </w:rPr>
        <w:t>三、评审区间确定</w:t>
      </w:r>
    </w:p>
    <w:p>
      <w:pPr>
        <w:widowControl/>
        <w:spacing w:line="360" w:lineRule="auto"/>
        <w:ind w:firstLine="480" w:firstLineChars="200"/>
        <w:rPr>
          <w:rFonts w:ascii="Times New Roman" w:hAnsi="Times New Roman"/>
          <w:kern w:val="0"/>
          <w:szCs w:val="21"/>
          <w:highlight w:val="none"/>
        </w:rPr>
      </w:pPr>
      <w:r>
        <w:rPr>
          <w:rFonts w:hint="eastAsia" w:ascii="Times New Roman" w:hAnsi="Times New Roman"/>
          <w:kern w:val="0"/>
          <w:sz w:val="24"/>
          <w:szCs w:val="24"/>
          <w:highlight w:val="none"/>
        </w:rPr>
        <w:t>（一）为防止投标人恶意低价竞标</w:t>
      </w:r>
      <w:r>
        <w:rPr>
          <w:rFonts w:hint="eastAsia" w:ascii="Times New Roman" w:hAnsi="Times New Roman"/>
          <w:kern w:val="0"/>
          <w:sz w:val="24"/>
          <w:szCs w:val="24"/>
          <w:highlight w:val="none"/>
          <w:lang w:val="zh-CN"/>
        </w:rPr>
        <w:t>，</w:t>
      </w:r>
      <w:r>
        <w:rPr>
          <w:rFonts w:hint="eastAsia" w:ascii="Times New Roman" w:hAnsi="Times New Roman"/>
          <w:kern w:val="0"/>
          <w:sz w:val="24"/>
          <w:szCs w:val="24"/>
          <w:highlight w:val="none"/>
        </w:rPr>
        <w:t>招标人应在招标文件中明确合理的评审区间，评审区间下限按如下原则确定：（</w:t>
      </w:r>
      <w:r>
        <w:rPr>
          <w:rFonts w:ascii="Times New Roman" w:hAnsi="Times New Roman"/>
          <w:kern w:val="0"/>
          <w:sz w:val="24"/>
          <w:szCs w:val="24"/>
          <w:highlight w:val="none"/>
        </w:rPr>
        <w:t>1</w:t>
      </w:r>
      <w:r>
        <w:rPr>
          <w:rFonts w:hint="eastAsia" w:ascii="Times New Roman" w:hAnsi="Times New Roman"/>
          <w:kern w:val="0"/>
          <w:sz w:val="24"/>
          <w:szCs w:val="24"/>
          <w:highlight w:val="none"/>
        </w:rPr>
        <w:t>）招标人可组织专家会议评审确定相关项目的评审区间下限；（</w:t>
      </w:r>
      <w:r>
        <w:rPr>
          <w:rFonts w:ascii="Times New Roman" w:hAnsi="Times New Roman"/>
          <w:kern w:val="0"/>
          <w:sz w:val="24"/>
          <w:szCs w:val="24"/>
          <w:highlight w:val="none"/>
        </w:rPr>
        <w:t>2</w:t>
      </w:r>
      <w:r>
        <w:rPr>
          <w:rFonts w:hint="eastAsia" w:ascii="Times New Roman" w:hAnsi="Times New Roman"/>
          <w:kern w:val="0"/>
          <w:sz w:val="24"/>
          <w:szCs w:val="24"/>
          <w:highlight w:val="none"/>
        </w:rPr>
        <w:t>）</w:t>
      </w:r>
      <w:r>
        <w:rPr>
          <w:rFonts w:hint="eastAsia" w:ascii="Times New Roman" w:hAnsi="Times New Roman"/>
          <w:color w:val="0000FF"/>
          <w:kern w:val="0"/>
          <w:sz w:val="24"/>
          <w:szCs w:val="24"/>
          <w:highlight w:val="none"/>
          <w:u w:val="single"/>
          <w:lang w:val="en-US" w:eastAsia="zh-CN"/>
        </w:rPr>
        <w:t xml:space="preserve">   </w:t>
      </w:r>
      <w:r>
        <w:rPr>
          <w:rFonts w:hint="eastAsia" w:ascii="Times New Roman" w:hAnsi="Times New Roman"/>
          <w:color w:val="0000FF"/>
          <w:kern w:val="0"/>
          <w:sz w:val="24"/>
          <w:szCs w:val="24"/>
          <w:highlight w:val="none"/>
        </w:rPr>
        <w:t>（其他）</w:t>
      </w:r>
      <w:r>
        <w:rPr>
          <w:rFonts w:ascii="Times New Roman" w:hAnsi="Times New Roman"/>
          <w:kern w:val="0"/>
          <w:sz w:val="24"/>
          <w:szCs w:val="24"/>
          <w:highlight w:val="none"/>
        </w:rPr>
        <w:t>。</w:t>
      </w:r>
      <w:r>
        <w:rPr>
          <w:rFonts w:hint="eastAsia" w:ascii="Times New Roman" w:hAnsi="Times New Roman"/>
          <w:kern w:val="0"/>
          <w:sz w:val="24"/>
          <w:szCs w:val="24"/>
          <w:highlight w:val="none"/>
        </w:rPr>
        <w:t>本项目招标人依据上述第（</w:t>
      </w:r>
      <w:r>
        <w:rPr>
          <w:rFonts w:hint="eastAsia" w:ascii="Times New Roman" w:hAnsi="Times New Roman"/>
          <w:color w:val="0000FF"/>
          <w:kern w:val="0"/>
          <w:sz w:val="24"/>
          <w:szCs w:val="24"/>
          <w:highlight w:val="none"/>
          <w:u w:val="single"/>
          <w:lang w:val="en-US" w:eastAsia="zh-CN"/>
        </w:rPr>
        <w:t xml:space="preserve"> </w:t>
      </w:r>
      <w:r>
        <w:rPr>
          <w:rFonts w:hint="eastAsia" w:ascii="Times New Roman" w:hAnsi="Times New Roman"/>
          <w:kern w:val="0"/>
          <w:sz w:val="24"/>
          <w:szCs w:val="24"/>
          <w:highlight w:val="none"/>
        </w:rPr>
        <w:t>）条原则确定的评审区间下限为：</w:t>
      </w:r>
      <w:r>
        <w:rPr>
          <w:rFonts w:hint="eastAsia" w:ascii="Times New Roman" w:hAnsi="Times New Roman"/>
          <w:color w:val="0000FF"/>
          <w:kern w:val="0"/>
          <w:sz w:val="24"/>
          <w:szCs w:val="24"/>
          <w:highlight w:val="none"/>
          <w:u w:val="single"/>
          <w:lang w:val="en-US" w:eastAsia="zh-CN"/>
        </w:rPr>
        <w:t xml:space="preserve">    </w:t>
      </w:r>
      <w:r>
        <w:rPr>
          <w:rFonts w:hint="eastAsia" w:ascii="Times New Roman" w:hAnsi="Times New Roman"/>
          <w:kern w:val="0"/>
          <w:sz w:val="24"/>
          <w:szCs w:val="24"/>
          <w:highlight w:val="none"/>
        </w:rPr>
        <w:t>万元。</w:t>
      </w:r>
    </w:p>
    <w:p>
      <w:pPr>
        <w:widowControl/>
        <w:spacing w:line="360" w:lineRule="auto"/>
        <w:ind w:firstLine="480" w:firstLineChars="200"/>
        <w:rPr>
          <w:rFonts w:hint="eastAsia" w:ascii="Times New Roman" w:hAnsi="Times New Roman"/>
          <w:kern w:val="0"/>
          <w:sz w:val="24"/>
          <w:szCs w:val="24"/>
          <w:highlight w:val="none"/>
        </w:rPr>
      </w:pPr>
      <w:r>
        <w:rPr>
          <w:rFonts w:hint="eastAsia" w:ascii="Times New Roman" w:hAnsi="Times New Roman"/>
          <w:kern w:val="0"/>
          <w:sz w:val="24"/>
          <w:szCs w:val="24"/>
          <w:highlight w:val="none"/>
        </w:rPr>
        <w:t>（二）评审区间入围单位按如下原则确定：（</w:t>
      </w:r>
      <w:r>
        <w:rPr>
          <w:rFonts w:ascii="Times New Roman" w:hAnsi="Times New Roman"/>
          <w:kern w:val="0"/>
          <w:sz w:val="24"/>
          <w:szCs w:val="24"/>
          <w:highlight w:val="none"/>
        </w:rPr>
        <w:t>1</w:t>
      </w:r>
      <w:r>
        <w:rPr>
          <w:rFonts w:hint="eastAsia" w:ascii="Times New Roman" w:hAnsi="Times New Roman"/>
          <w:kern w:val="0"/>
          <w:sz w:val="24"/>
          <w:szCs w:val="24"/>
          <w:highlight w:val="none"/>
        </w:rPr>
        <w:t>）</w:t>
      </w:r>
      <w:r>
        <w:rPr>
          <w:rFonts w:hint="eastAsia" w:ascii="Times New Roman" w:hAnsi="Times New Roman"/>
          <w:kern w:val="0"/>
          <w:sz w:val="24"/>
          <w:szCs w:val="24"/>
          <w:highlight w:val="none"/>
          <w:lang w:val="zh-CN"/>
        </w:rPr>
        <w:t>评标委员会</w:t>
      </w:r>
      <w:r>
        <w:rPr>
          <w:rFonts w:hint="eastAsia" w:ascii="Times New Roman" w:hAnsi="Times New Roman"/>
          <w:kern w:val="0"/>
          <w:sz w:val="24"/>
          <w:szCs w:val="24"/>
          <w:highlight w:val="none"/>
        </w:rPr>
        <w:t>对报价高于等于评审区间下限投标</w:t>
      </w:r>
      <w:r>
        <w:rPr>
          <w:rFonts w:hint="eastAsia" w:ascii="Times New Roman" w:hAnsi="Times New Roman"/>
          <w:kern w:val="0"/>
          <w:sz w:val="24"/>
          <w:szCs w:val="24"/>
          <w:highlight w:val="none"/>
          <w:lang w:val="zh-CN"/>
        </w:rPr>
        <w:t>报价由低到高</w:t>
      </w:r>
      <w:r>
        <w:rPr>
          <w:rFonts w:hint="eastAsia" w:ascii="Times New Roman" w:hAnsi="Times New Roman"/>
          <w:kern w:val="0"/>
          <w:sz w:val="24"/>
          <w:szCs w:val="24"/>
          <w:highlight w:val="none"/>
        </w:rPr>
        <w:t>的原则</w:t>
      </w:r>
      <w:r>
        <w:rPr>
          <w:rFonts w:hint="eastAsia" w:ascii="Times New Roman" w:hAnsi="Times New Roman"/>
          <w:kern w:val="0"/>
          <w:sz w:val="24"/>
          <w:szCs w:val="24"/>
          <w:highlight w:val="none"/>
          <w:lang w:val="zh-CN"/>
        </w:rPr>
        <w:t>依次进行排序。（</w:t>
      </w:r>
      <w:r>
        <w:rPr>
          <w:rFonts w:ascii="Times New Roman" w:hAnsi="Times New Roman"/>
          <w:kern w:val="0"/>
          <w:sz w:val="24"/>
          <w:szCs w:val="24"/>
          <w:highlight w:val="none"/>
        </w:rPr>
        <w:t>2</w:t>
      </w:r>
      <w:r>
        <w:rPr>
          <w:rFonts w:hint="eastAsia" w:ascii="Times New Roman" w:hAnsi="Times New Roman"/>
          <w:kern w:val="0"/>
          <w:sz w:val="24"/>
          <w:szCs w:val="24"/>
          <w:highlight w:val="none"/>
          <w:lang w:val="zh-CN"/>
        </w:rPr>
        <w:t>）</w:t>
      </w:r>
      <w:r>
        <w:rPr>
          <w:rFonts w:hint="eastAsia" w:ascii="Times New Roman" w:hAnsi="Times New Roman"/>
          <w:kern w:val="0"/>
          <w:sz w:val="24"/>
          <w:szCs w:val="24"/>
          <w:highlight w:val="none"/>
        </w:rPr>
        <w:t>当通过资格审查且报价不低于评审区间下限、不高于招标控制价的投标人（以下简称合格投标人）个数不足</w:t>
      </w:r>
      <w:r>
        <w:rPr>
          <w:rFonts w:ascii="Times New Roman" w:hAnsi="Times New Roman"/>
          <w:kern w:val="0"/>
          <w:sz w:val="24"/>
          <w:szCs w:val="24"/>
          <w:highlight w:val="none"/>
        </w:rPr>
        <w:t>10</w:t>
      </w:r>
      <w:r>
        <w:rPr>
          <w:rFonts w:hint="eastAsia" w:ascii="Times New Roman" w:hAnsi="Times New Roman"/>
          <w:kern w:val="0"/>
          <w:sz w:val="24"/>
          <w:szCs w:val="24"/>
          <w:highlight w:val="none"/>
        </w:rPr>
        <w:t>家时，全部合格投标人进入评审入围单位。（</w:t>
      </w:r>
      <w:r>
        <w:rPr>
          <w:rFonts w:ascii="Times New Roman" w:hAnsi="Times New Roman"/>
          <w:kern w:val="0"/>
          <w:sz w:val="24"/>
          <w:szCs w:val="24"/>
          <w:highlight w:val="none"/>
        </w:rPr>
        <w:t>3</w:t>
      </w:r>
      <w:r>
        <w:rPr>
          <w:rFonts w:hint="eastAsia" w:ascii="Times New Roman" w:hAnsi="Times New Roman"/>
          <w:kern w:val="0"/>
          <w:sz w:val="24"/>
          <w:szCs w:val="24"/>
          <w:highlight w:val="none"/>
        </w:rPr>
        <w:t>）当合格投标人个数超过</w:t>
      </w:r>
      <w:r>
        <w:rPr>
          <w:rFonts w:ascii="Times New Roman" w:hAnsi="Times New Roman"/>
          <w:kern w:val="0"/>
          <w:sz w:val="24"/>
          <w:szCs w:val="24"/>
          <w:highlight w:val="none"/>
        </w:rPr>
        <w:t>10</w:t>
      </w:r>
      <w:r>
        <w:rPr>
          <w:rFonts w:hint="eastAsia" w:ascii="Times New Roman" w:hAnsi="Times New Roman"/>
          <w:kern w:val="0"/>
          <w:sz w:val="24"/>
          <w:szCs w:val="24"/>
          <w:highlight w:val="none"/>
        </w:rPr>
        <w:t>家时，按排序确定</w:t>
      </w:r>
      <w:r>
        <w:rPr>
          <w:rFonts w:ascii="Times New Roman" w:hAnsi="Times New Roman"/>
          <w:kern w:val="0"/>
          <w:sz w:val="24"/>
          <w:szCs w:val="24"/>
          <w:highlight w:val="none"/>
        </w:rPr>
        <w:t>10</w:t>
      </w:r>
      <w:r>
        <w:rPr>
          <w:rFonts w:hint="eastAsia" w:ascii="Times New Roman" w:hAnsi="Times New Roman"/>
          <w:kern w:val="0"/>
          <w:sz w:val="24"/>
          <w:szCs w:val="24"/>
          <w:highlight w:val="none"/>
        </w:rPr>
        <w:t>家投标人为评审入围单位，</w:t>
      </w:r>
      <w:r>
        <w:rPr>
          <w:rFonts w:hint="eastAsia" w:ascii="Times New Roman" w:hAnsi="Times New Roman"/>
          <w:kern w:val="0"/>
          <w:sz w:val="24"/>
          <w:szCs w:val="24"/>
          <w:highlight w:val="none"/>
          <w:lang w:eastAsia="zh-CN"/>
        </w:rPr>
        <w:t>当第</w:t>
      </w:r>
      <w:r>
        <w:rPr>
          <w:rFonts w:hint="eastAsia" w:ascii="Times New Roman" w:hAnsi="Times New Roman"/>
          <w:kern w:val="0"/>
          <w:sz w:val="24"/>
          <w:szCs w:val="24"/>
          <w:highlight w:val="none"/>
          <w:lang w:val="en-US" w:eastAsia="zh-CN"/>
        </w:rPr>
        <w:t>10家评审入围单位</w:t>
      </w:r>
      <w:r>
        <w:rPr>
          <w:rFonts w:hint="eastAsia" w:ascii="Times New Roman" w:hAnsi="Times New Roman"/>
          <w:kern w:val="0"/>
          <w:sz w:val="24"/>
          <w:szCs w:val="24"/>
          <w:highlight w:val="none"/>
        </w:rPr>
        <w:t>并列时，</w:t>
      </w:r>
      <w:r>
        <w:rPr>
          <w:rFonts w:hint="eastAsia" w:ascii="Times New Roman" w:hAnsi="Times New Roman"/>
          <w:kern w:val="0"/>
          <w:sz w:val="24"/>
          <w:szCs w:val="24"/>
          <w:highlight w:val="none"/>
          <w:lang w:eastAsia="zh-CN"/>
        </w:rPr>
        <w:t>随机选择</w:t>
      </w:r>
      <w:r>
        <w:rPr>
          <w:rFonts w:hint="eastAsia" w:ascii="Times New Roman" w:hAnsi="Times New Roman"/>
          <w:kern w:val="0"/>
          <w:sz w:val="24"/>
          <w:szCs w:val="24"/>
          <w:highlight w:val="none"/>
        </w:rPr>
        <w:t>进入评审入围单位。</w:t>
      </w:r>
    </w:p>
    <w:p>
      <w:pPr>
        <w:widowControl/>
        <w:spacing w:line="360" w:lineRule="auto"/>
        <w:ind w:firstLine="482" w:firstLineChars="200"/>
        <w:rPr>
          <w:rFonts w:hint="eastAsia" w:ascii="Times New Roman" w:hAnsi="Times New Roman"/>
          <w:b/>
          <w:bCs/>
          <w:kern w:val="0"/>
          <w:sz w:val="24"/>
          <w:szCs w:val="24"/>
          <w:highlight w:val="none"/>
        </w:rPr>
      </w:pPr>
      <w:r>
        <w:rPr>
          <w:rFonts w:hint="eastAsia" w:ascii="Times New Roman" w:hAnsi="Times New Roman"/>
          <w:b/>
          <w:bCs/>
          <w:kern w:val="0"/>
          <w:sz w:val="24"/>
          <w:szCs w:val="24"/>
          <w:highlight w:val="none"/>
          <w:lang w:val="en-US" w:eastAsia="zh-CN"/>
        </w:rPr>
        <w:t>四</w:t>
      </w:r>
      <w:r>
        <w:rPr>
          <w:rFonts w:hint="default" w:ascii="Times New Roman" w:hAnsi="Times New Roman"/>
          <w:b/>
          <w:bCs/>
          <w:kern w:val="0"/>
          <w:sz w:val="24"/>
          <w:szCs w:val="24"/>
          <w:highlight w:val="none"/>
        </w:rPr>
        <w:t>、详细评审</w:t>
      </w:r>
    </w:p>
    <w:p>
      <w:pPr>
        <w:widowControl/>
        <w:spacing w:line="360" w:lineRule="auto"/>
        <w:ind w:firstLine="480" w:firstLineChars="200"/>
        <w:rPr>
          <w:rFonts w:hint="default" w:ascii="Times New Roman" w:hAnsi="Times New Roman"/>
          <w:kern w:val="0"/>
          <w:sz w:val="24"/>
          <w:szCs w:val="24"/>
          <w:highlight w:val="none"/>
        </w:rPr>
      </w:pPr>
      <w:r>
        <w:rPr>
          <w:rFonts w:hint="eastAsia" w:ascii="Times New Roman" w:hAnsi="Times New Roman"/>
          <w:kern w:val="0"/>
          <w:sz w:val="24"/>
          <w:szCs w:val="24"/>
          <w:highlight w:val="none"/>
        </w:rPr>
        <w:t>通过资格审查</w:t>
      </w:r>
      <w:r>
        <w:rPr>
          <w:rFonts w:hint="default" w:ascii="Times New Roman" w:hAnsi="Times New Roman"/>
          <w:kern w:val="0"/>
          <w:sz w:val="24"/>
          <w:szCs w:val="24"/>
          <w:highlight w:val="none"/>
        </w:rPr>
        <w:t>、</w:t>
      </w:r>
      <w:r>
        <w:rPr>
          <w:rFonts w:hint="eastAsia" w:ascii="Times New Roman" w:hAnsi="Times New Roman"/>
          <w:kern w:val="0"/>
          <w:sz w:val="24"/>
          <w:szCs w:val="24"/>
          <w:highlight w:val="none"/>
          <w:lang w:eastAsia="zh-CN"/>
        </w:rPr>
        <w:t>评审区间确定</w:t>
      </w:r>
      <w:r>
        <w:rPr>
          <w:rFonts w:hint="default" w:ascii="Times New Roman" w:hAnsi="Times New Roman"/>
          <w:kern w:val="0"/>
          <w:sz w:val="24"/>
          <w:szCs w:val="24"/>
          <w:highlight w:val="none"/>
        </w:rPr>
        <w:t>，对进入详细评审阶段的投标人进行详细评审。投标人存在</w:t>
      </w:r>
      <w:r>
        <w:rPr>
          <w:rFonts w:hint="eastAsia" w:ascii="Times New Roman" w:hAnsi="Times New Roman"/>
          <w:kern w:val="0"/>
          <w:sz w:val="24"/>
          <w:szCs w:val="24"/>
          <w:highlight w:val="none"/>
          <w:lang w:eastAsia="zh-CN"/>
        </w:rPr>
        <w:t>投标人须知前附表10.1</w:t>
      </w:r>
      <w:r>
        <w:rPr>
          <w:rFonts w:hint="default" w:ascii="Times New Roman" w:hAnsi="Times New Roman"/>
          <w:kern w:val="0"/>
          <w:sz w:val="24"/>
          <w:szCs w:val="24"/>
          <w:highlight w:val="none"/>
        </w:rPr>
        <w:t>情形之一(商务标第一部分评审内容）的，评标委员会组织投标人询问核实后，情况属实的，</w:t>
      </w:r>
      <w:r>
        <w:rPr>
          <w:rFonts w:hint="eastAsia" w:ascii="Times New Roman" w:hAnsi="Times New Roman"/>
          <w:kern w:val="0"/>
          <w:sz w:val="24"/>
          <w:szCs w:val="24"/>
          <w:highlight w:val="none"/>
        </w:rPr>
        <w:t>商务评审不予通过，否决其投标</w:t>
      </w:r>
      <w:r>
        <w:rPr>
          <w:rFonts w:hint="default" w:ascii="Times New Roman" w:hAnsi="Times New Roman"/>
          <w:kern w:val="0"/>
          <w:sz w:val="24"/>
          <w:szCs w:val="24"/>
          <w:highlight w:val="none"/>
        </w:rPr>
        <w:t>。</w:t>
      </w:r>
    </w:p>
    <w:p>
      <w:pPr>
        <w:widowControl/>
        <w:spacing w:line="360" w:lineRule="auto"/>
        <w:ind w:firstLine="480" w:firstLineChars="200"/>
        <w:rPr>
          <w:rFonts w:hint="default" w:ascii="Times New Roman" w:hAnsi="Times New Roman"/>
          <w:kern w:val="0"/>
          <w:sz w:val="24"/>
          <w:szCs w:val="24"/>
          <w:highlight w:val="none"/>
        </w:rPr>
      </w:pPr>
      <w:r>
        <w:rPr>
          <w:rFonts w:hint="eastAsia" w:ascii="Times New Roman" w:hAnsi="Times New Roman"/>
          <w:kern w:val="0"/>
          <w:sz w:val="24"/>
          <w:szCs w:val="24"/>
          <w:highlight w:val="none"/>
          <w:lang w:eastAsia="zh-CN"/>
        </w:rPr>
        <w:t>（</w:t>
      </w:r>
      <w:r>
        <w:rPr>
          <w:rFonts w:hint="eastAsia" w:ascii="Times New Roman" w:hAnsi="Times New Roman"/>
          <w:kern w:val="0"/>
          <w:sz w:val="24"/>
          <w:szCs w:val="24"/>
          <w:highlight w:val="none"/>
          <w:lang w:val="en-US" w:eastAsia="zh-CN"/>
        </w:rPr>
        <w:t>一</w:t>
      </w:r>
      <w:r>
        <w:rPr>
          <w:rFonts w:hint="eastAsia" w:ascii="Times New Roman" w:hAnsi="Times New Roman"/>
          <w:kern w:val="0"/>
          <w:sz w:val="24"/>
          <w:szCs w:val="24"/>
          <w:highlight w:val="none"/>
          <w:lang w:eastAsia="zh-CN"/>
        </w:rPr>
        <w:t>）</w:t>
      </w:r>
      <w:r>
        <w:rPr>
          <w:rFonts w:hint="default" w:ascii="Times New Roman" w:hAnsi="Times New Roman"/>
          <w:kern w:val="0"/>
          <w:sz w:val="24"/>
          <w:szCs w:val="24"/>
          <w:highlight w:val="none"/>
        </w:rPr>
        <w:t>评标委员会按</w:t>
      </w:r>
      <w:r>
        <w:rPr>
          <w:rFonts w:hint="eastAsia" w:ascii="Times New Roman" w:hAnsi="Times New Roman"/>
          <w:kern w:val="0"/>
          <w:sz w:val="24"/>
          <w:szCs w:val="24"/>
          <w:highlight w:val="none"/>
          <w:lang w:val="en-US" w:eastAsia="zh-CN"/>
        </w:rPr>
        <w:t>下表规定的</w:t>
      </w:r>
      <w:r>
        <w:rPr>
          <w:rFonts w:hint="default" w:ascii="Times New Roman" w:hAnsi="Times New Roman"/>
          <w:kern w:val="0"/>
          <w:sz w:val="24"/>
          <w:szCs w:val="24"/>
          <w:highlight w:val="none"/>
        </w:rPr>
        <w:t>量化因素和标准进行价格折算，计算出评标价，并编制价格比较一览表。</w:t>
      </w:r>
    </w:p>
    <w:p>
      <w:pPr>
        <w:pStyle w:val="10"/>
        <w:keepNext w:val="0"/>
        <w:keepLines w:val="0"/>
        <w:pageBreakBefore w:val="0"/>
        <w:widowControl w:val="0"/>
        <w:overflowPunct/>
        <w:topLinePunct w:val="0"/>
        <w:autoSpaceDE w:val="0"/>
        <w:autoSpaceDN w:val="0"/>
        <w:bidi w:val="0"/>
        <w:spacing w:line="240" w:lineRule="auto"/>
        <w:ind w:firstLine="482" w:firstLineChars="200"/>
        <w:jc w:val="center"/>
        <w:rPr>
          <w:rFonts w:hint="eastAsia" w:ascii="Times New Roman" w:hAnsi="Times New Roman" w:eastAsia="宋体" w:cs="Times New Roman"/>
          <w:b/>
          <w:bCs/>
          <w:color w:val="auto"/>
          <w:szCs w:val="24"/>
          <w:highlight w:val="none"/>
          <w:lang w:val="en-US" w:eastAsia="zh-CN"/>
        </w:rPr>
      </w:pPr>
      <w:r>
        <w:rPr>
          <w:rFonts w:ascii="Times New Roman" w:hAnsi="Times New Roman" w:cs="Times New Roman"/>
          <w:b/>
          <w:bCs/>
          <w:color w:val="auto"/>
          <w:szCs w:val="24"/>
          <w:highlight w:val="none"/>
        </w:rPr>
        <w:t>量化因素和标准价格折算</w:t>
      </w:r>
      <w:r>
        <w:rPr>
          <w:rFonts w:hint="eastAsia" w:ascii="Times New Roman" w:hAnsi="Times New Roman" w:cs="Times New Roman"/>
          <w:b/>
          <w:bCs/>
          <w:color w:val="auto"/>
          <w:szCs w:val="24"/>
          <w:highlight w:val="none"/>
          <w:lang w:val="en-US" w:eastAsia="zh-CN"/>
        </w:rPr>
        <w:t>表</w:t>
      </w:r>
    </w:p>
    <w:tbl>
      <w:tblPr>
        <w:tblStyle w:val="12"/>
        <w:tblpPr w:leftFromText="180" w:rightFromText="180" w:vertAnchor="text" w:horzAnchor="page" w:tblpX="1541" w:tblpY="137"/>
        <w:tblOverlap w:val="never"/>
        <w:tblW w:w="874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7"/>
        <w:gridCol w:w="716"/>
        <w:gridCol w:w="2118"/>
        <w:gridCol w:w="5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593" w:type="dxa"/>
            <w:gridSpan w:val="2"/>
            <w:noWrap w:val="0"/>
            <w:vAlign w:val="top"/>
          </w:tcPr>
          <w:p>
            <w:pPr>
              <w:pStyle w:val="11"/>
              <w:keepNext w:val="0"/>
              <w:keepLines w:val="0"/>
              <w:pageBreakBefore w:val="0"/>
              <w:overflowPunct/>
              <w:topLinePunct w:val="0"/>
              <w:bidi w:val="0"/>
              <w:spacing w:line="240" w:lineRule="auto"/>
              <w:ind w:left="520"/>
              <w:rPr>
                <w:color w:val="auto"/>
                <w:sz w:val="21"/>
                <w:szCs w:val="21"/>
                <w:highlight w:val="none"/>
              </w:rPr>
            </w:pPr>
            <w:r>
              <w:rPr>
                <w:color w:val="auto"/>
                <w:spacing w:val="-2"/>
                <w:sz w:val="21"/>
                <w:szCs w:val="21"/>
                <w:highlight w:val="none"/>
              </w:rPr>
              <w:t>条款号</w:t>
            </w:r>
          </w:p>
        </w:tc>
        <w:tc>
          <w:tcPr>
            <w:tcW w:w="2118" w:type="dxa"/>
            <w:noWrap w:val="0"/>
            <w:vAlign w:val="top"/>
          </w:tcPr>
          <w:p>
            <w:pPr>
              <w:pStyle w:val="11"/>
              <w:keepNext w:val="0"/>
              <w:keepLines w:val="0"/>
              <w:pageBreakBefore w:val="0"/>
              <w:overflowPunct/>
              <w:topLinePunct w:val="0"/>
              <w:bidi w:val="0"/>
              <w:spacing w:line="240" w:lineRule="auto"/>
              <w:rPr>
                <w:color w:val="auto"/>
                <w:sz w:val="21"/>
                <w:szCs w:val="21"/>
                <w:highlight w:val="none"/>
              </w:rPr>
            </w:pPr>
            <w:r>
              <w:rPr>
                <w:color w:val="auto"/>
                <w:spacing w:val="-1"/>
                <w:sz w:val="21"/>
                <w:szCs w:val="21"/>
                <w:highlight w:val="none"/>
              </w:rPr>
              <w:t>量化因素</w:t>
            </w:r>
          </w:p>
        </w:tc>
        <w:tc>
          <w:tcPr>
            <w:tcW w:w="5031" w:type="dxa"/>
            <w:noWrap w:val="0"/>
            <w:vAlign w:val="top"/>
          </w:tcPr>
          <w:p>
            <w:pPr>
              <w:pStyle w:val="11"/>
              <w:keepNext w:val="0"/>
              <w:keepLines w:val="0"/>
              <w:pageBreakBefore w:val="0"/>
              <w:overflowPunct/>
              <w:topLinePunct w:val="0"/>
              <w:bidi w:val="0"/>
              <w:spacing w:line="240" w:lineRule="auto"/>
              <w:ind w:left="2192"/>
              <w:rPr>
                <w:color w:val="auto"/>
                <w:sz w:val="21"/>
                <w:szCs w:val="21"/>
                <w:highlight w:val="none"/>
              </w:rPr>
            </w:pPr>
            <w:r>
              <w:rPr>
                <w:color w:val="auto"/>
                <w:spacing w:val="-1"/>
                <w:sz w:val="21"/>
                <w:szCs w:val="21"/>
                <w:highlight w:val="none"/>
              </w:rPr>
              <w:t>量化标准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77" w:type="dxa"/>
            <w:vMerge w:val="restart"/>
            <w:tcBorders>
              <w:bottom w:val="nil"/>
            </w:tcBorders>
            <w:noWrap w:val="0"/>
            <w:vAlign w:val="top"/>
          </w:tcPr>
          <w:p>
            <w:pPr>
              <w:keepNext w:val="0"/>
              <w:keepLines w:val="0"/>
              <w:pageBreakBefore w:val="0"/>
              <w:overflowPunct/>
              <w:topLinePunct w:val="0"/>
              <w:bidi w:val="0"/>
              <w:spacing w:line="240" w:lineRule="auto"/>
              <w:rPr>
                <w:rFonts w:ascii="Arial"/>
                <w:color w:val="auto"/>
                <w:sz w:val="21"/>
                <w:highlight w:val="none"/>
              </w:rPr>
            </w:pPr>
          </w:p>
          <w:p>
            <w:pPr>
              <w:keepNext w:val="0"/>
              <w:keepLines w:val="0"/>
              <w:pageBreakBefore w:val="0"/>
              <w:overflowPunct/>
              <w:topLinePunct w:val="0"/>
              <w:bidi w:val="0"/>
              <w:spacing w:line="240" w:lineRule="auto"/>
              <w:rPr>
                <w:rFonts w:ascii="Arial"/>
                <w:color w:val="auto"/>
                <w:sz w:val="21"/>
                <w:highlight w:val="none"/>
              </w:rPr>
            </w:pPr>
          </w:p>
          <w:p>
            <w:pPr>
              <w:keepNext w:val="0"/>
              <w:keepLines w:val="0"/>
              <w:pageBreakBefore w:val="0"/>
              <w:overflowPunct/>
              <w:topLinePunct w:val="0"/>
              <w:bidi w:val="0"/>
              <w:spacing w:line="240" w:lineRule="auto"/>
              <w:rPr>
                <w:rFonts w:ascii="Arial"/>
                <w:color w:val="auto"/>
                <w:sz w:val="21"/>
                <w:highlight w:val="none"/>
              </w:rPr>
            </w:pPr>
          </w:p>
          <w:p>
            <w:pPr>
              <w:keepNext w:val="0"/>
              <w:keepLines w:val="0"/>
              <w:pageBreakBefore w:val="0"/>
              <w:overflowPunct/>
              <w:topLinePunct w:val="0"/>
              <w:bidi w:val="0"/>
              <w:spacing w:line="240" w:lineRule="auto"/>
              <w:rPr>
                <w:rFonts w:ascii="Arial"/>
                <w:color w:val="auto"/>
                <w:sz w:val="21"/>
                <w:highlight w:val="none"/>
              </w:rPr>
            </w:pPr>
          </w:p>
          <w:p>
            <w:pPr>
              <w:keepNext w:val="0"/>
              <w:keepLines w:val="0"/>
              <w:pageBreakBefore w:val="0"/>
              <w:overflowPunct/>
              <w:topLinePunct w:val="0"/>
              <w:bidi w:val="0"/>
              <w:spacing w:line="240" w:lineRule="auto"/>
              <w:rPr>
                <w:rFonts w:ascii="Arial"/>
                <w:color w:val="auto"/>
                <w:sz w:val="21"/>
                <w:highlight w:val="none"/>
              </w:rPr>
            </w:pPr>
          </w:p>
          <w:p>
            <w:pPr>
              <w:keepNext w:val="0"/>
              <w:keepLines w:val="0"/>
              <w:pageBreakBefore w:val="0"/>
              <w:overflowPunct/>
              <w:topLinePunct w:val="0"/>
              <w:bidi w:val="0"/>
              <w:spacing w:line="240" w:lineRule="auto"/>
              <w:rPr>
                <w:rFonts w:ascii="Arial"/>
                <w:color w:val="auto"/>
                <w:sz w:val="21"/>
                <w:highlight w:val="none"/>
              </w:rPr>
            </w:pPr>
          </w:p>
          <w:p>
            <w:pPr>
              <w:keepNext w:val="0"/>
              <w:keepLines w:val="0"/>
              <w:pageBreakBefore w:val="0"/>
              <w:overflowPunct/>
              <w:topLinePunct w:val="0"/>
              <w:bidi w:val="0"/>
              <w:spacing w:line="240" w:lineRule="auto"/>
              <w:rPr>
                <w:rFonts w:ascii="Arial"/>
                <w:color w:val="auto"/>
                <w:sz w:val="21"/>
                <w:highlight w:val="none"/>
              </w:rPr>
            </w:pPr>
          </w:p>
          <w:p>
            <w:pPr>
              <w:keepNext w:val="0"/>
              <w:keepLines w:val="0"/>
              <w:pageBreakBefore w:val="0"/>
              <w:overflowPunct/>
              <w:topLinePunct w:val="0"/>
              <w:bidi w:val="0"/>
              <w:spacing w:line="240" w:lineRule="auto"/>
              <w:ind w:left="112"/>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2</w:t>
            </w:r>
            <w:r>
              <w:rPr>
                <w:rFonts w:ascii="Calibri" w:hAnsi="Calibri" w:eastAsia="Calibri" w:cs="Calibri"/>
                <w:color w:val="auto"/>
                <w:spacing w:val="-2"/>
                <w:sz w:val="21"/>
                <w:szCs w:val="21"/>
                <w:highlight w:val="none"/>
              </w:rPr>
              <w:t>.</w:t>
            </w:r>
            <w:r>
              <w:rPr>
                <w:rFonts w:ascii="Times New Roman" w:hAnsi="Times New Roman" w:eastAsia="Times New Roman" w:cs="Times New Roman"/>
                <w:color w:val="auto"/>
                <w:spacing w:val="-2"/>
                <w:sz w:val="21"/>
                <w:szCs w:val="21"/>
                <w:highlight w:val="none"/>
              </w:rPr>
              <w:t>2</w:t>
            </w:r>
          </w:p>
        </w:tc>
        <w:tc>
          <w:tcPr>
            <w:tcW w:w="716" w:type="dxa"/>
            <w:vMerge w:val="restart"/>
            <w:tcBorders>
              <w:bottom w:val="nil"/>
            </w:tcBorders>
            <w:noWrap w:val="0"/>
            <w:vAlign w:val="top"/>
          </w:tcPr>
          <w:p>
            <w:pPr>
              <w:keepNext w:val="0"/>
              <w:keepLines w:val="0"/>
              <w:pageBreakBefore w:val="0"/>
              <w:overflowPunct/>
              <w:topLinePunct w:val="0"/>
              <w:bidi w:val="0"/>
              <w:spacing w:line="240" w:lineRule="auto"/>
              <w:rPr>
                <w:rFonts w:ascii="Arial"/>
                <w:color w:val="auto"/>
                <w:sz w:val="21"/>
                <w:highlight w:val="none"/>
              </w:rPr>
            </w:pPr>
          </w:p>
          <w:p>
            <w:pPr>
              <w:keepNext w:val="0"/>
              <w:keepLines w:val="0"/>
              <w:pageBreakBefore w:val="0"/>
              <w:overflowPunct/>
              <w:topLinePunct w:val="0"/>
              <w:bidi w:val="0"/>
              <w:spacing w:line="240" w:lineRule="auto"/>
              <w:rPr>
                <w:rFonts w:ascii="Arial"/>
                <w:color w:val="auto"/>
                <w:sz w:val="21"/>
                <w:highlight w:val="none"/>
              </w:rPr>
            </w:pPr>
          </w:p>
          <w:p>
            <w:pPr>
              <w:keepNext w:val="0"/>
              <w:keepLines w:val="0"/>
              <w:pageBreakBefore w:val="0"/>
              <w:overflowPunct/>
              <w:topLinePunct w:val="0"/>
              <w:bidi w:val="0"/>
              <w:spacing w:line="240" w:lineRule="auto"/>
              <w:rPr>
                <w:rFonts w:ascii="Arial"/>
                <w:color w:val="auto"/>
                <w:sz w:val="21"/>
                <w:highlight w:val="none"/>
              </w:rPr>
            </w:pPr>
          </w:p>
          <w:p>
            <w:pPr>
              <w:keepNext w:val="0"/>
              <w:keepLines w:val="0"/>
              <w:pageBreakBefore w:val="0"/>
              <w:overflowPunct/>
              <w:topLinePunct w:val="0"/>
              <w:bidi w:val="0"/>
              <w:spacing w:line="240" w:lineRule="auto"/>
              <w:rPr>
                <w:rFonts w:ascii="Arial"/>
                <w:color w:val="auto"/>
                <w:sz w:val="21"/>
                <w:highlight w:val="none"/>
              </w:rPr>
            </w:pPr>
          </w:p>
          <w:p>
            <w:pPr>
              <w:keepNext w:val="0"/>
              <w:keepLines w:val="0"/>
              <w:pageBreakBefore w:val="0"/>
              <w:overflowPunct/>
              <w:topLinePunct w:val="0"/>
              <w:bidi w:val="0"/>
              <w:spacing w:line="240" w:lineRule="auto"/>
              <w:rPr>
                <w:rFonts w:ascii="Arial"/>
                <w:color w:val="auto"/>
                <w:sz w:val="21"/>
                <w:highlight w:val="none"/>
              </w:rPr>
            </w:pPr>
          </w:p>
          <w:p>
            <w:pPr>
              <w:pStyle w:val="11"/>
              <w:keepNext w:val="0"/>
              <w:keepLines w:val="0"/>
              <w:pageBreakBefore w:val="0"/>
              <w:overflowPunct/>
              <w:topLinePunct w:val="0"/>
              <w:bidi w:val="0"/>
              <w:spacing w:line="240" w:lineRule="auto"/>
              <w:ind w:left="147" w:right="139" w:firstLine="3"/>
              <w:jc w:val="both"/>
              <w:rPr>
                <w:color w:val="auto"/>
                <w:sz w:val="21"/>
                <w:szCs w:val="21"/>
                <w:highlight w:val="none"/>
              </w:rPr>
            </w:pPr>
            <w:r>
              <w:rPr>
                <w:color w:val="auto"/>
                <w:spacing w:val="-5"/>
                <w:sz w:val="21"/>
                <w:szCs w:val="21"/>
                <w:highlight w:val="none"/>
              </w:rPr>
              <w:t>详细</w:t>
            </w:r>
            <w:r>
              <w:rPr>
                <w:color w:val="auto"/>
                <w:sz w:val="21"/>
                <w:szCs w:val="21"/>
                <w:highlight w:val="none"/>
              </w:rPr>
              <w:t xml:space="preserve"> </w:t>
            </w:r>
            <w:r>
              <w:rPr>
                <w:color w:val="auto"/>
                <w:spacing w:val="-3"/>
                <w:sz w:val="21"/>
                <w:szCs w:val="21"/>
                <w:highlight w:val="none"/>
              </w:rPr>
              <w:t>评审</w:t>
            </w:r>
          </w:p>
          <w:p>
            <w:pPr>
              <w:pStyle w:val="11"/>
              <w:keepNext w:val="0"/>
              <w:keepLines w:val="0"/>
              <w:pageBreakBefore w:val="0"/>
              <w:overflowPunct/>
              <w:topLinePunct w:val="0"/>
              <w:bidi w:val="0"/>
              <w:spacing w:line="240" w:lineRule="auto"/>
              <w:ind w:left="148"/>
              <w:rPr>
                <w:color w:val="auto"/>
                <w:sz w:val="21"/>
                <w:szCs w:val="21"/>
                <w:highlight w:val="none"/>
              </w:rPr>
            </w:pPr>
            <w:r>
              <w:rPr>
                <w:color w:val="auto"/>
                <w:spacing w:val="-2"/>
                <w:sz w:val="21"/>
                <w:szCs w:val="21"/>
                <w:highlight w:val="none"/>
              </w:rPr>
              <w:t>标准</w:t>
            </w:r>
          </w:p>
        </w:tc>
        <w:tc>
          <w:tcPr>
            <w:tcW w:w="2118" w:type="dxa"/>
            <w:noWrap w:val="0"/>
            <w:vAlign w:val="top"/>
          </w:tcPr>
          <w:p>
            <w:pPr>
              <w:pStyle w:val="11"/>
              <w:keepNext w:val="0"/>
              <w:keepLines w:val="0"/>
              <w:pageBreakBefore w:val="0"/>
              <w:overflowPunct/>
              <w:topLinePunct w:val="0"/>
              <w:bidi w:val="0"/>
              <w:spacing w:line="240" w:lineRule="auto"/>
              <w:jc w:val="left"/>
              <w:rPr>
                <w:color w:val="auto"/>
                <w:sz w:val="21"/>
                <w:szCs w:val="21"/>
                <w:highlight w:val="none"/>
              </w:rPr>
            </w:pPr>
            <w:r>
              <w:rPr>
                <w:rFonts w:ascii="宋体" w:hAnsi="宋体"/>
                <w:color w:val="auto"/>
                <w:sz w:val="28"/>
                <w:szCs w:val="28"/>
                <w:highlight w:val="none"/>
              </w:rPr>
              <w:t>□</w:t>
            </w:r>
            <w:r>
              <w:rPr>
                <w:color w:val="auto"/>
                <w:spacing w:val="-2"/>
                <w:sz w:val="21"/>
                <w:szCs w:val="21"/>
                <w:highlight w:val="none"/>
              </w:rPr>
              <w:t>单价遗漏</w:t>
            </w:r>
          </w:p>
        </w:tc>
        <w:tc>
          <w:tcPr>
            <w:tcW w:w="5031" w:type="dxa"/>
            <w:noWrap w:val="0"/>
            <w:vAlign w:val="top"/>
          </w:tcPr>
          <w:p>
            <w:pPr>
              <w:pStyle w:val="11"/>
              <w:keepNext w:val="0"/>
              <w:keepLines w:val="0"/>
              <w:pageBreakBefore w:val="0"/>
              <w:tabs>
                <w:tab w:val="left" w:pos="635"/>
              </w:tabs>
              <w:overflowPunct/>
              <w:topLinePunct w:val="0"/>
              <w:bidi w:val="0"/>
              <w:spacing w:line="240" w:lineRule="auto"/>
              <w:ind w:left="108"/>
              <w:rPr>
                <w:color w:val="auto"/>
                <w:sz w:val="21"/>
                <w:szCs w:val="21"/>
                <w:highlight w:val="none"/>
              </w:rPr>
            </w:pPr>
            <w:r>
              <w:rPr>
                <w:color w:val="auto"/>
                <w:sz w:val="21"/>
                <w:szCs w:val="21"/>
                <w:highlight w:val="none"/>
                <w:u w:val="single" w:color="auto"/>
              </w:rPr>
              <w:tab/>
            </w:r>
            <w:r>
              <w:rPr>
                <w:color w:val="auto"/>
                <w:spacing w:val="-51"/>
                <w:sz w:val="21"/>
                <w:szCs w:val="21"/>
                <w:highlight w:val="none"/>
              </w:rPr>
              <w:t xml:space="preserve"> </w:t>
            </w:r>
            <w:r>
              <w:rPr>
                <w:color w:val="auto"/>
                <w:spacing w:val="-12"/>
                <w:sz w:val="21"/>
                <w:szCs w:val="21"/>
                <w:highlight w:val="none"/>
              </w:rPr>
              <w:t>（情形</w:t>
            </w:r>
            <w:r>
              <w:rPr>
                <w:color w:val="auto"/>
                <w:spacing w:val="-17"/>
                <w:sz w:val="21"/>
                <w:szCs w:val="21"/>
                <w:highlight w:val="none"/>
              </w:rPr>
              <w:t>），</w:t>
            </w:r>
            <w:r>
              <w:rPr>
                <w:color w:val="auto"/>
                <w:spacing w:val="-12"/>
                <w:sz w:val="21"/>
                <w:szCs w:val="21"/>
                <w:highlight w:val="none"/>
              </w:rPr>
              <w:t>评审报价增加</w:t>
            </w:r>
            <w:r>
              <w:rPr>
                <w:color w:val="auto"/>
                <w:spacing w:val="10"/>
                <w:sz w:val="21"/>
                <w:szCs w:val="21"/>
                <w:highlight w:val="none"/>
                <w:u w:val="single" w:color="auto"/>
              </w:rPr>
              <w:t xml:space="preserve">          </w:t>
            </w:r>
            <w:r>
              <w:rPr>
                <w:color w:val="auto"/>
                <w:spacing w:val="-87"/>
                <w:sz w:val="21"/>
                <w:szCs w:val="21"/>
                <w:highlight w:val="none"/>
              </w:rPr>
              <w:t xml:space="preserve"> </w:t>
            </w:r>
            <w:r>
              <w:rPr>
                <w:color w:val="auto"/>
                <w:spacing w:val="-12"/>
                <w:sz w:val="21"/>
                <w:szCs w:val="21"/>
                <w:highlight w:val="none"/>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877" w:type="dxa"/>
            <w:vMerge w:val="continue"/>
            <w:tcBorders>
              <w:top w:val="nil"/>
              <w:bottom w:val="nil"/>
            </w:tcBorders>
            <w:noWrap w:val="0"/>
            <w:vAlign w:val="top"/>
          </w:tcPr>
          <w:p>
            <w:pPr>
              <w:keepNext w:val="0"/>
              <w:keepLines w:val="0"/>
              <w:pageBreakBefore w:val="0"/>
              <w:overflowPunct/>
              <w:topLinePunct w:val="0"/>
              <w:bidi w:val="0"/>
              <w:spacing w:line="240" w:lineRule="auto"/>
              <w:rPr>
                <w:rFonts w:ascii="Arial"/>
                <w:color w:val="auto"/>
                <w:sz w:val="21"/>
                <w:highlight w:val="none"/>
              </w:rPr>
            </w:pPr>
          </w:p>
        </w:tc>
        <w:tc>
          <w:tcPr>
            <w:tcW w:w="716" w:type="dxa"/>
            <w:vMerge w:val="continue"/>
            <w:tcBorders>
              <w:top w:val="nil"/>
              <w:bottom w:val="nil"/>
            </w:tcBorders>
            <w:noWrap w:val="0"/>
            <w:vAlign w:val="top"/>
          </w:tcPr>
          <w:p>
            <w:pPr>
              <w:keepNext w:val="0"/>
              <w:keepLines w:val="0"/>
              <w:pageBreakBefore w:val="0"/>
              <w:overflowPunct/>
              <w:topLinePunct w:val="0"/>
              <w:bidi w:val="0"/>
              <w:spacing w:line="240" w:lineRule="auto"/>
              <w:rPr>
                <w:rFonts w:ascii="Arial"/>
                <w:color w:val="auto"/>
                <w:sz w:val="21"/>
                <w:highlight w:val="none"/>
              </w:rPr>
            </w:pPr>
          </w:p>
        </w:tc>
        <w:tc>
          <w:tcPr>
            <w:tcW w:w="2118" w:type="dxa"/>
            <w:noWrap w:val="0"/>
            <w:vAlign w:val="top"/>
          </w:tcPr>
          <w:p>
            <w:pPr>
              <w:pStyle w:val="11"/>
              <w:keepNext w:val="0"/>
              <w:keepLines w:val="0"/>
              <w:pageBreakBefore w:val="0"/>
              <w:overflowPunct/>
              <w:topLinePunct w:val="0"/>
              <w:bidi w:val="0"/>
              <w:spacing w:line="240" w:lineRule="auto"/>
              <w:jc w:val="left"/>
              <w:rPr>
                <w:color w:val="auto"/>
                <w:sz w:val="21"/>
                <w:szCs w:val="21"/>
                <w:highlight w:val="none"/>
              </w:rPr>
            </w:pPr>
            <w:r>
              <w:rPr>
                <w:rFonts w:ascii="宋体" w:hAnsi="宋体"/>
                <w:color w:val="auto"/>
                <w:sz w:val="28"/>
                <w:szCs w:val="28"/>
                <w:highlight w:val="none"/>
              </w:rPr>
              <w:t>□</w:t>
            </w:r>
            <w:r>
              <w:rPr>
                <w:color w:val="auto"/>
                <w:spacing w:val="-3"/>
                <w:sz w:val="21"/>
                <w:szCs w:val="21"/>
                <w:highlight w:val="none"/>
              </w:rPr>
              <w:t>不平衡报价</w:t>
            </w:r>
          </w:p>
        </w:tc>
        <w:tc>
          <w:tcPr>
            <w:tcW w:w="5031" w:type="dxa"/>
            <w:noWrap w:val="0"/>
            <w:vAlign w:val="top"/>
          </w:tcPr>
          <w:p>
            <w:pPr>
              <w:pStyle w:val="11"/>
              <w:keepNext w:val="0"/>
              <w:keepLines w:val="0"/>
              <w:pageBreakBefore w:val="0"/>
              <w:tabs>
                <w:tab w:val="left" w:pos="635"/>
              </w:tabs>
              <w:overflowPunct/>
              <w:topLinePunct w:val="0"/>
              <w:bidi w:val="0"/>
              <w:spacing w:line="240" w:lineRule="auto"/>
              <w:ind w:left="108"/>
              <w:rPr>
                <w:color w:val="auto"/>
                <w:sz w:val="21"/>
                <w:szCs w:val="21"/>
                <w:highlight w:val="none"/>
              </w:rPr>
            </w:pPr>
            <w:r>
              <w:rPr>
                <w:color w:val="auto"/>
                <w:sz w:val="21"/>
                <w:szCs w:val="21"/>
                <w:highlight w:val="none"/>
                <w:u w:val="single" w:color="auto"/>
              </w:rPr>
              <w:tab/>
            </w:r>
            <w:r>
              <w:rPr>
                <w:color w:val="auto"/>
                <w:spacing w:val="-51"/>
                <w:sz w:val="21"/>
                <w:szCs w:val="21"/>
                <w:highlight w:val="none"/>
              </w:rPr>
              <w:t xml:space="preserve"> </w:t>
            </w:r>
            <w:r>
              <w:rPr>
                <w:color w:val="auto"/>
                <w:spacing w:val="-12"/>
                <w:sz w:val="21"/>
                <w:szCs w:val="21"/>
                <w:highlight w:val="none"/>
              </w:rPr>
              <w:t>（情形</w:t>
            </w:r>
            <w:r>
              <w:rPr>
                <w:color w:val="auto"/>
                <w:spacing w:val="-17"/>
                <w:sz w:val="21"/>
                <w:szCs w:val="21"/>
                <w:highlight w:val="none"/>
              </w:rPr>
              <w:t>），</w:t>
            </w:r>
            <w:r>
              <w:rPr>
                <w:color w:val="auto"/>
                <w:spacing w:val="-12"/>
                <w:sz w:val="21"/>
                <w:szCs w:val="21"/>
                <w:highlight w:val="none"/>
              </w:rPr>
              <w:t>评审报价增加</w:t>
            </w:r>
            <w:r>
              <w:rPr>
                <w:color w:val="auto"/>
                <w:spacing w:val="-105"/>
                <w:sz w:val="21"/>
                <w:szCs w:val="21"/>
                <w:highlight w:val="none"/>
              </w:rPr>
              <w:t xml:space="preserve"> </w:t>
            </w:r>
            <w:r>
              <w:rPr>
                <w:color w:val="auto"/>
                <w:spacing w:val="10"/>
                <w:sz w:val="21"/>
                <w:szCs w:val="21"/>
                <w:highlight w:val="none"/>
                <w:u w:val="single" w:color="auto"/>
              </w:rPr>
              <w:t xml:space="preserve">          </w:t>
            </w:r>
            <w:r>
              <w:rPr>
                <w:color w:val="auto"/>
                <w:spacing w:val="-87"/>
                <w:sz w:val="21"/>
                <w:szCs w:val="21"/>
                <w:highlight w:val="none"/>
              </w:rPr>
              <w:t xml:space="preserve"> </w:t>
            </w:r>
            <w:r>
              <w:rPr>
                <w:color w:val="auto"/>
                <w:spacing w:val="-12"/>
                <w:sz w:val="21"/>
                <w:szCs w:val="21"/>
                <w:highlight w:val="none"/>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77" w:type="dxa"/>
            <w:vMerge w:val="continue"/>
            <w:tcBorders>
              <w:top w:val="nil"/>
              <w:bottom w:val="nil"/>
            </w:tcBorders>
            <w:noWrap w:val="0"/>
            <w:vAlign w:val="top"/>
          </w:tcPr>
          <w:p>
            <w:pPr>
              <w:keepNext w:val="0"/>
              <w:keepLines w:val="0"/>
              <w:pageBreakBefore w:val="0"/>
              <w:overflowPunct/>
              <w:topLinePunct w:val="0"/>
              <w:bidi w:val="0"/>
              <w:spacing w:line="240" w:lineRule="auto"/>
              <w:rPr>
                <w:rFonts w:ascii="Arial"/>
                <w:color w:val="auto"/>
                <w:sz w:val="21"/>
                <w:highlight w:val="none"/>
              </w:rPr>
            </w:pPr>
          </w:p>
        </w:tc>
        <w:tc>
          <w:tcPr>
            <w:tcW w:w="716" w:type="dxa"/>
            <w:vMerge w:val="continue"/>
            <w:tcBorders>
              <w:top w:val="nil"/>
              <w:bottom w:val="nil"/>
            </w:tcBorders>
            <w:noWrap w:val="0"/>
            <w:vAlign w:val="top"/>
          </w:tcPr>
          <w:p>
            <w:pPr>
              <w:keepNext w:val="0"/>
              <w:keepLines w:val="0"/>
              <w:pageBreakBefore w:val="0"/>
              <w:overflowPunct/>
              <w:topLinePunct w:val="0"/>
              <w:bidi w:val="0"/>
              <w:spacing w:line="240" w:lineRule="auto"/>
              <w:rPr>
                <w:rFonts w:ascii="Arial"/>
                <w:color w:val="auto"/>
                <w:sz w:val="21"/>
                <w:highlight w:val="none"/>
              </w:rPr>
            </w:pPr>
          </w:p>
        </w:tc>
        <w:tc>
          <w:tcPr>
            <w:tcW w:w="2118" w:type="dxa"/>
            <w:noWrap w:val="0"/>
            <w:vAlign w:val="top"/>
          </w:tcPr>
          <w:p>
            <w:pPr>
              <w:pStyle w:val="11"/>
              <w:keepNext w:val="0"/>
              <w:keepLines w:val="0"/>
              <w:pageBreakBefore w:val="0"/>
              <w:overflowPunct/>
              <w:topLinePunct w:val="0"/>
              <w:bidi w:val="0"/>
              <w:spacing w:line="240" w:lineRule="auto"/>
              <w:jc w:val="left"/>
              <w:rPr>
                <w:color w:val="auto"/>
                <w:sz w:val="21"/>
                <w:szCs w:val="21"/>
                <w:highlight w:val="none"/>
              </w:rPr>
            </w:pPr>
            <w:r>
              <w:rPr>
                <w:rFonts w:hint="eastAsia"/>
                <w:color w:val="auto"/>
                <w:sz w:val="28"/>
                <w:szCs w:val="28"/>
                <w:highlight w:val="none"/>
                <w:lang w:eastAsia="zh-CN"/>
              </w:rPr>
              <w:t>□</w:t>
            </w:r>
            <w:r>
              <w:rPr>
                <w:color w:val="auto"/>
                <w:spacing w:val="-2"/>
                <w:sz w:val="21"/>
                <w:szCs w:val="21"/>
                <w:highlight w:val="none"/>
              </w:rPr>
              <w:t>工期</w:t>
            </w:r>
          </w:p>
        </w:tc>
        <w:tc>
          <w:tcPr>
            <w:tcW w:w="5031" w:type="dxa"/>
            <w:noWrap w:val="0"/>
            <w:vAlign w:val="top"/>
          </w:tcPr>
          <w:p>
            <w:pPr>
              <w:pStyle w:val="11"/>
              <w:keepNext w:val="0"/>
              <w:keepLines w:val="0"/>
              <w:pageBreakBefore w:val="0"/>
              <w:tabs>
                <w:tab w:val="left" w:pos="635"/>
              </w:tabs>
              <w:overflowPunct/>
              <w:topLinePunct w:val="0"/>
              <w:bidi w:val="0"/>
              <w:spacing w:line="240" w:lineRule="auto"/>
              <w:ind w:left="108"/>
              <w:rPr>
                <w:color w:val="auto"/>
                <w:sz w:val="21"/>
                <w:szCs w:val="21"/>
                <w:highlight w:val="none"/>
              </w:rPr>
            </w:pPr>
            <w:r>
              <w:rPr>
                <w:color w:val="auto"/>
                <w:sz w:val="21"/>
                <w:szCs w:val="21"/>
                <w:highlight w:val="none"/>
                <w:u w:val="single" w:color="auto"/>
              </w:rPr>
              <w:tab/>
            </w:r>
            <w:r>
              <w:rPr>
                <w:color w:val="auto"/>
                <w:spacing w:val="-51"/>
                <w:sz w:val="21"/>
                <w:szCs w:val="21"/>
                <w:highlight w:val="none"/>
              </w:rPr>
              <w:t xml:space="preserve"> </w:t>
            </w:r>
            <w:r>
              <w:rPr>
                <w:color w:val="auto"/>
                <w:spacing w:val="-12"/>
                <w:sz w:val="21"/>
                <w:szCs w:val="21"/>
                <w:highlight w:val="none"/>
              </w:rPr>
              <w:t>（情形</w:t>
            </w:r>
            <w:r>
              <w:rPr>
                <w:color w:val="auto"/>
                <w:spacing w:val="-17"/>
                <w:sz w:val="21"/>
                <w:szCs w:val="21"/>
                <w:highlight w:val="none"/>
              </w:rPr>
              <w:t>），</w:t>
            </w:r>
            <w:r>
              <w:rPr>
                <w:color w:val="auto"/>
                <w:spacing w:val="-12"/>
                <w:sz w:val="21"/>
                <w:szCs w:val="21"/>
                <w:highlight w:val="none"/>
              </w:rPr>
              <w:t>评审报价折减</w:t>
            </w:r>
            <w:r>
              <w:rPr>
                <w:color w:val="auto"/>
                <w:spacing w:val="10"/>
                <w:sz w:val="21"/>
                <w:szCs w:val="21"/>
                <w:highlight w:val="none"/>
                <w:u w:val="single" w:color="auto"/>
              </w:rPr>
              <w:t xml:space="preserve">          </w:t>
            </w:r>
            <w:r>
              <w:rPr>
                <w:color w:val="auto"/>
                <w:spacing w:val="-87"/>
                <w:sz w:val="21"/>
                <w:szCs w:val="21"/>
                <w:highlight w:val="none"/>
              </w:rPr>
              <w:t xml:space="preserve"> </w:t>
            </w:r>
            <w:r>
              <w:rPr>
                <w:color w:val="auto"/>
                <w:spacing w:val="-12"/>
                <w:sz w:val="21"/>
                <w:szCs w:val="21"/>
                <w:highlight w:val="none"/>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877" w:type="dxa"/>
            <w:vMerge w:val="continue"/>
            <w:tcBorders>
              <w:top w:val="nil"/>
              <w:bottom w:val="nil"/>
            </w:tcBorders>
            <w:noWrap w:val="0"/>
            <w:vAlign w:val="top"/>
          </w:tcPr>
          <w:p>
            <w:pPr>
              <w:keepNext w:val="0"/>
              <w:keepLines w:val="0"/>
              <w:pageBreakBefore w:val="0"/>
              <w:overflowPunct/>
              <w:topLinePunct w:val="0"/>
              <w:bidi w:val="0"/>
              <w:spacing w:line="240" w:lineRule="auto"/>
              <w:rPr>
                <w:rFonts w:ascii="Arial"/>
                <w:color w:val="auto"/>
                <w:sz w:val="21"/>
                <w:highlight w:val="none"/>
              </w:rPr>
            </w:pPr>
          </w:p>
        </w:tc>
        <w:tc>
          <w:tcPr>
            <w:tcW w:w="716" w:type="dxa"/>
            <w:vMerge w:val="continue"/>
            <w:tcBorders>
              <w:top w:val="nil"/>
              <w:bottom w:val="nil"/>
            </w:tcBorders>
            <w:noWrap w:val="0"/>
            <w:vAlign w:val="top"/>
          </w:tcPr>
          <w:p>
            <w:pPr>
              <w:keepNext w:val="0"/>
              <w:keepLines w:val="0"/>
              <w:pageBreakBefore w:val="0"/>
              <w:overflowPunct/>
              <w:topLinePunct w:val="0"/>
              <w:bidi w:val="0"/>
              <w:spacing w:line="240" w:lineRule="auto"/>
              <w:rPr>
                <w:rFonts w:ascii="Arial"/>
                <w:color w:val="auto"/>
                <w:sz w:val="21"/>
                <w:highlight w:val="none"/>
              </w:rPr>
            </w:pPr>
          </w:p>
        </w:tc>
        <w:tc>
          <w:tcPr>
            <w:tcW w:w="2118" w:type="dxa"/>
            <w:noWrap w:val="0"/>
            <w:vAlign w:val="top"/>
          </w:tcPr>
          <w:p>
            <w:pPr>
              <w:pStyle w:val="11"/>
              <w:keepNext w:val="0"/>
              <w:keepLines w:val="0"/>
              <w:pageBreakBefore w:val="0"/>
              <w:overflowPunct/>
              <w:topLinePunct w:val="0"/>
              <w:bidi w:val="0"/>
              <w:spacing w:line="240" w:lineRule="auto"/>
              <w:ind w:right="186"/>
              <w:jc w:val="left"/>
              <w:rPr>
                <w:color w:val="auto"/>
                <w:sz w:val="21"/>
                <w:szCs w:val="21"/>
                <w:highlight w:val="none"/>
              </w:rPr>
            </w:pPr>
            <w:r>
              <w:rPr>
                <w:rFonts w:hint="eastAsia"/>
                <w:color w:val="auto"/>
                <w:sz w:val="28"/>
                <w:szCs w:val="28"/>
                <w:highlight w:val="none"/>
                <w:lang w:eastAsia="zh-CN"/>
              </w:rPr>
              <w:t>□</w:t>
            </w:r>
            <w:r>
              <w:rPr>
                <w:color w:val="auto"/>
                <w:spacing w:val="-1"/>
                <w:sz w:val="21"/>
                <w:szCs w:val="21"/>
                <w:highlight w:val="none"/>
              </w:rPr>
              <w:t>项目经理和项目技术负责</w:t>
            </w:r>
            <w:r>
              <w:rPr>
                <w:color w:val="auto"/>
                <w:spacing w:val="-3"/>
                <w:sz w:val="21"/>
                <w:szCs w:val="21"/>
                <w:highlight w:val="none"/>
              </w:rPr>
              <w:t>人资格</w:t>
            </w:r>
          </w:p>
        </w:tc>
        <w:tc>
          <w:tcPr>
            <w:tcW w:w="5031" w:type="dxa"/>
            <w:noWrap w:val="0"/>
            <w:vAlign w:val="top"/>
          </w:tcPr>
          <w:p>
            <w:pPr>
              <w:pStyle w:val="11"/>
              <w:keepNext w:val="0"/>
              <w:keepLines w:val="0"/>
              <w:pageBreakBefore w:val="0"/>
              <w:tabs>
                <w:tab w:val="left" w:pos="635"/>
              </w:tabs>
              <w:overflowPunct/>
              <w:topLinePunct w:val="0"/>
              <w:bidi w:val="0"/>
              <w:spacing w:line="240" w:lineRule="auto"/>
              <w:ind w:left="108"/>
              <w:rPr>
                <w:color w:val="auto"/>
                <w:sz w:val="21"/>
                <w:szCs w:val="21"/>
                <w:highlight w:val="none"/>
              </w:rPr>
            </w:pPr>
            <w:r>
              <w:rPr>
                <w:color w:val="auto"/>
                <w:sz w:val="21"/>
                <w:szCs w:val="21"/>
                <w:highlight w:val="none"/>
                <w:u w:val="single" w:color="auto"/>
              </w:rPr>
              <w:tab/>
            </w:r>
            <w:r>
              <w:rPr>
                <w:color w:val="auto"/>
                <w:spacing w:val="-51"/>
                <w:sz w:val="21"/>
                <w:szCs w:val="21"/>
                <w:highlight w:val="none"/>
              </w:rPr>
              <w:t xml:space="preserve"> </w:t>
            </w:r>
            <w:r>
              <w:rPr>
                <w:color w:val="auto"/>
                <w:spacing w:val="-12"/>
                <w:sz w:val="21"/>
                <w:szCs w:val="21"/>
                <w:highlight w:val="none"/>
              </w:rPr>
              <w:t>（情形</w:t>
            </w:r>
            <w:r>
              <w:rPr>
                <w:color w:val="auto"/>
                <w:spacing w:val="-17"/>
                <w:sz w:val="21"/>
                <w:szCs w:val="21"/>
                <w:highlight w:val="none"/>
              </w:rPr>
              <w:t>），</w:t>
            </w:r>
            <w:r>
              <w:rPr>
                <w:color w:val="auto"/>
                <w:spacing w:val="-12"/>
                <w:sz w:val="21"/>
                <w:szCs w:val="21"/>
                <w:highlight w:val="none"/>
              </w:rPr>
              <w:t>评审报价折减</w:t>
            </w:r>
            <w:r>
              <w:rPr>
                <w:color w:val="auto"/>
                <w:spacing w:val="10"/>
                <w:sz w:val="21"/>
                <w:szCs w:val="21"/>
                <w:highlight w:val="none"/>
                <w:u w:val="single" w:color="auto"/>
              </w:rPr>
              <w:t xml:space="preserve">          </w:t>
            </w:r>
            <w:r>
              <w:rPr>
                <w:color w:val="auto"/>
                <w:spacing w:val="-87"/>
                <w:sz w:val="21"/>
                <w:szCs w:val="21"/>
                <w:highlight w:val="none"/>
              </w:rPr>
              <w:t xml:space="preserve"> </w:t>
            </w:r>
            <w:r>
              <w:rPr>
                <w:color w:val="auto"/>
                <w:spacing w:val="-12"/>
                <w:sz w:val="21"/>
                <w:szCs w:val="21"/>
                <w:highlight w:val="none"/>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877" w:type="dxa"/>
            <w:vMerge w:val="continue"/>
            <w:tcBorders>
              <w:top w:val="nil"/>
              <w:bottom w:val="nil"/>
            </w:tcBorders>
            <w:noWrap w:val="0"/>
            <w:vAlign w:val="top"/>
          </w:tcPr>
          <w:p>
            <w:pPr>
              <w:keepNext w:val="0"/>
              <w:keepLines w:val="0"/>
              <w:pageBreakBefore w:val="0"/>
              <w:overflowPunct/>
              <w:topLinePunct w:val="0"/>
              <w:bidi w:val="0"/>
              <w:spacing w:line="240" w:lineRule="auto"/>
              <w:rPr>
                <w:rFonts w:ascii="Arial"/>
                <w:color w:val="auto"/>
                <w:sz w:val="21"/>
                <w:highlight w:val="none"/>
              </w:rPr>
            </w:pPr>
          </w:p>
        </w:tc>
        <w:tc>
          <w:tcPr>
            <w:tcW w:w="716" w:type="dxa"/>
            <w:vMerge w:val="continue"/>
            <w:tcBorders>
              <w:top w:val="nil"/>
              <w:bottom w:val="nil"/>
            </w:tcBorders>
            <w:noWrap w:val="0"/>
            <w:vAlign w:val="top"/>
          </w:tcPr>
          <w:p>
            <w:pPr>
              <w:keepNext w:val="0"/>
              <w:keepLines w:val="0"/>
              <w:pageBreakBefore w:val="0"/>
              <w:overflowPunct/>
              <w:topLinePunct w:val="0"/>
              <w:bidi w:val="0"/>
              <w:spacing w:line="240" w:lineRule="auto"/>
              <w:rPr>
                <w:rFonts w:ascii="Arial"/>
                <w:color w:val="auto"/>
                <w:sz w:val="21"/>
                <w:highlight w:val="none"/>
              </w:rPr>
            </w:pPr>
          </w:p>
        </w:tc>
        <w:tc>
          <w:tcPr>
            <w:tcW w:w="2118" w:type="dxa"/>
            <w:noWrap w:val="0"/>
            <w:vAlign w:val="top"/>
          </w:tcPr>
          <w:p>
            <w:pPr>
              <w:pStyle w:val="11"/>
              <w:keepNext w:val="0"/>
              <w:keepLines w:val="0"/>
              <w:pageBreakBefore w:val="0"/>
              <w:overflowPunct/>
              <w:topLinePunct w:val="0"/>
              <w:bidi w:val="0"/>
              <w:spacing w:line="240" w:lineRule="auto"/>
              <w:jc w:val="left"/>
              <w:rPr>
                <w:color w:val="auto"/>
                <w:sz w:val="21"/>
                <w:szCs w:val="21"/>
                <w:highlight w:val="none"/>
              </w:rPr>
            </w:pPr>
            <w:r>
              <w:rPr>
                <w:rFonts w:ascii="宋体" w:hAnsi="宋体"/>
                <w:color w:val="auto"/>
                <w:sz w:val="28"/>
                <w:szCs w:val="28"/>
                <w:highlight w:val="none"/>
              </w:rPr>
              <w:t>□</w:t>
            </w:r>
            <w:r>
              <w:rPr>
                <w:color w:val="auto"/>
                <w:spacing w:val="-1"/>
                <w:sz w:val="21"/>
                <w:szCs w:val="21"/>
                <w:highlight w:val="none"/>
              </w:rPr>
              <w:t>质量</w:t>
            </w:r>
          </w:p>
        </w:tc>
        <w:tc>
          <w:tcPr>
            <w:tcW w:w="5031" w:type="dxa"/>
            <w:noWrap w:val="0"/>
            <w:vAlign w:val="top"/>
          </w:tcPr>
          <w:p>
            <w:pPr>
              <w:pStyle w:val="11"/>
              <w:keepNext w:val="0"/>
              <w:keepLines w:val="0"/>
              <w:pageBreakBefore w:val="0"/>
              <w:tabs>
                <w:tab w:val="left" w:pos="635"/>
              </w:tabs>
              <w:overflowPunct/>
              <w:topLinePunct w:val="0"/>
              <w:bidi w:val="0"/>
              <w:spacing w:line="240" w:lineRule="auto"/>
              <w:ind w:left="108"/>
              <w:rPr>
                <w:color w:val="auto"/>
                <w:sz w:val="21"/>
                <w:szCs w:val="21"/>
                <w:highlight w:val="none"/>
              </w:rPr>
            </w:pPr>
            <w:r>
              <w:rPr>
                <w:color w:val="auto"/>
                <w:sz w:val="21"/>
                <w:szCs w:val="21"/>
                <w:highlight w:val="none"/>
                <w:u w:val="single" w:color="auto"/>
              </w:rPr>
              <w:tab/>
            </w:r>
            <w:r>
              <w:rPr>
                <w:color w:val="auto"/>
                <w:spacing w:val="-51"/>
                <w:sz w:val="21"/>
                <w:szCs w:val="21"/>
                <w:highlight w:val="none"/>
              </w:rPr>
              <w:t xml:space="preserve"> </w:t>
            </w:r>
            <w:r>
              <w:rPr>
                <w:color w:val="auto"/>
                <w:spacing w:val="-12"/>
                <w:sz w:val="21"/>
                <w:szCs w:val="21"/>
                <w:highlight w:val="none"/>
              </w:rPr>
              <w:t>（情形</w:t>
            </w:r>
            <w:r>
              <w:rPr>
                <w:color w:val="auto"/>
                <w:spacing w:val="-17"/>
                <w:sz w:val="21"/>
                <w:szCs w:val="21"/>
                <w:highlight w:val="none"/>
              </w:rPr>
              <w:t>），</w:t>
            </w:r>
            <w:r>
              <w:rPr>
                <w:color w:val="auto"/>
                <w:spacing w:val="-12"/>
                <w:sz w:val="21"/>
                <w:szCs w:val="21"/>
                <w:highlight w:val="none"/>
              </w:rPr>
              <w:t>评审报价折减</w:t>
            </w:r>
            <w:r>
              <w:rPr>
                <w:color w:val="auto"/>
                <w:spacing w:val="10"/>
                <w:sz w:val="21"/>
                <w:szCs w:val="21"/>
                <w:highlight w:val="none"/>
                <w:u w:val="single" w:color="auto"/>
              </w:rPr>
              <w:t xml:space="preserve">          </w:t>
            </w:r>
            <w:r>
              <w:rPr>
                <w:color w:val="auto"/>
                <w:spacing w:val="-87"/>
                <w:sz w:val="21"/>
                <w:szCs w:val="21"/>
                <w:highlight w:val="none"/>
              </w:rPr>
              <w:t xml:space="preserve"> </w:t>
            </w:r>
            <w:r>
              <w:rPr>
                <w:color w:val="auto"/>
                <w:spacing w:val="-12"/>
                <w:sz w:val="21"/>
                <w:szCs w:val="21"/>
                <w:highlight w:val="none"/>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877" w:type="dxa"/>
            <w:vMerge w:val="continue"/>
            <w:tcBorders>
              <w:top w:val="nil"/>
              <w:bottom w:val="nil"/>
            </w:tcBorders>
            <w:noWrap w:val="0"/>
            <w:vAlign w:val="top"/>
          </w:tcPr>
          <w:p>
            <w:pPr>
              <w:keepNext w:val="0"/>
              <w:keepLines w:val="0"/>
              <w:pageBreakBefore w:val="0"/>
              <w:overflowPunct/>
              <w:topLinePunct w:val="0"/>
              <w:bidi w:val="0"/>
              <w:spacing w:line="240" w:lineRule="auto"/>
              <w:rPr>
                <w:rFonts w:ascii="Arial"/>
                <w:color w:val="auto"/>
                <w:sz w:val="21"/>
                <w:highlight w:val="none"/>
              </w:rPr>
            </w:pPr>
          </w:p>
        </w:tc>
        <w:tc>
          <w:tcPr>
            <w:tcW w:w="716" w:type="dxa"/>
            <w:vMerge w:val="continue"/>
            <w:tcBorders>
              <w:top w:val="nil"/>
              <w:bottom w:val="nil"/>
            </w:tcBorders>
            <w:noWrap w:val="0"/>
            <w:vAlign w:val="top"/>
          </w:tcPr>
          <w:p>
            <w:pPr>
              <w:keepNext w:val="0"/>
              <w:keepLines w:val="0"/>
              <w:pageBreakBefore w:val="0"/>
              <w:overflowPunct/>
              <w:topLinePunct w:val="0"/>
              <w:bidi w:val="0"/>
              <w:spacing w:line="240" w:lineRule="auto"/>
              <w:rPr>
                <w:rFonts w:ascii="Arial"/>
                <w:color w:val="auto"/>
                <w:sz w:val="21"/>
                <w:highlight w:val="none"/>
              </w:rPr>
            </w:pPr>
          </w:p>
        </w:tc>
        <w:tc>
          <w:tcPr>
            <w:tcW w:w="2118" w:type="dxa"/>
            <w:noWrap w:val="0"/>
            <w:vAlign w:val="top"/>
          </w:tcPr>
          <w:p>
            <w:pPr>
              <w:pStyle w:val="11"/>
              <w:keepNext w:val="0"/>
              <w:keepLines w:val="0"/>
              <w:pageBreakBefore w:val="0"/>
              <w:overflowPunct/>
              <w:topLinePunct w:val="0"/>
              <w:bidi w:val="0"/>
              <w:spacing w:line="240" w:lineRule="auto"/>
              <w:rPr>
                <w:rFonts w:hint="eastAsia" w:eastAsia="宋体"/>
                <w:color w:val="auto"/>
                <w:sz w:val="21"/>
                <w:szCs w:val="21"/>
                <w:highlight w:val="none"/>
                <w:lang w:val="en-US" w:eastAsia="zh-CN"/>
              </w:rPr>
            </w:pPr>
            <w:r>
              <w:rPr>
                <w:rFonts w:ascii="宋体" w:hAnsi="宋体"/>
                <w:color w:val="auto"/>
                <w:sz w:val="28"/>
                <w:szCs w:val="28"/>
                <w:highlight w:val="none"/>
              </w:rPr>
              <w:t>□</w:t>
            </w:r>
            <w:r>
              <w:rPr>
                <w:color w:val="auto"/>
                <w:spacing w:val="-2"/>
                <w:sz w:val="21"/>
                <w:szCs w:val="21"/>
                <w:highlight w:val="none"/>
              </w:rPr>
              <w:t>信用</w:t>
            </w:r>
            <w:r>
              <w:rPr>
                <w:rFonts w:hint="eastAsia"/>
                <w:color w:val="auto"/>
                <w:spacing w:val="-2"/>
                <w:sz w:val="21"/>
                <w:szCs w:val="21"/>
                <w:highlight w:val="none"/>
                <w:lang w:val="en-US" w:eastAsia="zh-CN"/>
              </w:rPr>
              <w:t>评价</w:t>
            </w:r>
          </w:p>
        </w:tc>
        <w:tc>
          <w:tcPr>
            <w:tcW w:w="5031" w:type="dxa"/>
            <w:noWrap w:val="0"/>
            <w:vAlign w:val="top"/>
          </w:tcPr>
          <w:p>
            <w:pPr>
              <w:pStyle w:val="11"/>
              <w:keepNext w:val="0"/>
              <w:keepLines w:val="0"/>
              <w:pageBreakBefore w:val="0"/>
              <w:numPr>
                <w:ilvl w:val="0"/>
                <w:numId w:val="1"/>
              </w:numPr>
              <w:overflowPunct/>
              <w:topLinePunct w:val="0"/>
              <w:bidi w:val="0"/>
              <w:spacing w:line="240" w:lineRule="auto"/>
              <w:ind w:left="141" w:right="112" w:hanging="9"/>
              <w:rPr>
                <w:rFonts w:hint="eastAsia"/>
                <w:color w:val="auto"/>
                <w:spacing w:val="-11"/>
                <w:sz w:val="21"/>
                <w:szCs w:val="21"/>
                <w:highlight w:val="none"/>
                <w:lang w:eastAsia="zh-CN"/>
              </w:rPr>
            </w:pPr>
            <w:r>
              <w:rPr>
                <w:rFonts w:hint="eastAsia"/>
                <w:color w:val="auto"/>
                <w:spacing w:val="7"/>
                <w:sz w:val="21"/>
                <w:szCs w:val="21"/>
                <w:highlight w:val="none"/>
                <w:lang w:val="en-US" w:eastAsia="zh-CN"/>
              </w:rPr>
              <w:t>企业信用为A级</w:t>
            </w:r>
            <w:r>
              <w:rPr>
                <w:color w:val="auto"/>
                <w:spacing w:val="-11"/>
                <w:sz w:val="21"/>
                <w:szCs w:val="21"/>
                <w:highlight w:val="none"/>
              </w:rPr>
              <w:t>评审报价</w:t>
            </w:r>
            <w:r>
              <w:rPr>
                <w:color w:val="auto"/>
                <w:spacing w:val="-12"/>
                <w:sz w:val="21"/>
                <w:szCs w:val="21"/>
                <w:highlight w:val="none"/>
              </w:rPr>
              <w:t>折减</w:t>
            </w:r>
            <w:r>
              <w:rPr>
                <w:color w:val="auto"/>
                <w:sz w:val="21"/>
                <w:szCs w:val="21"/>
                <w:highlight w:val="none"/>
              </w:rPr>
              <w:t xml:space="preserve">  </w:t>
            </w:r>
            <w:r>
              <w:rPr>
                <w:color w:val="auto"/>
                <w:sz w:val="21"/>
                <w:szCs w:val="21"/>
                <w:highlight w:val="none"/>
                <w:u w:val="single"/>
              </w:rPr>
              <w:t xml:space="preserve">      </w:t>
            </w:r>
            <w:r>
              <w:rPr>
                <w:color w:val="auto"/>
                <w:spacing w:val="-11"/>
                <w:sz w:val="21"/>
                <w:szCs w:val="21"/>
                <w:highlight w:val="none"/>
              </w:rPr>
              <w:t>万元</w:t>
            </w:r>
            <w:r>
              <w:rPr>
                <w:rFonts w:hint="eastAsia"/>
                <w:color w:val="auto"/>
                <w:spacing w:val="-11"/>
                <w:sz w:val="21"/>
                <w:szCs w:val="21"/>
                <w:highlight w:val="none"/>
                <w:lang w:eastAsia="zh-CN"/>
              </w:rPr>
              <w:t>；</w:t>
            </w:r>
          </w:p>
          <w:p>
            <w:pPr>
              <w:pStyle w:val="11"/>
              <w:keepNext w:val="0"/>
              <w:keepLines w:val="0"/>
              <w:pageBreakBefore w:val="0"/>
              <w:numPr>
                <w:ilvl w:val="0"/>
                <w:numId w:val="0"/>
              </w:numPr>
              <w:overflowPunct/>
              <w:topLinePunct w:val="0"/>
              <w:bidi w:val="0"/>
              <w:spacing w:line="240" w:lineRule="auto"/>
              <w:ind w:left="132" w:leftChars="0" w:right="112" w:rightChars="0"/>
              <w:rPr>
                <w:rFonts w:hint="eastAsia"/>
                <w:color w:val="auto"/>
                <w:spacing w:val="-11"/>
                <w:sz w:val="21"/>
                <w:szCs w:val="21"/>
                <w:highlight w:val="none"/>
                <w:lang w:eastAsia="zh-CN"/>
              </w:rPr>
            </w:pPr>
            <w:r>
              <w:rPr>
                <w:rFonts w:ascii="宋体" w:hAnsi="宋体"/>
                <w:color w:val="auto"/>
                <w:sz w:val="28"/>
                <w:szCs w:val="28"/>
                <w:highlight w:val="none"/>
              </w:rPr>
              <w:t>□</w:t>
            </w:r>
            <w:r>
              <w:rPr>
                <w:rFonts w:hint="eastAsia"/>
                <w:color w:val="auto"/>
                <w:spacing w:val="7"/>
                <w:sz w:val="21"/>
                <w:szCs w:val="21"/>
                <w:highlight w:val="none"/>
                <w:lang w:val="en-US" w:eastAsia="zh-CN"/>
              </w:rPr>
              <w:t>企业信用为B级</w:t>
            </w:r>
            <w:r>
              <w:rPr>
                <w:color w:val="auto"/>
                <w:spacing w:val="-11"/>
                <w:sz w:val="21"/>
                <w:szCs w:val="21"/>
                <w:highlight w:val="none"/>
              </w:rPr>
              <w:t>评审报价</w:t>
            </w:r>
            <w:r>
              <w:rPr>
                <w:color w:val="auto"/>
                <w:spacing w:val="-12"/>
                <w:sz w:val="21"/>
                <w:szCs w:val="21"/>
                <w:highlight w:val="none"/>
              </w:rPr>
              <w:t>折减</w:t>
            </w:r>
            <w:r>
              <w:rPr>
                <w:color w:val="auto"/>
                <w:sz w:val="21"/>
                <w:szCs w:val="21"/>
                <w:highlight w:val="none"/>
              </w:rPr>
              <w:t xml:space="preserve">  </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z w:val="21"/>
                <w:szCs w:val="21"/>
                <w:highlight w:val="none"/>
                <w:u w:val="single"/>
              </w:rPr>
              <w:t xml:space="preserve"> </w:t>
            </w:r>
            <w:r>
              <w:rPr>
                <w:color w:val="auto"/>
                <w:spacing w:val="-11"/>
                <w:sz w:val="21"/>
                <w:szCs w:val="21"/>
                <w:highlight w:val="none"/>
              </w:rPr>
              <w:t>万元</w:t>
            </w:r>
            <w:r>
              <w:rPr>
                <w:rFonts w:hint="eastAsia"/>
                <w:color w:val="auto"/>
                <w:spacing w:val="-11"/>
                <w:sz w:val="21"/>
                <w:szCs w:val="21"/>
                <w:highlight w:val="none"/>
                <w:lang w:eastAsia="zh-CN"/>
              </w:rPr>
              <w:t>；</w:t>
            </w:r>
          </w:p>
          <w:p>
            <w:pPr>
              <w:pStyle w:val="11"/>
              <w:keepNext w:val="0"/>
              <w:keepLines w:val="0"/>
              <w:pageBreakBefore w:val="0"/>
              <w:numPr>
                <w:ilvl w:val="0"/>
                <w:numId w:val="0"/>
              </w:numPr>
              <w:overflowPunct/>
              <w:topLinePunct w:val="0"/>
              <w:bidi w:val="0"/>
              <w:spacing w:line="240" w:lineRule="auto"/>
              <w:ind w:left="132" w:leftChars="0" w:right="112" w:rightChars="0"/>
              <w:rPr>
                <w:rFonts w:hint="eastAsia"/>
                <w:color w:val="auto"/>
                <w:spacing w:val="-11"/>
                <w:sz w:val="21"/>
                <w:szCs w:val="21"/>
                <w:highlight w:val="none"/>
                <w:lang w:eastAsia="zh-CN"/>
              </w:rPr>
            </w:pPr>
            <w:r>
              <w:rPr>
                <w:rFonts w:ascii="宋体" w:hAnsi="宋体"/>
                <w:color w:val="auto"/>
                <w:sz w:val="28"/>
                <w:szCs w:val="28"/>
                <w:highlight w:val="none"/>
              </w:rPr>
              <w:t>□</w:t>
            </w:r>
            <w:r>
              <w:rPr>
                <w:rFonts w:hint="eastAsia"/>
                <w:color w:val="auto"/>
                <w:spacing w:val="7"/>
                <w:sz w:val="21"/>
                <w:szCs w:val="21"/>
                <w:highlight w:val="none"/>
                <w:lang w:val="en-US" w:eastAsia="zh-CN"/>
              </w:rPr>
              <w:t>企业信用为C级</w:t>
            </w:r>
            <w:r>
              <w:rPr>
                <w:color w:val="auto"/>
                <w:spacing w:val="-11"/>
                <w:sz w:val="21"/>
                <w:szCs w:val="21"/>
                <w:highlight w:val="none"/>
              </w:rPr>
              <w:t>评审报价增加</w:t>
            </w:r>
            <w:r>
              <w:rPr>
                <w:color w:val="auto"/>
                <w:sz w:val="21"/>
                <w:szCs w:val="21"/>
                <w:highlight w:val="none"/>
              </w:rPr>
              <w:t xml:space="preserve">  </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z w:val="21"/>
                <w:szCs w:val="21"/>
                <w:highlight w:val="none"/>
                <w:u w:val="single"/>
              </w:rPr>
              <w:t xml:space="preserve"> </w:t>
            </w:r>
            <w:r>
              <w:rPr>
                <w:rFonts w:hint="eastAsia"/>
                <w:color w:val="auto"/>
                <w:sz w:val="21"/>
                <w:szCs w:val="21"/>
                <w:highlight w:val="none"/>
                <w:u w:val="single"/>
                <w:lang w:val="en-US" w:eastAsia="zh-CN"/>
              </w:rPr>
              <w:t>0</w:t>
            </w:r>
            <w:r>
              <w:rPr>
                <w:color w:val="auto"/>
                <w:sz w:val="21"/>
                <w:szCs w:val="21"/>
                <w:highlight w:val="none"/>
                <w:u w:val="single"/>
              </w:rPr>
              <w:t xml:space="preserve">   </w:t>
            </w:r>
            <w:r>
              <w:rPr>
                <w:color w:val="auto"/>
                <w:spacing w:val="-11"/>
                <w:sz w:val="21"/>
                <w:szCs w:val="21"/>
                <w:highlight w:val="none"/>
              </w:rPr>
              <w:t>万元</w:t>
            </w:r>
            <w:r>
              <w:rPr>
                <w:rFonts w:hint="eastAsia"/>
                <w:color w:val="auto"/>
                <w:spacing w:val="-11"/>
                <w:sz w:val="21"/>
                <w:szCs w:val="21"/>
                <w:highlight w:val="none"/>
                <w:lang w:eastAsia="zh-CN"/>
              </w:rPr>
              <w:t>；</w:t>
            </w:r>
          </w:p>
          <w:p>
            <w:pPr>
              <w:pStyle w:val="11"/>
              <w:keepNext w:val="0"/>
              <w:keepLines w:val="0"/>
              <w:pageBreakBefore w:val="0"/>
              <w:numPr>
                <w:ilvl w:val="0"/>
                <w:numId w:val="0"/>
              </w:numPr>
              <w:overflowPunct/>
              <w:topLinePunct w:val="0"/>
              <w:bidi w:val="0"/>
              <w:spacing w:line="240" w:lineRule="auto"/>
              <w:ind w:left="132" w:leftChars="0" w:right="112" w:rightChars="0"/>
              <w:rPr>
                <w:rFonts w:hint="eastAsia"/>
                <w:color w:val="auto"/>
                <w:spacing w:val="-11"/>
                <w:sz w:val="21"/>
                <w:szCs w:val="21"/>
                <w:highlight w:val="none"/>
                <w:lang w:eastAsia="zh-CN"/>
              </w:rPr>
            </w:pPr>
            <w:r>
              <w:rPr>
                <w:rFonts w:ascii="宋体" w:hAnsi="宋体"/>
                <w:color w:val="auto"/>
                <w:sz w:val="28"/>
                <w:szCs w:val="28"/>
                <w:highlight w:val="none"/>
              </w:rPr>
              <w:t>□</w:t>
            </w:r>
            <w:r>
              <w:rPr>
                <w:rFonts w:hint="eastAsia"/>
                <w:color w:val="auto"/>
                <w:spacing w:val="7"/>
                <w:sz w:val="21"/>
                <w:szCs w:val="21"/>
                <w:highlight w:val="none"/>
                <w:lang w:val="en-US" w:eastAsia="zh-CN"/>
              </w:rPr>
              <w:t>企业信用为D级</w:t>
            </w:r>
            <w:r>
              <w:rPr>
                <w:color w:val="auto"/>
                <w:spacing w:val="-11"/>
                <w:sz w:val="21"/>
                <w:szCs w:val="21"/>
                <w:highlight w:val="none"/>
              </w:rPr>
              <w:t>评审报价增加</w:t>
            </w:r>
            <w:r>
              <w:rPr>
                <w:color w:val="auto"/>
                <w:sz w:val="21"/>
                <w:szCs w:val="21"/>
                <w:highlight w:val="none"/>
              </w:rPr>
              <w:t xml:space="preserve">  </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z w:val="21"/>
                <w:szCs w:val="21"/>
                <w:highlight w:val="none"/>
                <w:u w:val="single"/>
              </w:rPr>
              <w:t xml:space="preserve">   </w:t>
            </w:r>
            <w:r>
              <w:rPr>
                <w:color w:val="auto"/>
                <w:spacing w:val="-11"/>
                <w:sz w:val="21"/>
                <w:szCs w:val="21"/>
                <w:highlight w:val="none"/>
              </w:rPr>
              <w:t>万元</w:t>
            </w:r>
            <w:r>
              <w:rPr>
                <w:rFonts w:hint="eastAsia"/>
                <w:color w:val="auto"/>
                <w:spacing w:val="-11"/>
                <w:sz w:val="21"/>
                <w:szCs w:val="21"/>
                <w:highlight w:val="none"/>
                <w:lang w:eastAsia="zh-CN"/>
              </w:rPr>
              <w:t>；</w:t>
            </w:r>
          </w:p>
          <w:p>
            <w:pPr>
              <w:pStyle w:val="11"/>
              <w:keepNext w:val="0"/>
              <w:keepLines w:val="0"/>
              <w:pageBreakBefore w:val="0"/>
              <w:numPr>
                <w:ilvl w:val="0"/>
                <w:numId w:val="0"/>
              </w:numPr>
              <w:overflowPunct/>
              <w:topLinePunct w:val="0"/>
              <w:bidi w:val="0"/>
              <w:spacing w:line="240" w:lineRule="auto"/>
              <w:ind w:left="132" w:leftChars="0" w:right="112" w:rightChars="0"/>
              <w:rPr>
                <w:rFonts w:hint="eastAsia" w:eastAsia="宋体"/>
                <w:color w:val="auto"/>
                <w:sz w:val="21"/>
                <w:szCs w:val="21"/>
                <w:highlight w:val="none"/>
                <w:lang w:eastAsia="zh-CN"/>
              </w:rPr>
            </w:pPr>
            <w:r>
              <w:rPr>
                <w:rFonts w:ascii="宋体" w:hAnsi="宋体"/>
                <w:color w:val="auto"/>
                <w:sz w:val="28"/>
                <w:szCs w:val="28"/>
                <w:highlight w:val="none"/>
              </w:rPr>
              <w:t>□</w:t>
            </w:r>
            <w:r>
              <w:rPr>
                <w:rFonts w:hint="eastAsia"/>
                <w:color w:val="auto"/>
                <w:spacing w:val="7"/>
                <w:sz w:val="21"/>
                <w:szCs w:val="21"/>
                <w:highlight w:val="none"/>
                <w:lang w:val="en-US" w:eastAsia="zh-CN"/>
              </w:rPr>
              <w:t>企业信用为E级</w:t>
            </w:r>
            <w:r>
              <w:rPr>
                <w:color w:val="auto"/>
                <w:spacing w:val="-11"/>
                <w:sz w:val="21"/>
                <w:szCs w:val="21"/>
                <w:highlight w:val="none"/>
              </w:rPr>
              <w:t>评审报价增加</w:t>
            </w:r>
            <w:r>
              <w:rPr>
                <w:color w:val="auto"/>
                <w:sz w:val="21"/>
                <w:szCs w:val="21"/>
                <w:highlight w:val="none"/>
              </w:rPr>
              <w:t xml:space="preserve">  </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z w:val="21"/>
                <w:szCs w:val="21"/>
                <w:highlight w:val="none"/>
                <w:u w:val="single"/>
              </w:rPr>
              <w:t xml:space="preserve">  </w:t>
            </w:r>
            <w:r>
              <w:rPr>
                <w:color w:val="auto"/>
                <w:spacing w:val="-11"/>
                <w:sz w:val="21"/>
                <w:szCs w:val="21"/>
                <w:highlight w:val="none"/>
              </w:rPr>
              <w:t>万元</w:t>
            </w:r>
          </w:p>
          <w:p>
            <w:pPr>
              <w:pStyle w:val="11"/>
              <w:keepNext w:val="0"/>
              <w:keepLines w:val="0"/>
              <w:pageBreakBefore w:val="0"/>
              <w:overflowPunct/>
              <w:topLinePunct w:val="0"/>
              <w:bidi w:val="0"/>
              <w:spacing w:line="240" w:lineRule="auto"/>
              <w:ind w:left="141" w:right="112" w:hanging="9"/>
              <w:rPr>
                <w:rFonts w:hint="eastAsia"/>
                <w:color w:val="auto"/>
                <w:spacing w:val="-11"/>
                <w:sz w:val="21"/>
                <w:szCs w:val="21"/>
                <w:highlight w:val="none"/>
                <w:lang w:eastAsia="zh-CN"/>
              </w:rPr>
            </w:pPr>
            <w:r>
              <w:rPr>
                <w:rFonts w:hint="eastAsia"/>
                <w:color w:val="auto"/>
                <w:spacing w:val="7"/>
                <w:sz w:val="21"/>
                <w:szCs w:val="21"/>
                <w:highlight w:val="none"/>
                <w:lang w:eastAsia="zh-CN"/>
              </w:rPr>
              <w:t>（</w:t>
            </w:r>
            <w:r>
              <w:rPr>
                <w:rFonts w:hint="eastAsia"/>
                <w:color w:val="auto"/>
                <w:spacing w:val="7"/>
                <w:sz w:val="21"/>
                <w:szCs w:val="21"/>
                <w:highlight w:val="none"/>
                <w:lang w:val="en-US" w:eastAsia="zh-CN"/>
              </w:rPr>
              <w:t>2</w:t>
            </w:r>
            <w:r>
              <w:rPr>
                <w:rFonts w:hint="eastAsia"/>
                <w:color w:val="auto"/>
                <w:spacing w:val="7"/>
                <w:sz w:val="21"/>
                <w:szCs w:val="21"/>
                <w:highlight w:val="none"/>
                <w:lang w:eastAsia="zh-CN"/>
              </w:rPr>
              <w:t>）</w:t>
            </w:r>
            <w:r>
              <w:rPr>
                <w:rFonts w:hint="eastAsia"/>
                <w:color w:val="auto"/>
                <w:spacing w:val="7"/>
                <w:sz w:val="21"/>
                <w:szCs w:val="21"/>
                <w:highlight w:val="none"/>
                <w:lang w:val="en-US" w:eastAsia="zh-CN"/>
              </w:rPr>
              <w:t>项目负责人为A级</w:t>
            </w:r>
            <w:r>
              <w:rPr>
                <w:color w:val="auto"/>
                <w:spacing w:val="-11"/>
                <w:sz w:val="21"/>
                <w:szCs w:val="21"/>
                <w:highlight w:val="none"/>
              </w:rPr>
              <w:t>评审报价</w:t>
            </w:r>
            <w:r>
              <w:rPr>
                <w:color w:val="auto"/>
                <w:spacing w:val="-12"/>
                <w:sz w:val="21"/>
                <w:szCs w:val="21"/>
                <w:highlight w:val="none"/>
              </w:rPr>
              <w:t>折减</w:t>
            </w:r>
            <w:r>
              <w:rPr>
                <w:color w:val="auto"/>
                <w:sz w:val="21"/>
                <w:szCs w:val="21"/>
                <w:highlight w:val="none"/>
              </w:rPr>
              <w:t xml:space="preserve">  </w:t>
            </w:r>
            <w:r>
              <w:rPr>
                <w:color w:val="auto"/>
                <w:sz w:val="21"/>
                <w:szCs w:val="21"/>
                <w:highlight w:val="none"/>
                <w:u w:val="single"/>
              </w:rPr>
              <w:t xml:space="preserve">    </w:t>
            </w:r>
            <w:r>
              <w:rPr>
                <w:color w:val="auto"/>
                <w:spacing w:val="-11"/>
                <w:sz w:val="21"/>
                <w:szCs w:val="21"/>
                <w:highlight w:val="none"/>
              </w:rPr>
              <w:t>万元</w:t>
            </w:r>
            <w:r>
              <w:rPr>
                <w:rFonts w:hint="eastAsia"/>
                <w:color w:val="auto"/>
                <w:spacing w:val="-11"/>
                <w:sz w:val="21"/>
                <w:szCs w:val="21"/>
                <w:highlight w:val="none"/>
                <w:lang w:eastAsia="zh-CN"/>
              </w:rPr>
              <w:t>；</w:t>
            </w:r>
          </w:p>
          <w:p>
            <w:pPr>
              <w:pStyle w:val="11"/>
              <w:keepNext w:val="0"/>
              <w:keepLines w:val="0"/>
              <w:pageBreakBefore w:val="0"/>
              <w:overflowPunct/>
              <w:topLinePunct w:val="0"/>
              <w:bidi w:val="0"/>
              <w:spacing w:line="240" w:lineRule="auto"/>
              <w:ind w:left="141" w:right="112" w:hanging="9"/>
              <w:rPr>
                <w:rFonts w:hint="eastAsia"/>
                <w:color w:val="auto"/>
                <w:spacing w:val="-11"/>
                <w:sz w:val="21"/>
                <w:szCs w:val="21"/>
                <w:highlight w:val="none"/>
                <w:lang w:eastAsia="zh-CN"/>
              </w:rPr>
            </w:pPr>
            <w:r>
              <w:rPr>
                <w:rFonts w:ascii="宋体" w:hAnsi="宋体"/>
                <w:color w:val="auto"/>
                <w:sz w:val="28"/>
                <w:szCs w:val="28"/>
                <w:highlight w:val="none"/>
              </w:rPr>
              <w:t>□</w:t>
            </w:r>
            <w:r>
              <w:rPr>
                <w:rFonts w:hint="eastAsia"/>
                <w:color w:val="auto"/>
                <w:spacing w:val="7"/>
                <w:sz w:val="21"/>
                <w:szCs w:val="21"/>
                <w:highlight w:val="none"/>
                <w:lang w:val="en-US" w:eastAsia="zh-CN"/>
              </w:rPr>
              <w:t>项目负责人为B级</w:t>
            </w:r>
            <w:r>
              <w:rPr>
                <w:color w:val="auto"/>
                <w:spacing w:val="-11"/>
                <w:sz w:val="21"/>
                <w:szCs w:val="21"/>
                <w:highlight w:val="none"/>
              </w:rPr>
              <w:t>评审报价</w:t>
            </w:r>
            <w:r>
              <w:rPr>
                <w:color w:val="auto"/>
                <w:spacing w:val="-12"/>
                <w:sz w:val="21"/>
                <w:szCs w:val="21"/>
                <w:highlight w:val="none"/>
              </w:rPr>
              <w:t>折减</w:t>
            </w:r>
            <w:r>
              <w:rPr>
                <w:color w:val="auto"/>
                <w:sz w:val="21"/>
                <w:szCs w:val="21"/>
                <w:highlight w:val="none"/>
              </w:rPr>
              <w:t xml:space="preserve">  </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z w:val="21"/>
                <w:szCs w:val="21"/>
                <w:highlight w:val="none"/>
                <w:u w:val="single"/>
              </w:rPr>
              <w:t xml:space="preserve">  </w:t>
            </w:r>
            <w:r>
              <w:rPr>
                <w:color w:val="auto"/>
                <w:spacing w:val="-11"/>
                <w:sz w:val="21"/>
                <w:szCs w:val="21"/>
                <w:highlight w:val="none"/>
              </w:rPr>
              <w:t>万元</w:t>
            </w:r>
            <w:r>
              <w:rPr>
                <w:rFonts w:hint="eastAsia"/>
                <w:color w:val="auto"/>
                <w:spacing w:val="-11"/>
                <w:sz w:val="21"/>
                <w:szCs w:val="21"/>
                <w:highlight w:val="none"/>
                <w:lang w:eastAsia="zh-CN"/>
              </w:rPr>
              <w:t>；</w:t>
            </w:r>
          </w:p>
          <w:p>
            <w:pPr>
              <w:pStyle w:val="11"/>
              <w:keepNext w:val="0"/>
              <w:keepLines w:val="0"/>
              <w:pageBreakBefore w:val="0"/>
              <w:overflowPunct/>
              <w:topLinePunct w:val="0"/>
              <w:bidi w:val="0"/>
              <w:spacing w:line="240" w:lineRule="auto"/>
              <w:ind w:left="141" w:right="112" w:hanging="9"/>
              <w:rPr>
                <w:rFonts w:hint="eastAsia"/>
                <w:color w:val="auto"/>
                <w:spacing w:val="-11"/>
                <w:sz w:val="21"/>
                <w:szCs w:val="21"/>
                <w:highlight w:val="none"/>
                <w:lang w:eastAsia="zh-CN"/>
              </w:rPr>
            </w:pPr>
            <w:r>
              <w:rPr>
                <w:rFonts w:ascii="宋体" w:hAnsi="宋体"/>
                <w:color w:val="auto"/>
                <w:sz w:val="28"/>
                <w:szCs w:val="28"/>
                <w:highlight w:val="none"/>
              </w:rPr>
              <w:t>□</w:t>
            </w:r>
            <w:r>
              <w:rPr>
                <w:rFonts w:hint="eastAsia"/>
                <w:color w:val="auto"/>
                <w:spacing w:val="7"/>
                <w:sz w:val="21"/>
                <w:szCs w:val="21"/>
                <w:highlight w:val="none"/>
                <w:lang w:val="en-US" w:eastAsia="zh-CN"/>
              </w:rPr>
              <w:t>项目负责人为</w:t>
            </w:r>
            <w:r>
              <w:rPr>
                <w:rFonts w:hint="default"/>
                <w:color w:val="auto"/>
                <w:spacing w:val="7"/>
                <w:sz w:val="21"/>
                <w:szCs w:val="21"/>
                <w:highlight w:val="none"/>
                <w:lang w:val="en" w:eastAsia="zh-CN"/>
              </w:rPr>
              <w:t>C</w:t>
            </w:r>
            <w:r>
              <w:rPr>
                <w:rFonts w:hint="eastAsia"/>
                <w:color w:val="auto"/>
                <w:spacing w:val="7"/>
                <w:sz w:val="21"/>
                <w:szCs w:val="21"/>
                <w:highlight w:val="none"/>
                <w:lang w:val="en-US" w:eastAsia="zh-CN"/>
              </w:rPr>
              <w:t>级</w:t>
            </w:r>
            <w:r>
              <w:rPr>
                <w:color w:val="auto"/>
                <w:spacing w:val="-11"/>
                <w:sz w:val="21"/>
                <w:szCs w:val="21"/>
                <w:highlight w:val="none"/>
              </w:rPr>
              <w:t>评审报价增加</w:t>
            </w:r>
            <w:r>
              <w:rPr>
                <w:color w:val="auto"/>
                <w:sz w:val="21"/>
                <w:szCs w:val="21"/>
                <w:highlight w:val="none"/>
              </w:rPr>
              <w:t xml:space="preserve">  </w:t>
            </w:r>
            <w:r>
              <w:rPr>
                <w:color w:val="auto"/>
                <w:sz w:val="21"/>
                <w:szCs w:val="21"/>
                <w:highlight w:val="none"/>
                <w:u w:val="single"/>
              </w:rPr>
              <w:t xml:space="preserve">   </w:t>
            </w:r>
            <w:r>
              <w:rPr>
                <w:rFonts w:hint="eastAsia"/>
                <w:color w:val="auto"/>
                <w:sz w:val="21"/>
                <w:szCs w:val="21"/>
                <w:highlight w:val="none"/>
                <w:u w:val="single"/>
                <w:lang w:val="en-US" w:eastAsia="zh-CN"/>
              </w:rPr>
              <w:t>0</w:t>
            </w:r>
            <w:r>
              <w:rPr>
                <w:color w:val="auto"/>
                <w:sz w:val="21"/>
                <w:szCs w:val="21"/>
                <w:highlight w:val="none"/>
                <w:u w:val="single"/>
              </w:rPr>
              <w:t xml:space="preserve">   </w:t>
            </w:r>
            <w:r>
              <w:rPr>
                <w:color w:val="auto"/>
                <w:spacing w:val="-11"/>
                <w:sz w:val="21"/>
                <w:szCs w:val="21"/>
                <w:highlight w:val="none"/>
              </w:rPr>
              <w:t>万元</w:t>
            </w:r>
            <w:r>
              <w:rPr>
                <w:rFonts w:hint="eastAsia"/>
                <w:color w:val="auto"/>
                <w:spacing w:val="-11"/>
                <w:sz w:val="21"/>
                <w:szCs w:val="21"/>
                <w:highlight w:val="none"/>
                <w:lang w:eastAsia="zh-CN"/>
              </w:rPr>
              <w:t>；</w:t>
            </w:r>
          </w:p>
          <w:p>
            <w:pPr>
              <w:pStyle w:val="11"/>
              <w:keepNext w:val="0"/>
              <w:keepLines w:val="0"/>
              <w:pageBreakBefore w:val="0"/>
              <w:overflowPunct/>
              <w:topLinePunct w:val="0"/>
              <w:bidi w:val="0"/>
              <w:spacing w:line="240" w:lineRule="auto"/>
              <w:ind w:left="141" w:right="112" w:hanging="9"/>
              <w:rPr>
                <w:rFonts w:hint="eastAsia"/>
                <w:color w:val="auto"/>
                <w:spacing w:val="-11"/>
                <w:sz w:val="21"/>
                <w:szCs w:val="21"/>
                <w:highlight w:val="none"/>
                <w:lang w:eastAsia="zh-CN"/>
              </w:rPr>
            </w:pPr>
            <w:r>
              <w:rPr>
                <w:rFonts w:ascii="宋体" w:hAnsi="宋体"/>
                <w:color w:val="auto"/>
                <w:sz w:val="28"/>
                <w:szCs w:val="28"/>
                <w:highlight w:val="none"/>
              </w:rPr>
              <w:t>□</w:t>
            </w:r>
            <w:r>
              <w:rPr>
                <w:rFonts w:hint="eastAsia"/>
                <w:color w:val="auto"/>
                <w:spacing w:val="7"/>
                <w:sz w:val="21"/>
                <w:szCs w:val="21"/>
                <w:highlight w:val="none"/>
                <w:lang w:val="en-US" w:eastAsia="zh-CN"/>
              </w:rPr>
              <w:t>项目负责人为D级</w:t>
            </w:r>
            <w:r>
              <w:rPr>
                <w:color w:val="auto"/>
                <w:spacing w:val="-11"/>
                <w:sz w:val="21"/>
                <w:szCs w:val="21"/>
                <w:highlight w:val="none"/>
              </w:rPr>
              <w:t>评审报价增加</w:t>
            </w:r>
            <w:r>
              <w:rPr>
                <w:color w:val="auto"/>
                <w:sz w:val="21"/>
                <w:szCs w:val="21"/>
                <w:highlight w:val="none"/>
              </w:rPr>
              <w:t xml:space="preserve">  </w:t>
            </w:r>
            <w:r>
              <w:rPr>
                <w:color w:val="auto"/>
                <w:sz w:val="21"/>
                <w:szCs w:val="21"/>
                <w:highlight w:val="none"/>
                <w:u w:val="single"/>
              </w:rPr>
              <w:t xml:space="preserve">       </w:t>
            </w:r>
            <w:r>
              <w:rPr>
                <w:color w:val="auto"/>
                <w:spacing w:val="-11"/>
                <w:sz w:val="21"/>
                <w:szCs w:val="21"/>
                <w:highlight w:val="none"/>
              </w:rPr>
              <w:t>万元</w:t>
            </w:r>
            <w:r>
              <w:rPr>
                <w:rFonts w:hint="eastAsia"/>
                <w:color w:val="auto"/>
                <w:spacing w:val="-11"/>
                <w:sz w:val="21"/>
                <w:szCs w:val="21"/>
                <w:highlight w:val="none"/>
                <w:lang w:eastAsia="zh-CN"/>
              </w:rPr>
              <w:t>；</w:t>
            </w:r>
          </w:p>
          <w:p>
            <w:pPr>
              <w:pStyle w:val="11"/>
              <w:keepNext w:val="0"/>
              <w:keepLines w:val="0"/>
              <w:pageBreakBefore w:val="0"/>
              <w:overflowPunct/>
              <w:topLinePunct w:val="0"/>
              <w:bidi w:val="0"/>
              <w:spacing w:line="240" w:lineRule="auto"/>
              <w:ind w:left="141" w:right="112" w:hanging="9"/>
              <w:rPr>
                <w:rFonts w:hint="eastAsia"/>
                <w:color w:val="auto"/>
                <w:spacing w:val="-11"/>
                <w:sz w:val="21"/>
                <w:szCs w:val="21"/>
                <w:highlight w:val="none"/>
                <w:lang w:eastAsia="zh-CN"/>
              </w:rPr>
            </w:pPr>
            <w:r>
              <w:rPr>
                <w:rFonts w:ascii="宋体" w:hAnsi="宋体"/>
                <w:color w:val="auto"/>
                <w:sz w:val="28"/>
                <w:szCs w:val="28"/>
                <w:highlight w:val="none"/>
              </w:rPr>
              <w:t>□</w:t>
            </w:r>
            <w:r>
              <w:rPr>
                <w:rFonts w:hint="eastAsia"/>
                <w:color w:val="auto"/>
                <w:spacing w:val="7"/>
                <w:sz w:val="21"/>
                <w:szCs w:val="21"/>
                <w:highlight w:val="none"/>
                <w:lang w:val="en-US" w:eastAsia="zh-CN"/>
              </w:rPr>
              <w:t>项目负责人为E级</w:t>
            </w:r>
            <w:r>
              <w:rPr>
                <w:color w:val="auto"/>
                <w:spacing w:val="-11"/>
                <w:sz w:val="21"/>
                <w:szCs w:val="21"/>
                <w:highlight w:val="none"/>
              </w:rPr>
              <w:t>评审报价增加</w:t>
            </w:r>
            <w:r>
              <w:rPr>
                <w:color w:val="auto"/>
                <w:sz w:val="21"/>
                <w:szCs w:val="21"/>
                <w:highlight w:val="none"/>
              </w:rPr>
              <w:t xml:space="preserve">  </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z w:val="21"/>
                <w:szCs w:val="21"/>
                <w:highlight w:val="none"/>
                <w:u w:val="single"/>
              </w:rPr>
              <w:t xml:space="preserve"> </w:t>
            </w:r>
            <w:r>
              <w:rPr>
                <w:color w:val="auto"/>
                <w:spacing w:val="-11"/>
                <w:sz w:val="21"/>
                <w:szCs w:val="21"/>
                <w:highlight w:val="none"/>
              </w:rPr>
              <w:t>万元</w:t>
            </w:r>
            <w:r>
              <w:rPr>
                <w:rFonts w:hint="eastAsia"/>
                <w:color w:val="auto"/>
                <w:spacing w:val="-11"/>
                <w:sz w:val="21"/>
                <w:szCs w:val="21"/>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77" w:type="dxa"/>
            <w:vMerge w:val="continue"/>
            <w:tcBorders>
              <w:top w:val="nil"/>
            </w:tcBorders>
            <w:noWrap w:val="0"/>
            <w:vAlign w:val="top"/>
          </w:tcPr>
          <w:p>
            <w:pPr>
              <w:keepNext w:val="0"/>
              <w:keepLines w:val="0"/>
              <w:pageBreakBefore w:val="0"/>
              <w:overflowPunct/>
              <w:topLinePunct w:val="0"/>
              <w:bidi w:val="0"/>
              <w:spacing w:line="240" w:lineRule="auto"/>
              <w:rPr>
                <w:rFonts w:ascii="Arial"/>
                <w:color w:val="auto"/>
                <w:sz w:val="21"/>
                <w:highlight w:val="none"/>
              </w:rPr>
            </w:pPr>
          </w:p>
        </w:tc>
        <w:tc>
          <w:tcPr>
            <w:tcW w:w="716" w:type="dxa"/>
            <w:vMerge w:val="continue"/>
            <w:tcBorders>
              <w:top w:val="nil"/>
            </w:tcBorders>
            <w:noWrap w:val="0"/>
            <w:vAlign w:val="top"/>
          </w:tcPr>
          <w:p>
            <w:pPr>
              <w:keepNext w:val="0"/>
              <w:keepLines w:val="0"/>
              <w:pageBreakBefore w:val="0"/>
              <w:overflowPunct/>
              <w:topLinePunct w:val="0"/>
              <w:bidi w:val="0"/>
              <w:spacing w:line="240" w:lineRule="auto"/>
              <w:rPr>
                <w:rFonts w:ascii="Arial"/>
                <w:color w:val="auto"/>
                <w:sz w:val="21"/>
                <w:highlight w:val="none"/>
              </w:rPr>
            </w:pPr>
          </w:p>
        </w:tc>
        <w:tc>
          <w:tcPr>
            <w:tcW w:w="2118" w:type="dxa"/>
            <w:noWrap w:val="0"/>
            <w:vAlign w:val="top"/>
          </w:tcPr>
          <w:p>
            <w:pPr>
              <w:keepNext w:val="0"/>
              <w:keepLines w:val="0"/>
              <w:pageBreakBefore w:val="0"/>
              <w:overflowPunct/>
              <w:topLinePunct w:val="0"/>
              <w:bidi w:val="0"/>
              <w:spacing w:line="240" w:lineRule="auto"/>
              <w:rPr>
                <w:rFonts w:ascii="Calibri" w:hAnsi="Calibri" w:eastAsia="Calibri" w:cs="Calibri"/>
                <w:color w:val="auto"/>
                <w:sz w:val="21"/>
                <w:szCs w:val="21"/>
                <w:highlight w:val="none"/>
              </w:rPr>
            </w:pPr>
            <w:r>
              <w:rPr>
                <w:rFonts w:ascii="Calibri" w:hAnsi="Calibri" w:eastAsia="Calibri" w:cs="Calibri"/>
                <w:color w:val="auto"/>
                <w:spacing w:val="-4"/>
                <w:position w:val="1"/>
                <w:sz w:val="21"/>
                <w:szCs w:val="21"/>
                <w:highlight w:val="none"/>
              </w:rPr>
              <w:t>……</w:t>
            </w:r>
          </w:p>
        </w:tc>
        <w:tc>
          <w:tcPr>
            <w:tcW w:w="5031" w:type="dxa"/>
            <w:noWrap w:val="0"/>
            <w:vAlign w:val="top"/>
          </w:tcPr>
          <w:p>
            <w:pPr>
              <w:keepNext w:val="0"/>
              <w:keepLines w:val="0"/>
              <w:pageBreakBefore w:val="0"/>
              <w:overflowPunct/>
              <w:topLinePunct w:val="0"/>
              <w:bidi w:val="0"/>
              <w:spacing w:line="240" w:lineRule="auto"/>
              <w:ind w:left="123"/>
              <w:rPr>
                <w:rFonts w:ascii="Calibri" w:hAnsi="Calibri" w:eastAsia="Calibri" w:cs="Calibri"/>
                <w:color w:val="auto"/>
                <w:sz w:val="21"/>
                <w:szCs w:val="21"/>
                <w:highlight w:val="none"/>
              </w:rPr>
            </w:pPr>
            <w:r>
              <w:rPr>
                <w:rFonts w:ascii="Calibri" w:hAnsi="Calibri" w:eastAsia="Calibri" w:cs="Calibri"/>
                <w:color w:val="auto"/>
                <w:spacing w:val="-4"/>
                <w:position w:val="1"/>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742" w:type="dxa"/>
            <w:gridSpan w:val="4"/>
            <w:noWrap w:val="0"/>
            <w:vAlign w:val="top"/>
          </w:tcPr>
          <w:p>
            <w:pPr>
              <w:keepNext w:val="0"/>
              <w:keepLines w:val="0"/>
              <w:pageBreakBefore w:val="0"/>
              <w:overflowPunct/>
              <w:topLinePunct w:val="0"/>
              <w:bidi w:val="0"/>
              <w:spacing w:line="240" w:lineRule="auto"/>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3711" w:type="dxa"/>
            <w:gridSpan w:val="3"/>
            <w:noWrap w:val="0"/>
            <w:vAlign w:val="top"/>
          </w:tcPr>
          <w:p>
            <w:pPr>
              <w:pStyle w:val="11"/>
              <w:keepNext w:val="0"/>
              <w:keepLines w:val="0"/>
              <w:pageBreakBefore w:val="0"/>
              <w:overflowPunct/>
              <w:topLinePunct w:val="0"/>
              <w:bidi w:val="0"/>
              <w:spacing w:line="240" w:lineRule="auto"/>
              <w:rPr>
                <w:color w:val="auto"/>
                <w:sz w:val="21"/>
                <w:szCs w:val="21"/>
                <w:highlight w:val="none"/>
              </w:rPr>
            </w:pPr>
            <w:r>
              <w:rPr>
                <w:color w:val="auto"/>
                <w:spacing w:val="-1"/>
                <w:sz w:val="21"/>
                <w:szCs w:val="21"/>
                <w:highlight w:val="none"/>
              </w:rPr>
              <w:t>经评审的投标价（评标价）合计</w:t>
            </w:r>
          </w:p>
        </w:tc>
        <w:tc>
          <w:tcPr>
            <w:tcW w:w="5031" w:type="dxa"/>
            <w:noWrap w:val="0"/>
            <w:vAlign w:val="top"/>
          </w:tcPr>
          <w:p>
            <w:pPr>
              <w:pStyle w:val="11"/>
              <w:keepNext w:val="0"/>
              <w:keepLines w:val="0"/>
              <w:pageBreakBefore w:val="0"/>
              <w:overflowPunct/>
              <w:topLinePunct w:val="0"/>
              <w:bidi w:val="0"/>
              <w:spacing w:line="240" w:lineRule="auto"/>
              <w:ind w:left="117" w:right="107" w:hanging="3"/>
              <w:rPr>
                <w:color w:val="auto"/>
                <w:sz w:val="21"/>
                <w:szCs w:val="21"/>
                <w:highlight w:val="none"/>
              </w:rPr>
            </w:pPr>
            <w:r>
              <w:rPr>
                <w:color w:val="auto"/>
                <w:spacing w:val="3"/>
                <w:sz w:val="21"/>
                <w:szCs w:val="21"/>
                <w:highlight w:val="none"/>
              </w:rPr>
              <w:t xml:space="preserve">=投标人报价+各项评审报价增加数-各项评审报价 </w:t>
            </w:r>
            <w:r>
              <w:rPr>
                <w:color w:val="auto"/>
                <w:spacing w:val="-2"/>
                <w:sz w:val="21"/>
                <w:szCs w:val="21"/>
                <w:highlight w:val="none"/>
              </w:rPr>
              <w:t>折减数</w:t>
            </w:r>
          </w:p>
        </w:tc>
      </w:tr>
    </w:tbl>
    <w:p>
      <w:pPr>
        <w:widowControl/>
        <w:numPr>
          <w:ilvl w:val="0"/>
          <w:numId w:val="2"/>
        </w:numPr>
        <w:spacing w:line="360" w:lineRule="auto"/>
        <w:ind w:firstLine="480" w:firstLineChars="200"/>
        <w:rPr>
          <w:rFonts w:hint="default" w:ascii="Times New Roman" w:hAnsi="Times New Roman"/>
          <w:kern w:val="0"/>
          <w:sz w:val="24"/>
          <w:szCs w:val="24"/>
          <w:highlight w:val="none"/>
        </w:rPr>
      </w:pPr>
      <w:r>
        <w:rPr>
          <w:rFonts w:hint="default" w:ascii="Times New Roman" w:hAnsi="Times New Roman"/>
          <w:kern w:val="0"/>
          <w:sz w:val="24"/>
          <w:szCs w:val="24"/>
          <w:highlight w:val="none"/>
        </w:rPr>
        <w:t>评标委员会认为投标人的报价明显低于其他投标报价，有可能影响工程质量或者不能诚信履约的，可以要求其澄清、说明是否低于成本价投标， 必要时应当要求其一并提交相关证明材料。投标人不能证明其报价合理性的， 评标委员会应当认定其以低于成本价竞标， 并否决其投标。</w:t>
      </w:r>
    </w:p>
    <w:p>
      <w:pPr>
        <w:widowControl/>
        <w:spacing w:line="360" w:lineRule="auto"/>
        <w:ind w:firstLine="482" w:firstLineChars="200"/>
        <w:outlineLvl w:val="2"/>
        <w:rPr>
          <w:rFonts w:ascii="Times New Roman" w:hAnsi="Times New Roman"/>
          <w:b/>
          <w:bCs/>
          <w:kern w:val="0"/>
          <w:sz w:val="24"/>
          <w:szCs w:val="24"/>
          <w:highlight w:val="none"/>
          <w:lang w:val="zh-CN"/>
        </w:rPr>
      </w:pPr>
      <w:r>
        <w:rPr>
          <w:rFonts w:hint="eastAsia" w:ascii="Times New Roman" w:hAnsi="Times New Roman"/>
          <w:b/>
          <w:bCs/>
          <w:kern w:val="0"/>
          <w:sz w:val="24"/>
          <w:szCs w:val="24"/>
          <w:highlight w:val="none"/>
          <w:lang w:val="zh-CN"/>
        </w:rPr>
        <w:t>五、综合评审</w:t>
      </w:r>
    </w:p>
    <w:p>
      <w:pPr>
        <w:widowControl/>
        <w:spacing w:line="360" w:lineRule="auto"/>
        <w:ind w:firstLine="480" w:firstLineChars="200"/>
        <w:rPr>
          <w:rFonts w:hint="default" w:ascii="Times New Roman" w:hAnsi="Times New Roman"/>
          <w:kern w:val="0"/>
          <w:sz w:val="24"/>
          <w:szCs w:val="24"/>
          <w:highlight w:val="none"/>
        </w:rPr>
      </w:pPr>
      <w:r>
        <w:rPr>
          <w:rFonts w:hint="eastAsia" w:ascii="Times New Roman" w:hAnsi="Times New Roman"/>
          <w:kern w:val="0"/>
          <w:sz w:val="24"/>
          <w:szCs w:val="24"/>
          <w:highlight w:val="none"/>
          <w:lang w:val="zh-CN"/>
        </w:rPr>
        <w:t>综合评审是对通过</w:t>
      </w:r>
      <w:r>
        <w:rPr>
          <w:rFonts w:hint="eastAsia" w:ascii="Times New Roman" w:hAnsi="Times New Roman"/>
          <w:kern w:val="0"/>
          <w:sz w:val="24"/>
          <w:szCs w:val="24"/>
          <w:highlight w:val="none"/>
        </w:rPr>
        <w:t>资格审查（平台系统核对）</w:t>
      </w:r>
      <w:r>
        <w:rPr>
          <w:rFonts w:hint="eastAsia" w:ascii="Times New Roman" w:hAnsi="Times New Roman"/>
          <w:kern w:val="0"/>
          <w:sz w:val="24"/>
          <w:szCs w:val="24"/>
          <w:highlight w:val="none"/>
          <w:lang w:eastAsia="zh-CN"/>
        </w:rPr>
        <w:t>、详细评审</w:t>
      </w:r>
      <w:r>
        <w:rPr>
          <w:rFonts w:hint="eastAsia" w:ascii="Times New Roman" w:hAnsi="Times New Roman"/>
          <w:kern w:val="0"/>
          <w:sz w:val="24"/>
          <w:szCs w:val="24"/>
          <w:highlight w:val="none"/>
          <w:lang w:val="zh-CN"/>
        </w:rPr>
        <w:t>的拟推荐为中标候选人的投标人进行其他内容的综合评审</w:t>
      </w:r>
      <w:r>
        <w:rPr>
          <w:rFonts w:hint="eastAsia" w:ascii="Times New Roman" w:hAnsi="Times New Roman"/>
          <w:kern w:val="0"/>
          <w:sz w:val="24"/>
          <w:szCs w:val="24"/>
          <w:highlight w:val="none"/>
        </w:rPr>
        <w:t>，投标人存在投标须知前附表</w:t>
      </w:r>
      <w:r>
        <w:rPr>
          <w:rFonts w:ascii="Times New Roman" w:hAnsi="Times New Roman"/>
          <w:kern w:val="0"/>
          <w:sz w:val="24"/>
          <w:szCs w:val="24"/>
          <w:highlight w:val="none"/>
        </w:rPr>
        <w:t>10.5</w:t>
      </w:r>
      <w:r>
        <w:rPr>
          <w:rFonts w:hint="eastAsia" w:ascii="Times New Roman" w:hAnsi="Times New Roman"/>
          <w:kern w:val="0"/>
          <w:sz w:val="24"/>
          <w:szCs w:val="24"/>
          <w:highlight w:val="none"/>
        </w:rPr>
        <w:t>情形之一</w:t>
      </w:r>
      <w:r>
        <w:rPr>
          <w:rFonts w:hint="eastAsia" w:ascii="Times New Roman" w:hAnsi="Times New Roman"/>
          <w:kern w:val="0"/>
          <w:sz w:val="24"/>
          <w:szCs w:val="24"/>
          <w:highlight w:val="none"/>
          <w:lang w:eastAsia="zh-CN"/>
        </w:rPr>
        <w:t>（其他）</w:t>
      </w:r>
      <w:r>
        <w:rPr>
          <w:rFonts w:hint="eastAsia" w:ascii="Times New Roman" w:hAnsi="Times New Roman"/>
          <w:kern w:val="0"/>
          <w:sz w:val="24"/>
          <w:szCs w:val="24"/>
          <w:highlight w:val="none"/>
        </w:rPr>
        <w:t>的，评标委员会组织投标人询问核实后，情况属实的，综合评审不予通过，否决其投标。</w:t>
      </w:r>
    </w:p>
    <w:p>
      <w:pPr>
        <w:widowControl/>
        <w:spacing w:line="360" w:lineRule="auto"/>
        <w:ind w:firstLine="482" w:firstLineChars="200"/>
        <w:outlineLvl w:val="2"/>
        <w:rPr>
          <w:rFonts w:hint="eastAsia" w:ascii="Times New Roman" w:hAnsi="Times New Roman"/>
          <w:b/>
          <w:bCs/>
          <w:kern w:val="0"/>
          <w:sz w:val="24"/>
          <w:szCs w:val="24"/>
          <w:highlight w:val="none"/>
          <w:lang w:val="zh-CN"/>
        </w:rPr>
      </w:pPr>
      <w:r>
        <w:rPr>
          <w:rFonts w:hint="eastAsia" w:ascii="Times New Roman" w:hAnsi="Times New Roman"/>
          <w:b/>
          <w:bCs/>
          <w:kern w:val="0"/>
          <w:sz w:val="24"/>
          <w:szCs w:val="24"/>
          <w:highlight w:val="none"/>
          <w:lang w:val="zh-CN"/>
        </w:rPr>
        <w:t>六、推荐中标候选人</w:t>
      </w:r>
    </w:p>
    <w:p>
      <w:pPr>
        <w:widowControl/>
        <w:spacing w:line="360" w:lineRule="auto"/>
        <w:ind w:firstLine="480" w:firstLineChars="200"/>
        <w:outlineLvl w:val="2"/>
        <w:rPr>
          <w:rFonts w:hint="eastAsia" w:ascii="Times New Roman" w:hAnsi="Times New Roman"/>
          <w:b/>
          <w:bCs/>
          <w:kern w:val="0"/>
          <w:sz w:val="24"/>
          <w:szCs w:val="24"/>
          <w:highlight w:val="none"/>
          <w:lang w:val="zh-CN"/>
        </w:rPr>
      </w:pPr>
      <w:r>
        <w:rPr>
          <w:rFonts w:hint="eastAsia" w:ascii="Times New Roman" w:hAnsi="Times New Roman"/>
          <w:kern w:val="0"/>
          <w:sz w:val="24"/>
          <w:szCs w:val="24"/>
          <w:highlight w:val="none"/>
        </w:rPr>
        <w:t>评标委员会对通过综合评审的投标人按投标报价从低到高进行排序，并按照排序推荐中标候选人。如投标报价相同的</w:t>
      </w:r>
      <w:r>
        <w:rPr>
          <w:rFonts w:hint="eastAsia" w:ascii="Times New Roman" w:hAnsi="Times New Roman"/>
          <w:color w:val="0000FF"/>
          <w:kern w:val="0"/>
          <w:sz w:val="24"/>
          <w:szCs w:val="24"/>
          <w:highlight w:val="none"/>
          <w:u w:val="single"/>
        </w:rPr>
        <w:t xml:space="preserve"> (在招标文件中明确确定方式)</w:t>
      </w:r>
      <w:r>
        <w:rPr>
          <w:rFonts w:hint="eastAsia" w:ascii="Times New Roman" w:hAnsi="Times New Roman"/>
          <w:color w:val="0000FF"/>
          <w:kern w:val="0"/>
          <w:sz w:val="24"/>
          <w:szCs w:val="24"/>
          <w:highlight w:val="none"/>
        </w:rPr>
        <w:t xml:space="preserve"> </w:t>
      </w:r>
      <w:r>
        <w:rPr>
          <w:rFonts w:hint="eastAsia" w:ascii="Times New Roman" w:hAnsi="Times New Roman"/>
          <w:kern w:val="0"/>
          <w:sz w:val="24"/>
          <w:szCs w:val="24"/>
          <w:highlight w:val="none"/>
        </w:rPr>
        <w:t>。</w:t>
      </w:r>
    </w:p>
    <w:p>
      <w:pPr>
        <w:widowControl/>
        <w:spacing w:line="360" w:lineRule="auto"/>
        <w:ind w:firstLine="480" w:firstLineChars="200"/>
        <w:rPr>
          <w:rFonts w:hint="eastAsia" w:ascii="Times New Roman" w:hAnsi="Times New Roman"/>
          <w:kern w:val="0"/>
          <w:sz w:val="24"/>
          <w:szCs w:val="24"/>
          <w:highlight w:val="none"/>
          <w:lang w:val="zh-CN"/>
        </w:rPr>
      </w:pPr>
      <w:bookmarkStart w:id="31" w:name="_GoBack"/>
      <w:r>
        <w:rPr>
          <w:rFonts w:hint="eastAsia" w:ascii="Times New Roman" w:hAnsi="Times New Roman"/>
          <w:kern w:val="0"/>
          <w:sz w:val="24"/>
          <w:szCs w:val="24"/>
          <w:highlight w:val="none"/>
          <w:lang w:val="zh-CN"/>
        </w:rPr>
        <w:t>评标委员会对拟确定的推荐中标候选人和其拟派项目负责人，是否列入失信被执行人名单及在本招标文件（招标公告）规定时间范围内是否有贿赂犯罪记录</w:t>
      </w:r>
      <w:r>
        <w:rPr>
          <w:rFonts w:hint="eastAsia" w:ascii="Times New Roman" w:hAnsi="Times New Roman"/>
          <w:kern w:val="0"/>
          <w:sz w:val="24"/>
          <w:szCs w:val="24"/>
          <w:highlight w:val="none"/>
          <w:lang w:val="zh-CN" w:eastAsia="zh-CN"/>
        </w:rPr>
        <w:t>；</w:t>
      </w:r>
      <w:r>
        <w:rPr>
          <w:rFonts w:hint="eastAsia" w:ascii="Times New Roman" w:hAnsi="Times New Roman"/>
          <w:kern w:val="0"/>
          <w:sz w:val="24"/>
          <w:szCs w:val="24"/>
          <w:highlight w:val="none"/>
          <w:lang w:val="en-US" w:eastAsia="zh-CN"/>
        </w:rPr>
        <w:t>是否</w:t>
      </w:r>
      <w:r>
        <w:rPr>
          <w:rFonts w:hint="default" w:ascii="Times New Roman" w:hAnsi="Times New Roman"/>
          <w:kern w:val="0"/>
          <w:sz w:val="24"/>
          <w:szCs w:val="24"/>
          <w:highlight w:val="none"/>
          <w:lang w:val="en-US" w:eastAsia="zh-CN"/>
        </w:rPr>
        <w:t>被列入建筑市场严重失信名单的</w:t>
      </w:r>
      <w:r>
        <w:rPr>
          <w:rFonts w:hint="eastAsia" w:ascii="Times New Roman" w:hAnsi="Times New Roman"/>
          <w:kern w:val="0"/>
          <w:sz w:val="24"/>
          <w:szCs w:val="24"/>
          <w:highlight w:val="none"/>
          <w:lang w:val="en-US" w:eastAsia="zh-CN"/>
        </w:rPr>
        <w:t>、是否被市场监督管理机关在全国企业信用信息公示系统中列入严重违法失信企业名单的、是否被人力资源社会保障行政部门列入失信联合惩戒名单（有效期内）的</w:t>
      </w:r>
      <w:r>
        <w:rPr>
          <w:rFonts w:hint="eastAsia" w:ascii="Times New Roman" w:hAnsi="Times New Roman"/>
          <w:kern w:val="0"/>
          <w:sz w:val="24"/>
          <w:szCs w:val="24"/>
          <w:highlight w:val="none"/>
          <w:lang w:val="zh-CN"/>
        </w:rPr>
        <w:t>情形进行查验。如查实存在的，则取消其中标候选人资格。</w:t>
      </w:r>
    </w:p>
    <w:p>
      <w:pPr>
        <w:widowControl/>
        <w:spacing w:line="360" w:lineRule="auto"/>
        <w:ind w:firstLine="480" w:firstLineChars="200"/>
        <w:rPr>
          <w:rFonts w:hint="eastAsia" w:ascii="Times New Roman" w:hAnsi="Times New Roman"/>
          <w:kern w:val="0"/>
          <w:sz w:val="24"/>
          <w:szCs w:val="24"/>
          <w:highlight w:val="none"/>
          <w:lang w:val="zh-CN"/>
        </w:rPr>
      </w:pPr>
      <w:r>
        <w:rPr>
          <w:rFonts w:hint="eastAsia" w:ascii="Times New Roman" w:hAnsi="Times New Roman"/>
          <w:kern w:val="0"/>
          <w:sz w:val="24"/>
          <w:szCs w:val="24"/>
          <w:highlight w:val="none"/>
          <w:lang w:val="zh-CN"/>
        </w:rPr>
        <w:t>当有效投标人＜3</w:t>
      </w:r>
      <w:r>
        <w:rPr>
          <w:rFonts w:hint="eastAsia" w:ascii="Times New Roman" w:hAnsi="Times New Roman"/>
          <w:kern w:val="0"/>
          <w:sz w:val="24"/>
          <w:szCs w:val="24"/>
          <w:highlight w:val="none"/>
          <w:lang w:val="zh-CN"/>
        </w:rPr>
        <w:t>家时，评标委员会应判定本次投标是否具有竞争力。若评标委员会认为本次投标明显缺乏竞争的，可以否决全部投标。</w:t>
      </w:r>
    </w:p>
    <w:bookmarkEnd w:id="31"/>
    <w:p>
      <w:pPr>
        <w:pStyle w:val="10"/>
        <w:adjustRightInd w:val="0"/>
        <w:snapToGrid w:val="0"/>
        <w:spacing w:line="360" w:lineRule="auto"/>
        <w:ind w:firstLine="480" w:firstLineChars="200"/>
        <w:jc w:val="both"/>
        <w:rPr>
          <w:rFonts w:hint="eastAsia" w:ascii="Times New Roman" w:hAnsi="Times New Roman"/>
          <w:color w:val="FF0000"/>
          <w:kern w:val="0"/>
          <w:sz w:val="24"/>
          <w:szCs w:val="24"/>
          <w:highlight w:val="none"/>
          <w:lang w:val="en-US" w:eastAsia="zh-CN"/>
        </w:rPr>
      </w:pPr>
    </w:p>
    <w:p>
      <w:pPr>
        <w:pStyle w:val="9"/>
        <w:pageBreakBefore/>
        <w:ind w:firstLine="482"/>
        <w:jc w:val="both"/>
        <w:outlineLvl w:val="1"/>
        <w:rPr>
          <w:highlight w:val="none"/>
        </w:rPr>
      </w:pPr>
      <w:bookmarkStart w:id="11" w:name="EBcbf91908088942ec977fbd4e3856ccd3"/>
      <w:bookmarkEnd w:id="11"/>
      <w:r>
        <w:rPr>
          <w:rFonts w:ascii="宋体" w:hAnsi="宋体"/>
          <w:b/>
          <w:bCs/>
          <w:color w:val="auto"/>
          <w:sz w:val="28"/>
          <w:szCs w:val="28"/>
          <w:highlight w:val="none"/>
        </w:rPr>
        <w:t>□</w:t>
      </w:r>
      <w:r>
        <w:rPr>
          <w:rFonts w:hint="eastAsia"/>
          <w:highlight w:val="none"/>
        </w:rPr>
        <w:t>评标办法（</w:t>
      </w:r>
      <w:r>
        <w:rPr>
          <w:rFonts w:hint="eastAsia"/>
          <w:highlight w:val="none"/>
          <w:lang w:eastAsia="zh-CN"/>
        </w:rPr>
        <w:t>三</w:t>
      </w:r>
      <w:r>
        <w:rPr>
          <w:rFonts w:hint="eastAsia"/>
          <w:highlight w:val="none"/>
        </w:rPr>
        <w:t>）</w:t>
      </w:r>
    </w:p>
    <w:p>
      <w:pPr>
        <w:spacing w:line="360" w:lineRule="auto"/>
        <w:ind w:firstLine="562" w:firstLineChars="200"/>
        <w:jc w:val="center"/>
        <w:outlineLvl w:val="2"/>
        <w:rPr>
          <w:rFonts w:hint="eastAsia" w:ascii="黑体" w:hAnsi="黑体" w:eastAsia="黑体" w:cs="黑体"/>
          <w:b/>
          <w:sz w:val="28"/>
          <w:szCs w:val="28"/>
          <w:highlight w:val="none"/>
        </w:rPr>
      </w:pPr>
      <w:r>
        <w:rPr>
          <w:rFonts w:hint="eastAsia" w:ascii="黑体" w:hAnsi="黑体" w:eastAsia="黑体" w:cs="黑体"/>
          <w:b/>
          <w:sz w:val="28"/>
          <w:szCs w:val="28"/>
          <w:highlight w:val="none"/>
        </w:rPr>
        <w:t>技术标通过制的综合评估法</w:t>
      </w:r>
    </w:p>
    <w:p>
      <w:pPr>
        <w:snapToGrid w:val="0"/>
        <w:spacing w:line="360" w:lineRule="auto"/>
        <w:ind w:firstLine="480" w:firstLineChars="200"/>
        <w:rPr>
          <w:rFonts w:hint="eastAsia" w:ascii="Times New Roman" w:hAnsi="Times New Roman"/>
          <w:bCs/>
          <w:sz w:val="24"/>
          <w:szCs w:val="24"/>
          <w:highlight w:val="none"/>
        </w:rPr>
      </w:pPr>
      <w:r>
        <w:rPr>
          <w:rFonts w:hint="eastAsia" w:ascii="Times New Roman" w:hAnsi="Times New Roman"/>
          <w:bCs/>
          <w:sz w:val="24"/>
          <w:szCs w:val="24"/>
          <w:highlight w:val="none"/>
        </w:rPr>
        <w:t>技术标通过制的综合评估法，适用于一般房屋建筑和市政基础设施工程施工招标</w:t>
      </w:r>
      <w:r>
        <w:rPr>
          <w:rFonts w:hint="eastAsia" w:ascii="Times New Roman" w:hAnsi="Times New Roman"/>
          <w:bCs/>
          <w:sz w:val="24"/>
          <w:szCs w:val="24"/>
          <w:highlight w:val="none"/>
          <w:lang w:eastAsia="zh-CN"/>
        </w:rPr>
        <w:t>及一般专业工程招标</w:t>
      </w:r>
      <w:r>
        <w:rPr>
          <w:rFonts w:hint="eastAsia" w:ascii="Times New Roman" w:hAnsi="Times New Roman"/>
          <w:bCs/>
          <w:sz w:val="24"/>
          <w:szCs w:val="24"/>
          <w:highlight w:val="none"/>
        </w:rPr>
        <w:t>（包括适用于经评审的最低投标价法的工程）。评标应遵循公平、公正、科学、择优的原则。</w:t>
      </w:r>
    </w:p>
    <w:p>
      <w:pPr>
        <w:snapToGrid w:val="0"/>
        <w:spacing w:line="360" w:lineRule="auto"/>
        <w:ind w:firstLine="480" w:firstLineChars="200"/>
        <w:rPr>
          <w:rFonts w:hint="eastAsia" w:ascii="Times New Roman" w:hAnsi="Times New Roman"/>
          <w:bCs/>
          <w:sz w:val="24"/>
          <w:szCs w:val="24"/>
          <w:highlight w:val="none"/>
        </w:rPr>
      </w:pPr>
      <w:r>
        <w:rPr>
          <w:rFonts w:hint="eastAsia" w:ascii="Times New Roman" w:hAnsi="Times New Roman"/>
          <w:bCs/>
          <w:sz w:val="24"/>
          <w:szCs w:val="24"/>
          <w:highlight w:val="none"/>
          <w:lang w:eastAsia="zh-CN"/>
        </w:rPr>
        <w:t>专业承包工程不应用企业信用等级，</w:t>
      </w:r>
      <w:r>
        <w:rPr>
          <w:rFonts w:hint="eastAsia" w:ascii="Times New Roman" w:hAnsi="Times New Roman"/>
          <w:bCs/>
          <w:sz w:val="24"/>
          <w:szCs w:val="24"/>
          <w:highlight w:val="none"/>
          <w:lang w:val="en-US" w:eastAsia="zh-CN"/>
        </w:rPr>
        <w:t>采用随机抽取的方式进行入围</w:t>
      </w:r>
      <w:r>
        <w:rPr>
          <w:rFonts w:hint="eastAsia" w:ascii="Times New Roman" w:hAnsi="Times New Roman"/>
          <w:bCs/>
          <w:sz w:val="24"/>
          <w:szCs w:val="24"/>
          <w:highlight w:val="none"/>
          <w:lang w:eastAsia="zh-CN"/>
        </w:rPr>
        <w:t>，入围家数由招标人根据项目情况确定，原则上不少于</w:t>
      </w:r>
      <w:r>
        <w:rPr>
          <w:rFonts w:hint="eastAsia" w:ascii="Times New Roman" w:hAnsi="Times New Roman"/>
          <w:bCs/>
          <w:sz w:val="24"/>
          <w:szCs w:val="24"/>
          <w:highlight w:val="none"/>
          <w:lang w:val="en-US" w:eastAsia="zh-CN"/>
        </w:rPr>
        <w:t>15家。</w:t>
      </w:r>
    </w:p>
    <w:p>
      <w:pPr>
        <w:snapToGrid w:val="0"/>
        <w:spacing w:line="360" w:lineRule="auto"/>
        <w:ind w:firstLine="480" w:firstLineChars="200"/>
        <w:rPr>
          <w:rFonts w:hint="eastAsia" w:ascii="Times New Roman" w:hAnsi="Times New Roman" w:eastAsia="宋体"/>
          <w:bCs/>
          <w:sz w:val="24"/>
          <w:szCs w:val="24"/>
          <w:highlight w:val="none"/>
        </w:rPr>
      </w:pPr>
      <w:r>
        <w:rPr>
          <w:rFonts w:hint="eastAsia" w:ascii="Times New Roman" w:hAnsi="Times New Roman"/>
          <w:bCs/>
          <w:sz w:val="24"/>
          <w:szCs w:val="24"/>
          <w:highlight w:val="none"/>
        </w:rPr>
        <w:t>技术标通过制的综合评估法应先对投标人进行资格审查，已通过资格审查的投标人报价按规定的方法进入评审区间，对评审区间内的投标人进行商务标评审</w:t>
      </w:r>
      <w:r>
        <w:rPr>
          <w:rFonts w:hint="eastAsia" w:ascii="Times New Roman" w:hAnsi="Times New Roman" w:eastAsia="宋体"/>
          <w:bCs/>
          <w:sz w:val="24"/>
          <w:szCs w:val="24"/>
          <w:highlight w:val="none"/>
        </w:rPr>
        <w:t>、陈述答辩</w:t>
      </w:r>
      <w:r>
        <w:rPr>
          <w:rFonts w:hint="eastAsia" w:ascii="Times New Roman" w:hAnsi="Times New Roman" w:eastAsia="宋体"/>
          <w:bCs/>
          <w:sz w:val="24"/>
          <w:szCs w:val="24"/>
          <w:highlight w:val="none"/>
          <w:lang w:val="en-US" w:eastAsia="zh-CN"/>
        </w:rPr>
        <w:t>(若有)</w:t>
      </w:r>
      <w:r>
        <w:rPr>
          <w:rFonts w:hint="eastAsia" w:ascii="Times New Roman" w:hAnsi="Times New Roman" w:eastAsia="宋体"/>
          <w:bCs/>
          <w:sz w:val="24"/>
          <w:szCs w:val="24"/>
          <w:highlight w:val="none"/>
        </w:rPr>
        <w:t>、资信评审和综合评审。</w:t>
      </w:r>
    </w:p>
    <w:p>
      <w:pPr>
        <w:snapToGrid w:val="0"/>
        <w:spacing w:line="360" w:lineRule="auto"/>
        <w:ind w:firstLine="480" w:firstLineChars="200"/>
        <w:rPr>
          <w:rFonts w:hint="default" w:ascii="Times New Roman" w:hAnsi="Times New Roman" w:eastAsia="宋体"/>
          <w:bCs/>
          <w:sz w:val="24"/>
          <w:szCs w:val="24"/>
          <w:highlight w:val="none"/>
          <w:lang w:val="en-US" w:eastAsia="zh-CN"/>
        </w:rPr>
      </w:pPr>
      <w:r>
        <w:rPr>
          <w:rFonts w:hint="eastAsia" w:ascii="Times New Roman" w:hAnsi="Times New Roman" w:eastAsia="宋体"/>
          <w:bCs/>
          <w:sz w:val="24"/>
          <w:szCs w:val="24"/>
          <w:highlight w:val="none"/>
          <w:lang w:val="en-US" w:eastAsia="zh-CN"/>
        </w:rPr>
        <w:t>招标人可自主选择是否采用陈述和答辩，并在招标文件中明确。</w:t>
      </w:r>
    </w:p>
    <w:p>
      <w:pPr>
        <w:snapToGrid w:val="0"/>
        <w:spacing w:line="360" w:lineRule="auto"/>
        <w:ind w:firstLine="420" w:firstLineChars="200"/>
        <w:rPr>
          <w:rFonts w:hint="eastAsia" w:ascii="Times New Roman" w:hAnsi="Times New Roman" w:eastAsia="宋体"/>
          <w:bCs/>
          <w:sz w:val="24"/>
          <w:szCs w:val="24"/>
          <w:highlight w:val="none"/>
        </w:rPr>
      </w:pPr>
      <w:r>
        <w:rPr>
          <w:rFonts w:hint="eastAsia" w:ascii="宋体" w:cs="宋体"/>
          <w:highlight w:val="none"/>
        </w:rPr>
        <w:t>□</w:t>
      </w:r>
      <w:r>
        <w:rPr>
          <w:rFonts w:hint="eastAsia" w:ascii="Times New Roman" w:hAnsi="Times New Roman" w:eastAsia="宋体"/>
          <w:bCs/>
          <w:sz w:val="24"/>
          <w:szCs w:val="24"/>
          <w:highlight w:val="none"/>
          <w:lang w:eastAsia="zh-CN"/>
        </w:rPr>
        <w:t>采用陈述和答辩环节的：</w:t>
      </w:r>
      <w:r>
        <w:rPr>
          <w:rFonts w:hint="eastAsia" w:ascii="Times New Roman" w:hAnsi="Times New Roman" w:eastAsia="宋体"/>
          <w:bCs/>
          <w:sz w:val="24"/>
          <w:szCs w:val="24"/>
          <w:highlight w:val="none"/>
        </w:rPr>
        <w:t>总分=商务标评分9</w:t>
      </w:r>
      <w:r>
        <w:rPr>
          <w:rFonts w:hint="eastAsia" w:ascii="Times New Roman" w:hAnsi="Times New Roman" w:eastAsia="宋体"/>
          <w:bCs/>
          <w:sz w:val="24"/>
          <w:szCs w:val="24"/>
          <w:highlight w:val="none"/>
          <w:lang w:val="en-US" w:eastAsia="zh-CN"/>
        </w:rPr>
        <w:t>2</w:t>
      </w:r>
      <w:r>
        <w:rPr>
          <w:rFonts w:hint="eastAsia" w:ascii="Times New Roman" w:hAnsi="Times New Roman" w:eastAsia="宋体"/>
          <w:bCs/>
          <w:sz w:val="24"/>
          <w:szCs w:val="24"/>
          <w:highlight w:val="none"/>
        </w:rPr>
        <w:t>分+资信评分</w:t>
      </w:r>
      <w:r>
        <w:rPr>
          <w:rFonts w:hint="eastAsia" w:ascii="Times New Roman" w:hAnsi="Times New Roman" w:eastAsia="宋体"/>
          <w:bCs/>
          <w:sz w:val="24"/>
          <w:szCs w:val="24"/>
          <w:highlight w:val="none"/>
          <w:lang w:val="en-US" w:eastAsia="zh-CN"/>
        </w:rPr>
        <w:t>5</w:t>
      </w:r>
      <w:r>
        <w:rPr>
          <w:rFonts w:hint="eastAsia" w:ascii="Times New Roman" w:hAnsi="Times New Roman" w:eastAsia="宋体"/>
          <w:bCs/>
          <w:sz w:val="24"/>
          <w:szCs w:val="24"/>
          <w:highlight w:val="none"/>
        </w:rPr>
        <w:t>分+答辩和陈述分3分</w:t>
      </w:r>
    </w:p>
    <w:p>
      <w:pPr>
        <w:snapToGrid w:val="0"/>
        <w:spacing w:line="360" w:lineRule="auto"/>
        <w:ind w:firstLine="480" w:firstLineChars="200"/>
        <w:rPr>
          <w:rFonts w:hint="eastAsia" w:ascii="Times New Roman" w:hAnsi="Times New Roman" w:eastAsia="宋体"/>
          <w:bCs/>
          <w:sz w:val="24"/>
          <w:szCs w:val="24"/>
          <w:highlight w:val="none"/>
          <w:lang w:val="en-US" w:eastAsia="zh-CN"/>
        </w:rPr>
      </w:pPr>
      <w:r>
        <w:rPr>
          <w:rFonts w:hint="eastAsia" w:ascii="Times New Roman" w:hAnsi="Times New Roman" w:eastAsia="宋体"/>
          <w:bCs/>
          <w:sz w:val="24"/>
          <w:szCs w:val="24"/>
          <w:highlight w:val="none"/>
        </w:rPr>
        <w:t>□</w:t>
      </w:r>
      <w:r>
        <w:rPr>
          <w:rFonts w:hint="eastAsia" w:ascii="Times New Roman" w:hAnsi="Times New Roman" w:eastAsia="宋体"/>
          <w:bCs/>
          <w:sz w:val="24"/>
          <w:szCs w:val="24"/>
          <w:highlight w:val="none"/>
          <w:lang w:eastAsia="zh-CN"/>
        </w:rPr>
        <w:t>不采用陈述和答辩环节的：</w:t>
      </w:r>
      <w:r>
        <w:rPr>
          <w:rFonts w:hint="eastAsia" w:ascii="Times New Roman" w:hAnsi="Times New Roman" w:eastAsia="宋体"/>
          <w:bCs/>
          <w:sz w:val="24"/>
          <w:szCs w:val="24"/>
          <w:highlight w:val="none"/>
        </w:rPr>
        <w:t>总分=商务标评分9</w:t>
      </w:r>
      <w:r>
        <w:rPr>
          <w:rFonts w:hint="eastAsia" w:ascii="Times New Roman" w:hAnsi="Times New Roman" w:eastAsia="宋体"/>
          <w:bCs/>
          <w:sz w:val="24"/>
          <w:szCs w:val="24"/>
          <w:highlight w:val="none"/>
          <w:lang w:val="en-US" w:eastAsia="zh-CN"/>
        </w:rPr>
        <w:t>5</w:t>
      </w:r>
      <w:r>
        <w:rPr>
          <w:rFonts w:hint="eastAsia" w:ascii="Times New Roman" w:hAnsi="Times New Roman" w:eastAsia="宋体"/>
          <w:bCs/>
          <w:sz w:val="24"/>
          <w:szCs w:val="24"/>
          <w:highlight w:val="none"/>
        </w:rPr>
        <w:t>分</w:t>
      </w:r>
      <w:r>
        <w:rPr>
          <w:rFonts w:hint="eastAsia" w:ascii="Times New Roman" w:hAnsi="Times New Roman" w:eastAsia="宋体"/>
          <w:bCs/>
          <w:sz w:val="24"/>
          <w:szCs w:val="24"/>
          <w:highlight w:val="none"/>
          <w:lang w:eastAsia="zh-CN"/>
        </w:rPr>
        <w:t>（</w:t>
      </w:r>
      <w:r>
        <w:rPr>
          <w:rFonts w:hint="eastAsia" w:ascii="Times New Roman" w:hAnsi="Times New Roman"/>
          <w:kern w:val="0"/>
          <w:sz w:val="24"/>
          <w:szCs w:val="24"/>
          <w:highlight w:val="none"/>
          <w:lang w:val="zh-CN"/>
        </w:rPr>
        <w:t>清单综合单价评审</w:t>
      </w:r>
      <w:r>
        <w:rPr>
          <w:rFonts w:hint="eastAsia" w:ascii="Times New Roman" w:hAnsi="Times New Roman"/>
          <w:kern w:val="0"/>
          <w:sz w:val="24"/>
          <w:szCs w:val="24"/>
          <w:highlight w:val="none"/>
          <w:lang w:val="en-US" w:eastAsia="zh-CN"/>
        </w:rPr>
        <w:t>5分+报价分90分</w:t>
      </w:r>
      <w:r>
        <w:rPr>
          <w:rFonts w:hint="eastAsia" w:ascii="Times New Roman" w:hAnsi="Times New Roman" w:eastAsia="宋体"/>
          <w:bCs/>
          <w:sz w:val="24"/>
          <w:szCs w:val="24"/>
          <w:highlight w:val="none"/>
          <w:lang w:eastAsia="zh-CN"/>
        </w:rPr>
        <w:t>）</w:t>
      </w:r>
      <w:r>
        <w:rPr>
          <w:rFonts w:hint="eastAsia" w:ascii="Times New Roman" w:hAnsi="Times New Roman" w:eastAsia="宋体"/>
          <w:bCs/>
          <w:sz w:val="24"/>
          <w:szCs w:val="24"/>
          <w:highlight w:val="none"/>
        </w:rPr>
        <w:t>+资信评分</w:t>
      </w:r>
      <w:r>
        <w:rPr>
          <w:rFonts w:hint="eastAsia" w:ascii="Times New Roman" w:hAnsi="Times New Roman" w:eastAsia="宋体"/>
          <w:bCs/>
          <w:sz w:val="24"/>
          <w:szCs w:val="24"/>
          <w:highlight w:val="none"/>
          <w:lang w:val="en-US" w:eastAsia="zh-CN"/>
        </w:rPr>
        <w:t>5</w:t>
      </w:r>
      <w:r>
        <w:rPr>
          <w:rFonts w:hint="eastAsia" w:ascii="Times New Roman" w:hAnsi="Times New Roman" w:eastAsia="宋体"/>
          <w:bCs/>
          <w:sz w:val="24"/>
          <w:szCs w:val="24"/>
          <w:highlight w:val="none"/>
        </w:rPr>
        <w:t>分</w:t>
      </w:r>
    </w:p>
    <w:p>
      <w:pPr>
        <w:snapToGrid w:val="0"/>
        <w:spacing w:line="360" w:lineRule="auto"/>
        <w:ind w:firstLine="480" w:firstLineChars="200"/>
        <w:rPr>
          <w:rFonts w:ascii="Times New Roman" w:hAnsi="Times New Roman"/>
          <w:bCs/>
          <w:highlight w:val="none"/>
          <w:u w:val="single"/>
        </w:rPr>
      </w:pPr>
      <w:r>
        <w:rPr>
          <w:rFonts w:hint="eastAsia" w:ascii="Times New Roman" w:hAnsi="Times New Roman" w:eastAsia="宋体"/>
          <w:bCs/>
          <w:sz w:val="24"/>
          <w:szCs w:val="24"/>
          <w:highlight w:val="none"/>
        </w:rPr>
        <w:t>评标工作由招标人依法组建的评标委员会负责</w:t>
      </w:r>
      <w:r>
        <w:rPr>
          <w:rFonts w:hint="eastAsia" w:ascii="Times New Roman" w:hAnsi="Times New Roman" w:eastAsia="宋体"/>
          <w:bCs/>
          <w:sz w:val="24"/>
          <w:szCs w:val="24"/>
          <w:highlight w:val="none"/>
          <w:lang w:eastAsia="zh-CN"/>
        </w:rPr>
        <w:t>。</w:t>
      </w:r>
      <w:r>
        <w:rPr>
          <w:rFonts w:hint="eastAsia" w:ascii="Times New Roman" w:hAnsi="Times New Roman" w:eastAsia="宋体"/>
          <w:b/>
          <w:bCs w:val="0"/>
          <w:sz w:val="24"/>
          <w:szCs w:val="24"/>
          <w:highlight w:val="none"/>
          <w:lang w:eastAsia="zh-CN"/>
        </w:rPr>
        <w:t>若设置陈述和答辩环节，</w:t>
      </w:r>
      <w:r>
        <w:rPr>
          <w:rFonts w:hint="eastAsia" w:ascii="Times New Roman" w:hAnsi="Times New Roman" w:eastAsia="宋体"/>
          <w:b/>
          <w:sz w:val="24"/>
          <w:szCs w:val="24"/>
          <w:highlight w:val="none"/>
        </w:rPr>
        <w:t>评标委员会</w:t>
      </w:r>
      <w:r>
        <w:rPr>
          <w:rFonts w:hint="eastAsia" w:ascii="Times New Roman" w:hAnsi="Times New Roman" w:eastAsia="宋体"/>
          <w:b/>
          <w:sz w:val="24"/>
          <w:szCs w:val="24"/>
          <w:highlight w:val="none"/>
          <w:lang w:eastAsia="zh-CN"/>
        </w:rPr>
        <w:t>需</w:t>
      </w:r>
      <w:r>
        <w:rPr>
          <w:rFonts w:hint="eastAsia" w:ascii="Times New Roman" w:hAnsi="Times New Roman" w:eastAsia="宋体"/>
          <w:b/>
          <w:sz w:val="24"/>
          <w:szCs w:val="24"/>
          <w:highlight w:val="none"/>
        </w:rPr>
        <w:t>设</w:t>
      </w:r>
      <w:r>
        <w:rPr>
          <w:rFonts w:hint="eastAsia" w:ascii="Times New Roman" w:hAnsi="Times New Roman"/>
          <w:b/>
          <w:sz w:val="24"/>
          <w:szCs w:val="24"/>
          <w:highlight w:val="none"/>
        </w:rPr>
        <w:t>商务专家组和技术专家组</w:t>
      </w:r>
      <w:r>
        <w:rPr>
          <w:rFonts w:hint="eastAsia" w:ascii="Times New Roman" w:hAnsi="Times New Roman"/>
          <w:bCs/>
          <w:sz w:val="24"/>
          <w:szCs w:val="24"/>
          <w:highlight w:val="none"/>
        </w:rPr>
        <w:t>，陈述答辩环节由技术专家组负责评审，评审小组如遇到有争议性的内容时，由评标委员会集体讨论决定。评标委员会成员为</w:t>
      </w:r>
      <w:bookmarkStart w:id="12" w:name="EBb274c51e24234205999150d3d2d0d479"/>
      <w:r>
        <w:rPr>
          <w:rFonts w:hint="eastAsia" w:ascii="Times New Roman" w:hAnsi="Times New Roman"/>
          <w:bCs/>
          <w:color w:val="0000FF"/>
          <w:sz w:val="24"/>
          <w:szCs w:val="24"/>
          <w:highlight w:val="none"/>
          <w:u w:val="single"/>
        </w:rPr>
        <w:t>（应根据法律法规及相关文件要求填写）</w:t>
      </w:r>
      <w:bookmarkEnd w:id="12"/>
      <w:r>
        <w:rPr>
          <w:rFonts w:hint="eastAsia" w:ascii="Times New Roman" w:hAnsi="Times New Roman"/>
          <w:bCs/>
          <w:sz w:val="24"/>
          <w:szCs w:val="24"/>
          <w:highlight w:val="none"/>
        </w:rPr>
        <w:t>。</w:t>
      </w:r>
    </w:p>
    <w:p>
      <w:pPr>
        <w:widowControl/>
        <w:tabs>
          <w:tab w:val="left" w:pos="9360"/>
        </w:tabs>
        <w:spacing w:line="360" w:lineRule="auto"/>
        <w:ind w:firstLine="480" w:firstLineChars="200"/>
        <w:rPr>
          <w:rFonts w:ascii="Times New Roman" w:hAnsi="Times New Roman"/>
          <w:kern w:val="0"/>
          <w:sz w:val="24"/>
          <w:szCs w:val="24"/>
          <w:highlight w:val="none"/>
          <w:lang w:val="zh-CN"/>
        </w:rPr>
      </w:pPr>
      <w:r>
        <w:rPr>
          <w:rFonts w:hint="eastAsia" w:ascii="Times New Roman" w:hAnsi="Times New Roman"/>
          <w:kern w:val="0"/>
          <w:sz w:val="24"/>
          <w:szCs w:val="24"/>
          <w:highlight w:val="none"/>
          <w:lang w:val="zh-CN"/>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pPr>
        <w:snapToGrid w:val="0"/>
        <w:spacing w:line="360" w:lineRule="auto"/>
        <w:ind w:firstLine="482" w:firstLineChars="200"/>
        <w:outlineLvl w:val="2"/>
        <w:rPr>
          <w:rFonts w:ascii="Times New Roman" w:hAnsi="Times New Roman"/>
          <w:b/>
          <w:sz w:val="24"/>
          <w:szCs w:val="24"/>
          <w:highlight w:val="none"/>
        </w:rPr>
      </w:pPr>
      <w:r>
        <w:rPr>
          <w:rFonts w:hint="eastAsia" w:ascii="Times New Roman" w:hAnsi="Times New Roman"/>
          <w:b/>
          <w:sz w:val="24"/>
          <w:szCs w:val="24"/>
          <w:highlight w:val="none"/>
        </w:rPr>
        <w:t>一、评标程序</w:t>
      </w:r>
    </w:p>
    <w:p>
      <w:pPr>
        <w:widowControl/>
        <w:tabs>
          <w:tab w:val="left" w:pos="9360"/>
        </w:tabs>
        <w:spacing w:line="360" w:lineRule="auto"/>
        <w:ind w:firstLine="480" w:firstLineChars="200"/>
        <w:rPr>
          <w:rFonts w:ascii="Times New Roman" w:hAnsi="Times New Roman"/>
          <w:kern w:val="0"/>
          <w:sz w:val="24"/>
          <w:szCs w:val="24"/>
          <w:highlight w:val="none"/>
          <w:lang w:val="zh-CN"/>
        </w:rPr>
      </w:pPr>
      <w:r>
        <w:rPr>
          <w:rFonts w:hint="eastAsia" w:ascii="Times New Roman" w:hAnsi="Times New Roman"/>
          <w:kern w:val="0"/>
          <w:sz w:val="24"/>
          <w:szCs w:val="24"/>
          <w:highlight w:val="none"/>
          <w:lang w:val="zh-CN"/>
        </w:rPr>
        <w:t>（一）资格审查</w:t>
      </w:r>
    </w:p>
    <w:p>
      <w:pPr>
        <w:widowControl/>
        <w:tabs>
          <w:tab w:val="left" w:pos="9360"/>
        </w:tabs>
        <w:spacing w:line="360" w:lineRule="auto"/>
        <w:ind w:firstLine="480" w:firstLineChars="200"/>
        <w:rPr>
          <w:rFonts w:ascii="Times New Roman" w:hAnsi="Times New Roman"/>
          <w:kern w:val="0"/>
          <w:sz w:val="24"/>
          <w:szCs w:val="24"/>
          <w:highlight w:val="none"/>
          <w:lang w:val="zh-CN"/>
        </w:rPr>
      </w:pPr>
      <w:r>
        <w:rPr>
          <w:rFonts w:hint="eastAsia" w:ascii="Times New Roman" w:hAnsi="Times New Roman"/>
          <w:kern w:val="0"/>
          <w:sz w:val="24"/>
          <w:szCs w:val="24"/>
          <w:highlight w:val="none"/>
          <w:lang w:val="zh-CN"/>
        </w:rPr>
        <w:t>（二）评审区间确定</w:t>
      </w:r>
    </w:p>
    <w:p>
      <w:pPr>
        <w:widowControl/>
        <w:tabs>
          <w:tab w:val="left" w:pos="9360"/>
        </w:tabs>
        <w:spacing w:line="360" w:lineRule="auto"/>
        <w:ind w:firstLine="480" w:firstLineChars="200"/>
        <w:rPr>
          <w:rFonts w:ascii="Times New Roman" w:hAnsi="Times New Roman"/>
          <w:kern w:val="0"/>
          <w:sz w:val="24"/>
          <w:szCs w:val="24"/>
          <w:highlight w:val="none"/>
          <w:lang w:val="zh-CN"/>
        </w:rPr>
      </w:pPr>
      <w:r>
        <w:rPr>
          <w:rFonts w:hint="eastAsia" w:ascii="Times New Roman" w:hAnsi="Times New Roman"/>
          <w:kern w:val="0"/>
          <w:sz w:val="24"/>
          <w:szCs w:val="24"/>
          <w:highlight w:val="none"/>
          <w:lang w:val="zh-CN"/>
        </w:rPr>
        <w:t>（三）商务标第一部分评审（商务专家组评审）</w:t>
      </w:r>
    </w:p>
    <w:p>
      <w:pPr>
        <w:widowControl/>
        <w:tabs>
          <w:tab w:val="left" w:pos="9360"/>
        </w:tabs>
        <w:spacing w:line="360" w:lineRule="auto"/>
        <w:ind w:firstLine="480" w:firstLineChars="200"/>
        <w:rPr>
          <w:rFonts w:ascii="Times New Roman" w:hAnsi="Times New Roman"/>
          <w:kern w:val="0"/>
          <w:sz w:val="24"/>
          <w:szCs w:val="24"/>
          <w:highlight w:val="none"/>
          <w:lang w:val="zh-CN"/>
        </w:rPr>
      </w:pPr>
      <w:r>
        <w:rPr>
          <w:rFonts w:hint="eastAsia" w:ascii="Times New Roman" w:hAnsi="Times New Roman"/>
          <w:kern w:val="0"/>
          <w:sz w:val="24"/>
          <w:szCs w:val="24"/>
          <w:highlight w:val="none"/>
          <w:lang w:val="zh-CN"/>
        </w:rPr>
        <w:t>（四）商务标第二部分评审（商务专家组评审）</w:t>
      </w:r>
    </w:p>
    <w:p>
      <w:pPr>
        <w:widowControl/>
        <w:tabs>
          <w:tab w:val="left" w:pos="9360"/>
        </w:tabs>
        <w:spacing w:line="360" w:lineRule="auto"/>
        <w:ind w:firstLine="480" w:firstLineChars="200"/>
        <w:rPr>
          <w:rFonts w:ascii="Times New Roman" w:hAnsi="Times New Roman"/>
          <w:kern w:val="0"/>
          <w:sz w:val="24"/>
          <w:szCs w:val="24"/>
          <w:highlight w:val="none"/>
          <w:lang w:val="zh-CN"/>
        </w:rPr>
      </w:pPr>
      <w:r>
        <w:rPr>
          <w:rFonts w:hint="eastAsia" w:ascii="Times New Roman" w:hAnsi="Times New Roman"/>
          <w:kern w:val="0"/>
          <w:sz w:val="24"/>
          <w:szCs w:val="24"/>
          <w:highlight w:val="none"/>
          <w:lang w:val="zh-CN"/>
        </w:rPr>
        <w:t>（五）</w:t>
      </w:r>
      <w:r>
        <w:rPr>
          <w:rFonts w:hint="eastAsia" w:ascii="宋体" w:cs="宋体"/>
          <w:highlight w:val="none"/>
        </w:rPr>
        <w:t>□</w:t>
      </w:r>
      <w:r>
        <w:rPr>
          <w:rFonts w:hint="eastAsia" w:ascii="Times New Roman" w:hAnsi="Times New Roman"/>
          <w:kern w:val="0"/>
          <w:sz w:val="24"/>
          <w:szCs w:val="24"/>
          <w:highlight w:val="none"/>
          <w:lang w:val="zh-CN"/>
        </w:rPr>
        <w:t>陈述和答辩（与商务标同步进行评审，技术专家组评审）</w:t>
      </w:r>
    </w:p>
    <w:p>
      <w:pPr>
        <w:widowControl/>
        <w:tabs>
          <w:tab w:val="left" w:pos="9360"/>
        </w:tabs>
        <w:spacing w:line="360" w:lineRule="auto"/>
        <w:ind w:firstLine="480" w:firstLineChars="200"/>
        <w:rPr>
          <w:rFonts w:ascii="Times New Roman" w:hAnsi="Times New Roman"/>
          <w:kern w:val="0"/>
          <w:sz w:val="24"/>
          <w:szCs w:val="24"/>
          <w:highlight w:val="none"/>
          <w:lang w:val="zh-CN"/>
        </w:rPr>
      </w:pPr>
      <w:r>
        <w:rPr>
          <w:rFonts w:hint="eastAsia" w:ascii="Times New Roman" w:hAnsi="Times New Roman"/>
          <w:kern w:val="0"/>
          <w:sz w:val="24"/>
          <w:szCs w:val="24"/>
          <w:highlight w:val="none"/>
          <w:lang w:val="zh-CN"/>
        </w:rPr>
        <w:t>（六）投标人资信分评审</w:t>
      </w:r>
    </w:p>
    <w:p>
      <w:pPr>
        <w:widowControl/>
        <w:tabs>
          <w:tab w:val="left" w:pos="9360"/>
        </w:tabs>
        <w:spacing w:line="360" w:lineRule="auto"/>
        <w:ind w:firstLine="480" w:firstLineChars="200"/>
        <w:rPr>
          <w:rFonts w:ascii="Times New Roman" w:hAnsi="Times New Roman"/>
          <w:kern w:val="0"/>
          <w:sz w:val="24"/>
          <w:szCs w:val="24"/>
          <w:highlight w:val="none"/>
          <w:lang w:val="zh-CN"/>
        </w:rPr>
      </w:pPr>
      <w:r>
        <w:rPr>
          <w:rFonts w:hint="eastAsia" w:ascii="Times New Roman" w:hAnsi="Times New Roman"/>
          <w:kern w:val="0"/>
          <w:sz w:val="24"/>
          <w:szCs w:val="24"/>
          <w:highlight w:val="none"/>
          <w:lang w:val="zh-CN"/>
        </w:rPr>
        <w:t>（七）综合评审</w:t>
      </w:r>
    </w:p>
    <w:p>
      <w:pPr>
        <w:widowControl/>
        <w:tabs>
          <w:tab w:val="left" w:pos="9360"/>
        </w:tabs>
        <w:spacing w:line="360" w:lineRule="auto"/>
        <w:ind w:firstLine="480" w:firstLineChars="200"/>
        <w:rPr>
          <w:rFonts w:ascii="Times New Roman" w:hAnsi="Times New Roman"/>
          <w:kern w:val="0"/>
          <w:sz w:val="24"/>
          <w:szCs w:val="24"/>
          <w:highlight w:val="none"/>
          <w:lang w:val="zh-CN"/>
        </w:rPr>
      </w:pPr>
      <w:r>
        <w:rPr>
          <w:rFonts w:hint="eastAsia" w:ascii="Times New Roman" w:hAnsi="Times New Roman"/>
          <w:kern w:val="0"/>
          <w:sz w:val="24"/>
          <w:szCs w:val="24"/>
          <w:highlight w:val="none"/>
          <w:lang w:val="zh-CN"/>
        </w:rPr>
        <w:t>（八）推荐中标候选人</w:t>
      </w:r>
    </w:p>
    <w:p>
      <w:pPr>
        <w:snapToGrid w:val="0"/>
        <w:spacing w:line="360" w:lineRule="auto"/>
        <w:ind w:firstLine="482" w:firstLineChars="200"/>
        <w:outlineLvl w:val="2"/>
        <w:rPr>
          <w:rFonts w:ascii="Times New Roman" w:hAnsi="Times New Roman"/>
          <w:b/>
          <w:sz w:val="24"/>
          <w:szCs w:val="24"/>
          <w:highlight w:val="none"/>
        </w:rPr>
      </w:pPr>
      <w:r>
        <w:rPr>
          <w:rFonts w:hint="eastAsia" w:ascii="Times New Roman" w:hAnsi="Times New Roman"/>
          <w:b/>
          <w:sz w:val="24"/>
          <w:szCs w:val="24"/>
          <w:highlight w:val="none"/>
        </w:rPr>
        <w:t>二、资格审查</w:t>
      </w:r>
    </w:p>
    <w:p>
      <w:pPr>
        <w:widowControl/>
        <w:tabs>
          <w:tab w:val="left" w:pos="9360"/>
        </w:tabs>
        <w:spacing w:line="360" w:lineRule="auto"/>
        <w:ind w:firstLine="480" w:firstLineChars="200"/>
        <w:rPr>
          <w:rFonts w:hint="eastAsia" w:ascii="Times New Roman" w:hAnsi="Times New Roman"/>
          <w:kern w:val="0"/>
          <w:sz w:val="24"/>
          <w:szCs w:val="24"/>
          <w:highlight w:val="none"/>
        </w:rPr>
      </w:pPr>
      <w:r>
        <w:rPr>
          <w:rFonts w:hint="eastAsia" w:ascii="Times New Roman" w:hAnsi="Times New Roman"/>
          <w:kern w:val="0"/>
          <w:sz w:val="24"/>
          <w:szCs w:val="24"/>
          <w:highlight w:val="none"/>
        </w:rPr>
        <w:t>评标委员会通过招投标平台系统对投标人的资格审查资料中涉及</w:t>
      </w:r>
      <w:r>
        <w:rPr>
          <w:rFonts w:ascii="Times New Roman" w:hAnsi="Times New Roman"/>
          <w:kern w:val="0"/>
          <w:sz w:val="24"/>
          <w:szCs w:val="24"/>
          <w:highlight w:val="none"/>
        </w:rPr>
        <w:t>“</w:t>
      </w:r>
      <w:r>
        <w:rPr>
          <w:rFonts w:hint="eastAsia" w:ascii="Times New Roman" w:hAnsi="Times New Roman"/>
          <w:kern w:val="0"/>
          <w:sz w:val="24"/>
          <w:szCs w:val="24"/>
          <w:highlight w:val="none"/>
        </w:rPr>
        <w:t>企业营业执照、资质证书、安全许可证</w:t>
      </w:r>
      <w:r>
        <w:rPr>
          <w:rFonts w:ascii="Times New Roman" w:hAnsi="Times New Roman"/>
          <w:kern w:val="0"/>
          <w:sz w:val="24"/>
          <w:szCs w:val="24"/>
          <w:highlight w:val="none"/>
        </w:rPr>
        <w:t>”</w:t>
      </w:r>
      <w:r>
        <w:rPr>
          <w:rFonts w:hint="eastAsia" w:ascii="Times New Roman" w:hAnsi="Times New Roman"/>
          <w:kern w:val="0"/>
          <w:sz w:val="24"/>
          <w:szCs w:val="24"/>
          <w:highlight w:val="none"/>
        </w:rPr>
        <w:t>进行核对，投标人投标文件中上述资料未通过系统平台企业诚信库导入或存在投标须知前附表</w:t>
      </w:r>
      <w:r>
        <w:rPr>
          <w:rFonts w:ascii="Times New Roman" w:hAnsi="Times New Roman"/>
          <w:kern w:val="0"/>
          <w:sz w:val="24"/>
          <w:szCs w:val="24"/>
          <w:highlight w:val="none"/>
        </w:rPr>
        <w:t>10.5</w:t>
      </w:r>
      <w:r>
        <w:rPr>
          <w:rFonts w:hint="eastAsia" w:ascii="Times New Roman" w:hAnsi="Times New Roman"/>
          <w:kern w:val="0"/>
          <w:sz w:val="24"/>
          <w:szCs w:val="24"/>
          <w:highlight w:val="none"/>
        </w:rPr>
        <w:t>情形</w:t>
      </w:r>
      <w:r>
        <w:rPr>
          <w:rFonts w:ascii="Times New Roman" w:hAnsi="Times New Roman"/>
          <w:kern w:val="0"/>
          <w:sz w:val="24"/>
          <w:szCs w:val="24"/>
          <w:highlight w:val="none"/>
        </w:rPr>
        <w:t>(</w:t>
      </w:r>
      <w:r>
        <w:rPr>
          <w:rFonts w:hint="eastAsia" w:ascii="Times New Roman" w:hAnsi="Times New Roman"/>
          <w:kern w:val="0"/>
          <w:sz w:val="24"/>
          <w:szCs w:val="24"/>
          <w:highlight w:val="none"/>
        </w:rPr>
        <w:t>资格审查内容</w:t>
      </w:r>
      <w:r>
        <w:rPr>
          <w:rFonts w:ascii="Times New Roman" w:hAnsi="Times New Roman"/>
          <w:kern w:val="0"/>
          <w:sz w:val="24"/>
          <w:szCs w:val="24"/>
          <w:highlight w:val="none"/>
        </w:rPr>
        <w:t>)</w:t>
      </w:r>
      <w:r>
        <w:rPr>
          <w:rFonts w:hint="eastAsia" w:ascii="Times New Roman" w:hAnsi="Times New Roman"/>
          <w:kern w:val="0"/>
          <w:sz w:val="24"/>
          <w:szCs w:val="24"/>
          <w:highlight w:val="none"/>
        </w:rPr>
        <w:t>的，评标委员会组织投标人询问核实后，情况属实的，资格审查不予通过，否决其投标。评标委员会核查投标人投标保证金递交情况，投标人未按招标文件要求递交投标保证金的，评标委员会组织投标人询问核实后，情况属实的，资格审查不予通过，否决其投标。</w:t>
      </w:r>
    </w:p>
    <w:p>
      <w:pPr>
        <w:widowControl/>
        <w:tabs>
          <w:tab w:val="left" w:pos="9360"/>
        </w:tabs>
        <w:spacing w:line="360" w:lineRule="auto"/>
        <w:ind w:firstLine="480" w:firstLineChars="200"/>
        <w:rPr>
          <w:rFonts w:hint="eastAsia" w:ascii="Times New Roman" w:hAnsi="Times New Roman"/>
          <w:color w:val="auto"/>
          <w:kern w:val="0"/>
          <w:sz w:val="24"/>
          <w:szCs w:val="24"/>
          <w:highlight w:val="none"/>
        </w:rPr>
      </w:pPr>
      <w:r>
        <w:rPr>
          <w:rFonts w:hint="eastAsia" w:ascii="Times New Roman" w:hAnsi="Times New Roman"/>
          <w:color w:val="auto"/>
          <w:kern w:val="0"/>
          <w:sz w:val="24"/>
          <w:szCs w:val="24"/>
          <w:highlight w:val="none"/>
          <w:lang w:val="en-US" w:eastAsia="zh-CN"/>
        </w:rPr>
        <w:t>评标委员会应审查投标人提供的“资质动态核查证明”，未按招标文件要求提供“资质动态核查证明”的或提供的“资质动态核查证明”不符合招标文件要求的，资格审查不予通过，否决其投标。</w:t>
      </w:r>
    </w:p>
    <w:p>
      <w:pPr>
        <w:snapToGrid w:val="0"/>
        <w:spacing w:line="360" w:lineRule="auto"/>
        <w:ind w:firstLine="482" w:firstLineChars="200"/>
        <w:outlineLvl w:val="2"/>
        <w:rPr>
          <w:rFonts w:ascii="Times New Roman" w:hAnsi="Times New Roman"/>
          <w:b/>
          <w:sz w:val="24"/>
          <w:szCs w:val="24"/>
          <w:highlight w:val="none"/>
        </w:rPr>
      </w:pPr>
      <w:r>
        <w:rPr>
          <w:rFonts w:hint="eastAsia" w:ascii="Times New Roman" w:hAnsi="Times New Roman"/>
          <w:b/>
          <w:sz w:val="24"/>
          <w:szCs w:val="24"/>
          <w:highlight w:val="none"/>
        </w:rPr>
        <w:t>三、评审区间确定</w:t>
      </w:r>
    </w:p>
    <w:p>
      <w:pPr>
        <w:widowControl/>
        <w:tabs>
          <w:tab w:val="left" w:pos="9360"/>
        </w:tabs>
        <w:spacing w:line="360" w:lineRule="auto"/>
        <w:ind w:firstLine="480" w:firstLineChars="200"/>
        <w:rPr>
          <w:rFonts w:ascii="Times New Roman" w:hAnsi="Times New Roman"/>
          <w:kern w:val="0"/>
          <w:sz w:val="24"/>
          <w:szCs w:val="24"/>
          <w:highlight w:val="none"/>
        </w:rPr>
      </w:pPr>
      <w:r>
        <w:rPr>
          <w:rFonts w:ascii="Times New Roman" w:hAnsi="Times New Roman"/>
          <w:kern w:val="0"/>
          <w:sz w:val="24"/>
          <w:szCs w:val="24"/>
          <w:highlight w:val="none"/>
        </w:rPr>
        <w:t>1</w:t>
      </w:r>
      <w:r>
        <w:rPr>
          <w:rFonts w:hint="eastAsia" w:ascii="Times New Roman" w:hAnsi="Times New Roman"/>
          <w:kern w:val="0"/>
          <w:sz w:val="24"/>
          <w:szCs w:val="24"/>
          <w:highlight w:val="none"/>
        </w:rPr>
        <w:t>、异常报价的确定</w:t>
      </w:r>
    </w:p>
    <w:p>
      <w:pPr>
        <w:widowControl/>
        <w:tabs>
          <w:tab w:val="left" w:pos="9360"/>
        </w:tabs>
        <w:spacing w:line="360" w:lineRule="auto"/>
        <w:ind w:firstLine="480" w:firstLineChars="200"/>
        <w:rPr>
          <w:rFonts w:ascii="Times New Roman" w:hAnsi="Times New Roman"/>
          <w:kern w:val="0"/>
          <w:sz w:val="24"/>
          <w:szCs w:val="24"/>
          <w:highlight w:val="none"/>
        </w:rPr>
      </w:pPr>
      <w:r>
        <w:rPr>
          <w:rFonts w:ascii="Times New Roman" w:hAnsi="Times New Roman"/>
          <w:kern w:val="0"/>
          <w:sz w:val="24"/>
          <w:szCs w:val="24"/>
          <w:highlight w:val="none"/>
        </w:rPr>
        <w:t>1.1</w:t>
      </w:r>
      <w:r>
        <w:rPr>
          <w:rFonts w:hint="eastAsia" w:ascii="Times New Roman" w:hAnsi="Times New Roman"/>
          <w:kern w:val="0"/>
          <w:sz w:val="24"/>
          <w:szCs w:val="24"/>
          <w:highlight w:val="none"/>
        </w:rPr>
        <w:t>投标报价高于招标控制价（</w:t>
      </w:r>
      <w:r>
        <w:rPr>
          <w:rFonts w:ascii="Times New Roman" w:hAnsi="Times New Roman"/>
          <w:kern w:val="0"/>
          <w:sz w:val="24"/>
          <w:szCs w:val="24"/>
          <w:highlight w:val="none"/>
        </w:rPr>
        <w:t>1-n%</w:t>
      </w:r>
      <w:r>
        <w:rPr>
          <w:rFonts w:hint="eastAsia" w:ascii="Times New Roman" w:hAnsi="Times New Roman"/>
          <w:kern w:val="0"/>
          <w:sz w:val="24"/>
          <w:szCs w:val="24"/>
          <w:highlight w:val="none"/>
        </w:rPr>
        <w:t>）的报价为异常报价，</w:t>
      </w:r>
      <w:r>
        <w:rPr>
          <w:rFonts w:ascii="Times New Roman" w:hAnsi="Times New Roman"/>
          <w:kern w:val="0"/>
          <w:sz w:val="24"/>
          <w:szCs w:val="24"/>
          <w:highlight w:val="none"/>
        </w:rPr>
        <w:t>n</w:t>
      </w:r>
      <w:r>
        <w:rPr>
          <w:rFonts w:hint="eastAsia" w:ascii="Times New Roman" w:hAnsi="Times New Roman"/>
          <w:kern w:val="0"/>
          <w:sz w:val="24"/>
          <w:szCs w:val="24"/>
          <w:highlight w:val="none"/>
        </w:rPr>
        <w:t>值为</w:t>
      </w:r>
      <w:bookmarkStart w:id="13" w:name="EB176dd5ec20a1499882d1d752fa6e7ccb"/>
      <w:bookmarkEnd w:id="13"/>
      <w:r>
        <w:rPr>
          <w:rFonts w:hint="eastAsia" w:ascii="Times New Roman" w:hAnsi="Times New Roman"/>
          <w:kern w:val="0"/>
          <w:sz w:val="24"/>
          <w:szCs w:val="24"/>
          <w:highlight w:val="none"/>
        </w:rPr>
        <w:t>。</w:t>
      </w:r>
    </w:p>
    <w:p>
      <w:pPr>
        <w:widowControl/>
        <w:tabs>
          <w:tab w:val="left" w:pos="9360"/>
        </w:tabs>
        <w:spacing w:line="360" w:lineRule="auto"/>
        <w:ind w:firstLine="480" w:firstLineChars="200"/>
        <w:rPr>
          <w:rFonts w:ascii="Times New Roman" w:hAnsi="Times New Roman"/>
          <w:kern w:val="0"/>
          <w:sz w:val="24"/>
          <w:szCs w:val="24"/>
          <w:highlight w:val="none"/>
        </w:rPr>
      </w:pPr>
      <w:r>
        <w:rPr>
          <w:rFonts w:ascii="Times New Roman" w:hAnsi="Times New Roman"/>
          <w:kern w:val="0"/>
          <w:sz w:val="24"/>
          <w:szCs w:val="24"/>
          <w:highlight w:val="none"/>
        </w:rPr>
        <w:t>1.2</w:t>
      </w:r>
      <w:r>
        <w:rPr>
          <w:rFonts w:hint="eastAsia" w:ascii="Times New Roman" w:hAnsi="Times New Roman"/>
          <w:kern w:val="0"/>
          <w:sz w:val="24"/>
          <w:szCs w:val="24"/>
          <w:highlight w:val="none"/>
        </w:rPr>
        <w:t>投标报价低于招标控制价</w:t>
      </w:r>
      <w:r>
        <w:rPr>
          <w:rFonts w:ascii="Times New Roman" w:hAnsi="Times New Roman"/>
          <w:kern w:val="0"/>
          <w:sz w:val="24"/>
          <w:szCs w:val="24"/>
          <w:highlight w:val="none"/>
        </w:rPr>
        <w:t>m%</w:t>
      </w:r>
      <w:r>
        <w:rPr>
          <w:rFonts w:hint="eastAsia" w:ascii="Times New Roman" w:hAnsi="Times New Roman"/>
          <w:kern w:val="0"/>
          <w:sz w:val="24"/>
          <w:szCs w:val="24"/>
          <w:highlight w:val="none"/>
        </w:rPr>
        <w:t>的报价为异常报价，</w:t>
      </w:r>
      <w:r>
        <w:rPr>
          <w:rFonts w:ascii="Times New Roman" w:hAnsi="Times New Roman"/>
          <w:kern w:val="0"/>
          <w:sz w:val="24"/>
          <w:szCs w:val="24"/>
          <w:highlight w:val="none"/>
        </w:rPr>
        <w:t>m</w:t>
      </w:r>
      <w:r>
        <w:rPr>
          <w:rFonts w:hint="eastAsia" w:ascii="Times New Roman" w:hAnsi="Times New Roman"/>
          <w:kern w:val="0"/>
          <w:sz w:val="24"/>
          <w:szCs w:val="24"/>
          <w:highlight w:val="none"/>
        </w:rPr>
        <w:t>值为</w:t>
      </w:r>
      <w:bookmarkStart w:id="14" w:name="EB83eb7b0787a8476cb48cd90e926b9100"/>
      <w:bookmarkEnd w:id="14"/>
      <w:r>
        <w:rPr>
          <w:rFonts w:hint="eastAsia" w:ascii="Times New Roman" w:hAnsi="Times New Roman"/>
          <w:kern w:val="0"/>
          <w:sz w:val="24"/>
          <w:szCs w:val="24"/>
          <w:highlight w:val="none"/>
        </w:rPr>
        <w:t>。</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w:t>
      </w:r>
      <w:r>
        <w:rPr>
          <w:rFonts w:ascii="Times New Roman" w:hAnsi="Times New Roman"/>
          <w:kern w:val="0"/>
          <w:sz w:val="24"/>
          <w:szCs w:val="24"/>
          <w:highlight w:val="none"/>
        </w:rPr>
        <w:t>n</w:t>
      </w:r>
      <w:r>
        <w:rPr>
          <w:rFonts w:hint="eastAsia" w:ascii="Times New Roman" w:hAnsi="Times New Roman"/>
          <w:kern w:val="0"/>
          <w:sz w:val="24"/>
          <w:szCs w:val="24"/>
          <w:highlight w:val="none"/>
        </w:rPr>
        <w:t>值应为</w:t>
      </w:r>
      <w:r>
        <w:rPr>
          <w:rFonts w:ascii="Times New Roman" w:hAnsi="Times New Roman"/>
          <w:kern w:val="0"/>
          <w:sz w:val="24"/>
          <w:szCs w:val="24"/>
          <w:highlight w:val="none"/>
        </w:rPr>
        <w:t>3-5</w:t>
      </w:r>
      <w:r>
        <w:rPr>
          <w:rFonts w:hint="eastAsia" w:ascii="Times New Roman" w:hAnsi="Times New Roman"/>
          <w:kern w:val="0"/>
          <w:sz w:val="24"/>
          <w:szCs w:val="24"/>
          <w:highlight w:val="none"/>
        </w:rPr>
        <w:t>的整数，</w:t>
      </w:r>
      <w:r>
        <w:rPr>
          <w:rFonts w:ascii="Times New Roman" w:hAnsi="Times New Roman"/>
          <w:kern w:val="0"/>
          <w:sz w:val="24"/>
          <w:szCs w:val="24"/>
          <w:highlight w:val="none"/>
        </w:rPr>
        <w:t>m</w:t>
      </w:r>
      <w:r>
        <w:rPr>
          <w:rFonts w:hint="eastAsia" w:ascii="Times New Roman" w:hAnsi="Times New Roman"/>
          <w:kern w:val="0"/>
          <w:sz w:val="24"/>
          <w:szCs w:val="24"/>
          <w:highlight w:val="none"/>
        </w:rPr>
        <w:t>值应为</w:t>
      </w:r>
      <w:r>
        <w:rPr>
          <w:rFonts w:ascii="Times New Roman" w:hAnsi="Times New Roman"/>
          <w:kern w:val="0"/>
          <w:sz w:val="24"/>
          <w:szCs w:val="24"/>
          <w:highlight w:val="none"/>
        </w:rPr>
        <w:t>80-85</w:t>
      </w:r>
      <w:r>
        <w:rPr>
          <w:rFonts w:hint="eastAsia" w:ascii="Times New Roman" w:hAnsi="Times New Roman"/>
          <w:kern w:val="0"/>
          <w:sz w:val="24"/>
          <w:szCs w:val="24"/>
          <w:highlight w:val="none"/>
        </w:rPr>
        <w:t>的整数，由招标人在编制招标文件时确定）。</w:t>
      </w:r>
    </w:p>
    <w:p>
      <w:pPr>
        <w:widowControl/>
        <w:tabs>
          <w:tab w:val="left" w:pos="9360"/>
        </w:tabs>
        <w:spacing w:line="360" w:lineRule="auto"/>
        <w:ind w:firstLine="482" w:firstLineChars="200"/>
        <w:rPr>
          <w:rFonts w:ascii="Times New Roman" w:hAnsi="Times New Roman"/>
          <w:b/>
          <w:bCs/>
          <w:kern w:val="0"/>
          <w:sz w:val="24"/>
          <w:szCs w:val="24"/>
          <w:highlight w:val="none"/>
        </w:rPr>
      </w:pPr>
      <w:r>
        <w:rPr>
          <w:rFonts w:hint="eastAsia" w:ascii="Times New Roman" w:hAnsi="Times New Roman"/>
          <w:b/>
          <w:bCs/>
          <w:kern w:val="0"/>
          <w:sz w:val="24"/>
          <w:szCs w:val="24"/>
          <w:highlight w:val="none"/>
        </w:rPr>
        <w:t>异常报价的投标人不再参与后续评审。</w:t>
      </w:r>
    </w:p>
    <w:p>
      <w:pPr>
        <w:widowControl/>
        <w:tabs>
          <w:tab w:val="left" w:pos="9360"/>
        </w:tabs>
        <w:spacing w:line="360" w:lineRule="auto"/>
        <w:ind w:firstLine="480" w:firstLineChars="200"/>
        <w:rPr>
          <w:rFonts w:ascii="Times New Roman" w:hAnsi="Times New Roman"/>
          <w:kern w:val="0"/>
          <w:sz w:val="24"/>
          <w:szCs w:val="24"/>
          <w:highlight w:val="none"/>
        </w:rPr>
      </w:pPr>
      <w:r>
        <w:rPr>
          <w:rFonts w:ascii="Times New Roman" w:hAnsi="Times New Roman"/>
          <w:kern w:val="0"/>
          <w:sz w:val="24"/>
          <w:szCs w:val="24"/>
          <w:highlight w:val="none"/>
        </w:rPr>
        <w:t>2</w:t>
      </w:r>
      <w:r>
        <w:rPr>
          <w:rFonts w:hint="eastAsia" w:ascii="Times New Roman" w:hAnsi="Times New Roman"/>
          <w:kern w:val="0"/>
          <w:sz w:val="24"/>
          <w:szCs w:val="24"/>
          <w:highlight w:val="none"/>
        </w:rPr>
        <w:t>、确定评审区间入围单位：</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当通过上述评审的投标人家数小于、等于</w:t>
      </w:r>
      <w:r>
        <w:rPr>
          <w:rFonts w:ascii="Times New Roman" w:hAnsi="Times New Roman"/>
          <w:kern w:val="0"/>
          <w:sz w:val="24"/>
          <w:szCs w:val="24"/>
          <w:highlight w:val="none"/>
        </w:rPr>
        <w:t>3</w:t>
      </w:r>
      <w:r>
        <w:rPr>
          <w:rFonts w:hint="eastAsia" w:ascii="Times New Roman" w:hAnsi="Times New Roman"/>
          <w:kern w:val="0"/>
          <w:sz w:val="24"/>
          <w:szCs w:val="24"/>
          <w:highlight w:val="none"/>
          <w:lang w:val="en-US" w:eastAsia="zh-CN"/>
        </w:rPr>
        <w:t>5</w:t>
      </w:r>
      <w:r>
        <w:rPr>
          <w:rFonts w:hint="eastAsia" w:ascii="Times New Roman" w:hAnsi="Times New Roman"/>
          <w:kern w:val="0"/>
          <w:sz w:val="24"/>
          <w:szCs w:val="24"/>
          <w:highlight w:val="none"/>
        </w:rPr>
        <w:t>家时，全部进入评审区间；当通过上述评审的投标人大于</w:t>
      </w:r>
      <w:r>
        <w:rPr>
          <w:rFonts w:ascii="Times New Roman" w:hAnsi="Times New Roman"/>
          <w:kern w:val="0"/>
          <w:sz w:val="24"/>
          <w:szCs w:val="24"/>
          <w:highlight w:val="none"/>
        </w:rPr>
        <w:t>3</w:t>
      </w:r>
      <w:r>
        <w:rPr>
          <w:rFonts w:hint="eastAsia" w:ascii="Times New Roman" w:hAnsi="Times New Roman"/>
          <w:kern w:val="0"/>
          <w:sz w:val="24"/>
          <w:szCs w:val="24"/>
          <w:highlight w:val="none"/>
          <w:lang w:val="en-US" w:eastAsia="zh-CN"/>
        </w:rPr>
        <w:t>5</w:t>
      </w:r>
      <w:r>
        <w:rPr>
          <w:rFonts w:hint="eastAsia" w:ascii="Times New Roman" w:hAnsi="Times New Roman"/>
          <w:kern w:val="0"/>
          <w:sz w:val="24"/>
          <w:szCs w:val="24"/>
          <w:highlight w:val="none"/>
        </w:rPr>
        <w:t>家</w:t>
      </w:r>
      <w:r>
        <w:rPr>
          <w:rFonts w:hint="eastAsia" w:ascii="Times New Roman" w:hAnsi="Times New Roman"/>
          <w:kern w:val="0"/>
          <w:sz w:val="24"/>
          <w:szCs w:val="24"/>
          <w:highlight w:val="none"/>
          <w:lang w:eastAsia="zh-CN"/>
        </w:rPr>
        <w:t>，</w:t>
      </w:r>
      <w:r>
        <w:rPr>
          <w:rFonts w:hint="eastAsia" w:ascii="Times New Roman" w:hAnsi="Times New Roman"/>
          <w:kern w:val="0"/>
          <w:sz w:val="24"/>
          <w:szCs w:val="24"/>
          <w:highlight w:val="none"/>
        </w:rPr>
        <w:t>按下述</w:t>
      </w:r>
      <w:r>
        <w:rPr>
          <w:rFonts w:hint="eastAsia" w:ascii="Times New Roman" w:hAnsi="Times New Roman"/>
          <w:kern w:val="0"/>
          <w:sz w:val="24"/>
          <w:szCs w:val="24"/>
          <w:highlight w:val="none"/>
          <w:lang w:eastAsia="zh-CN"/>
        </w:rPr>
        <w:t>方式</w:t>
      </w:r>
      <w:r>
        <w:rPr>
          <w:rFonts w:hint="eastAsia" w:ascii="Times New Roman" w:hAnsi="Times New Roman"/>
          <w:kern w:val="0"/>
          <w:sz w:val="24"/>
          <w:szCs w:val="24"/>
          <w:highlight w:val="none"/>
        </w:rPr>
        <w:t>确定评审区间入围单位</w:t>
      </w:r>
      <w:r>
        <w:rPr>
          <w:rFonts w:ascii="Times New Roman" w:hAnsi="Times New Roman"/>
          <w:kern w:val="0"/>
          <w:sz w:val="24"/>
          <w:szCs w:val="24"/>
          <w:highlight w:val="none"/>
        </w:rPr>
        <w:t>3</w:t>
      </w:r>
      <w:r>
        <w:rPr>
          <w:rFonts w:hint="eastAsia" w:ascii="Times New Roman" w:hAnsi="Times New Roman"/>
          <w:kern w:val="0"/>
          <w:sz w:val="24"/>
          <w:szCs w:val="24"/>
          <w:highlight w:val="none"/>
          <w:lang w:val="en-US" w:eastAsia="zh-CN"/>
        </w:rPr>
        <w:t>5</w:t>
      </w:r>
      <w:r>
        <w:rPr>
          <w:rFonts w:hint="eastAsia" w:ascii="Times New Roman" w:hAnsi="Times New Roman"/>
          <w:kern w:val="0"/>
          <w:sz w:val="24"/>
          <w:szCs w:val="24"/>
          <w:highlight w:val="none"/>
        </w:rPr>
        <w:t>家；</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通过上述评审的投标人以下称为</w:t>
      </w:r>
      <w:r>
        <w:rPr>
          <w:rFonts w:ascii="Times New Roman" w:hAnsi="Times New Roman"/>
          <w:kern w:val="0"/>
          <w:sz w:val="24"/>
          <w:szCs w:val="24"/>
          <w:highlight w:val="none"/>
        </w:rPr>
        <w:t>“</w:t>
      </w:r>
      <w:r>
        <w:rPr>
          <w:rFonts w:hint="eastAsia" w:ascii="Times New Roman" w:hAnsi="Times New Roman"/>
          <w:kern w:val="0"/>
          <w:sz w:val="24"/>
          <w:szCs w:val="24"/>
          <w:highlight w:val="none"/>
        </w:rPr>
        <w:t>全部参与评审的投标人</w:t>
      </w:r>
      <w:r>
        <w:rPr>
          <w:rFonts w:ascii="Times New Roman" w:hAnsi="Times New Roman"/>
          <w:kern w:val="0"/>
          <w:sz w:val="24"/>
          <w:szCs w:val="24"/>
          <w:highlight w:val="none"/>
        </w:rPr>
        <w:t>”</w:t>
      </w:r>
      <w:r>
        <w:rPr>
          <w:rFonts w:hint="eastAsia" w:ascii="Times New Roman" w:hAnsi="Times New Roman"/>
          <w:kern w:val="0"/>
          <w:sz w:val="24"/>
          <w:szCs w:val="24"/>
          <w:highlight w:val="none"/>
        </w:rPr>
        <w:t>。</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确定评审区间入围名额</w:t>
      </w:r>
      <w:r>
        <w:rPr>
          <w:rFonts w:ascii="Times New Roman" w:hAnsi="Times New Roman"/>
          <w:kern w:val="0"/>
          <w:sz w:val="24"/>
          <w:szCs w:val="24"/>
          <w:highlight w:val="none"/>
        </w:rPr>
        <w:t>3</w:t>
      </w:r>
      <w:r>
        <w:rPr>
          <w:rFonts w:hint="eastAsia" w:ascii="Times New Roman" w:hAnsi="Times New Roman"/>
          <w:kern w:val="0"/>
          <w:sz w:val="24"/>
          <w:szCs w:val="24"/>
          <w:highlight w:val="none"/>
          <w:lang w:val="en-US" w:eastAsia="zh-CN"/>
        </w:rPr>
        <w:t>5</w:t>
      </w:r>
      <w:r>
        <w:rPr>
          <w:rFonts w:hint="eastAsia" w:ascii="Times New Roman" w:hAnsi="Times New Roman"/>
          <w:kern w:val="0"/>
          <w:sz w:val="24"/>
          <w:szCs w:val="24"/>
          <w:highlight w:val="none"/>
        </w:rPr>
        <w:t>家。确定方式如下：</w:t>
      </w:r>
    </w:p>
    <w:p>
      <w:pPr>
        <w:widowControl/>
        <w:tabs>
          <w:tab w:val="left" w:pos="9360"/>
        </w:tabs>
        <w:spacing w:line="360" w:lineRule="auto"/>
        <w:ind w:firstLine="480" w:firstLineChars="200"/>
        <w:rPr>
          <w:rFonts w:ascii="Times New Roman" w:hAnsi="Times New Roman"/>
          <w:kern w:val="0"/>
          <w:sz w:val="24"/>
          <w:szCs w:val="24"/>
          <w:highlight w:val="none"/>
        </w:rPr>
      </w:pPr>
      <w:r>
        <w:rPr>
          <w:rFonts w:ascii="Times New Roman" w:hAnsi="Times New Roman"/>
          <w:kern w:val="0"/>
          <w:sz w:val="24"/>
          <w:szCs w:val="24"/>
          <w:highlight w:val="none"/>
        </w:rPr>
        <w:t>3</w:t>
      </w:r>
      <w:r>
        <w:rPr>
          <w:rFonts w:hint="eastAsia" w:ascii="Times New Roman" w:hAnsi="Times New Roman"/>
          <w:kern w:val="0"/>
          <w:sz w:val="24"/>
          <w:szCs w:val="24"/>
          <w:highlight w:val="none"/>
          <w:lang w:val="en-US" w:eastAsia="zh-CN"/>
        </w:rPr>
        <w:t>5</w:t>
      </w:r>
      <w:r>
        <w:rPr>
          <w:rFonts w:hint="eastAsia" w:ascii="Times New Roman" w:hAnsi="Times New Roman"/>
          <w:kern w:val="0"/>
          <w:sz w:val="24"/>
          <w:szCs w:val="24"/>
          <w:highlight w:val="none"/>
        </w:rPr>
        <w:t>家评审区间入围单位在</w:t>
      </w:r>
      <w:r>
        <w:rPr>
          <w:rFonts w:ascii="Times New Roman" w:hAnsi="Times New Roman"/>
          <w:kern w:val="0"/>
          <w:sz w:val="24"/>
          <w:szCs w:val="24"/>
          <w:highlight w:val="none"/>
        </w:rPr>
        <w:t>“</w:t>
      </w:r>
      <w:r>
        <w:rPr>
          <w:rFonts w:hint="eastAsia" w:ascii="Times New Roman" w:hAnsi="Times New Roman"/>
          <w:kern w:val="0"/>
          <w:sz w:val="24"/>
          <w:szCs w:val="24"/>
          <w:highlight w:val="none"/>
        </w:rPr>
        <w:t>全部参与评审的投标人</w:t>
      </w:r>
      <w:r>
        <w:rPr>
          <w:rFonts w:ascii="Times New Roman" w:hAnsi="Times New Roman"/>
          <w:kern w:val="0"/>
          <w:sz w:val="24"/>
          <w:szCs w:val="24"/>
          <w:highlight w:val="none"/>
        </w:rPr>
        <w:t>”</w:t>
      </w:r>
      <w:r>
        <w:rPr>
          <w:rFonts w:hint="eastAsia" w:ascii="Times New Roman" w:hAnsi="Times New Roman"/>
          <w:kern w:val="0"/>
          <w:sz w:val="24"/>
          <w:szCs w:val="24"/>
          <w:highlight w:val="none"/>
        </w:rPr>
        <w:t>中抽取产生，抽取方式如下：</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开评标系统通过舟山市建筑市场信用信息网（</w:t>
      </w:r>
      <w:bookmarkStart w:id="15" w:name="EBde8de4e7785f44f28d649bdb0f243353"/>
      <w:r>
        <w:rPr>
          <w:rFonts w:hint="eastAsia" w:ascii="Times New Roman" w:hAnsi="Times New Roman"/>
          <w:color w:val="0000FF"/>
          <w:kern w:val="0"/>
          <w:sz w:val="24"/>
          <w:szCs w:val="24"/>
          <w:highlight w:val="none"/>
        </w:rPr>
        <w:t>https://jzscxyxx.zszjj.zhoushan.gov.cn:7007/</w:t>
      </w:r>
      <w:bookmarkEnd w:id="15"/>
      <w:r>
        <w:rPr>
          <w:rFonts w:hint="eastAsia" w:ascii="Times New Roman" w:hAnsi="Times New Roman"/>
          <w:kern w:val="0"/>
          <w:sz w:val="24"/>
          <w:szCs w:val="24"/>
          <w:highlight w:val="none"/>
        </w:rPr>
        <w:t>）查询全部参与评审的投标人开标截止日期前一天下午</w:t>
      </w:r>
      <w:r>
        <w:rPr>
          <w:rFonts w:ascii="Times New Roman" w:hAnsi="Times New Roman"/>
          <w:kern w:val="0"/>
          <w:sz w:val="24"/>
          <w:szCs w:val="24"/>
          <w:highlight w:val="none"/>
        </w:rPr>
        <w:t>17</w:t>
      </w:r>
      <w:r>
        <w:rPr>
          <w:rFonts w:hint="eastAsia" w:ascii="Times New Roman" w:hAnsi="Times New Roman"/>
          <w:kern w:val="0"/>
          <w:sz w:val="24"/>
          <w:szCs w:val="24"/>
          <w:highlight w:val="none"/>
        </w:rPr>
        <w:t>：</w:t>
      </w:r>
      <w:r>
        <w:rPr>
          <w:rFonts w:ascii="Times New Roman" w:hAnsi="Times New Roman"/>
          <w:kern w:val="0"/>
          <w:sz w:val="24"/>
          <w:szCs w:val="24"/>
          <w:highlight w:val="none"/>
        </w:rPr>
        <w:t>00</w:t>
      </w:r>
      <w:r>
        <w:rPr>
          <w:rFonts w:hint="eastAsia" w:ascii="Times New Roman" w:hAnsi="Times New Roman"/>
          <w:kern w:val="0"/>
          <w:sz w:val="24"/>
          <w:szCs w:val="24"/>
          <w:highlight w:val="none"/>
        </w:rPr>
        <w:t>的信用等级，以这个时间点查询到的信用等级信息为准。（建筑工程或市政公用工程施工总承包企业信用等级，若因技术、系统等原因无法查询开标截止日期前一天下午</w:t>
      </w:r>
      <w:r>
        <w:rPr>
          <w:rFonts w:ascii="Times New Roman" w:hAnsi="Times New Roman"/>
          <w:kern w:val="0"/>
          <w:sz w:val="24"/>
          <w:szCs w:val="24"/>
          <w:highlight w:val="none"/>
        </w:rPr>
        <w:t>17</w:t>
      </w:r>
      <w:r>
        <w:rPr>
          <w:rFonts w:hint="eastAsia" w:ascii="Times New Roman" w:hAnsi="Times New Roman"/>
          <w:kern w:val="0"/>
          <w:sz w:val="24"/>
          <w:szCs w:val="24"/>
          <w:highlight w:val="none"/>
        </w:rPr>
        <w:t>：</w:t>
      </w:r>
      <w:r>
        <w:rPr>
          <w:rFonts w:ascii="Times New Roman" w:hAnsi="Times New Roman"/>
          <w:kern w:val="0"/>
          <w:sz w:val="24"/>
          <w:szCs w:val="24"/>
          <w:highlight w:val="none"/>
        </w:rPr>
        <w:t>00</w:t>
      </w:r>
      <w:r>
        <w:rPr>
          <w:rFonts w:hint="eastAsia" w:ascii="Times New Roman" w:hAnsi="Times New Roman"/>
          <w:kern w:val="0"/>
          <w:sz w:val="24"/>
          <w:szCs w:val="24"/>
          <w:highlight w:val="none"/>
        </w:rPr>
        <w:t>的信用等级信息，则以开标截止日期前二天下午</w:t>
      </w:r>
      <w:r>
        <w:rPr>
          <w:rFonts w:ascii="Times New Roman" w:hAnsi="Times New Roman"/>
          <w:kern w:val="0"/>
          <w:sz w:val="24"/>
          <w:szCs w:val="24"/>
          <w:highlight w:val="none"/>
        </w:rPr>
        <w:t>17</w:t>
      </w:r>
      <w:r>
        <w:rPr>
          <w:rFonts w:hint="eastAsia" w:ascii="Times New Roman" w:hAnsi="Times New Roman"/>
          <w:kern w:val="0"/>
          <w:sz w:val="24"/>
          <w:szCs w:val="24"/>
          <w:highlight w:val="none"/>
        </w:rPr>
        <w:t>：</w:t>
      </w:r>
      <w:r>
        <w:rPr>
          <w:rFonts w:ascii="Times New Roman" w:hAnsi="Times New Roman"/>
          <w:kern w:val="0"/>
          <w:sz w:val="24"/>
          <w:szCs w:val="24"/>
          <w:highlight w:val="none"/>
        </w:rPr>
        <w:t>00</w:t>
      </w:r>
      <w:r>
        <w:rPr>
          <w:rFonts w:hint="eastAsia" w:ascii="Times New Roman" w:hAnsi="Times New Roman"/>
          <w:kern w:val="0"/>
          <w:sz w:val="24"/>
          <w:szCs w:val="24"/>
          <w:highlight w:val="none"/>
        </w:rPr>
        <w:t>的信用等级信息为准，以此类推）。根据查询结果分三类，即</w:t>
      </w:r>
      <w:r>
        <w:rPr>
          <w:rFonts w:ascii="Times New Roman" w:hAnsi="Times New Roman"/>
          <w:kern w:val="0"/>
          <w:sz w:val="24"/>
          <w:szCs w:val="24"/>
          <w:highlight w:val="none"/>
        </w:rPr>
        <w:t>A</w:t>
      </w:r>
      <w:r>
        <w:rPr>
          <w:rFonts w:hint="eastAsia" w:ascii="Times New Roman" w:hAnsi="Times New Roman"/>
          <w:kern w:val="0"/>
          <w:sz w:val="24"/>
          <w:szCs w:val="24"/>
          <w:highlight w:val="none"/>
        </w:rPr>
        <w:t>级、</w:t>
      </w:r>
      <w:r>
        <w:rPr>
          <w:rFonts w:ascii="Times New Roman" w:hAnsi="Times New Roman"/>
          <w:kern w:val="0"/>
          <w:sz w:val="24"/>
          <w:szCs w:val="24"/>
          <w:highlight w:val="none"/>
        </w:rPr>
        <w:t>B</w:t>
      </w:r>
      <w:r>
        <w:rPr>
          <w:rFonts w:hint="eastAsia" w:ascii="Times New Roman" w:hAnsi="Times New Roman"/>
          <w:kern w:val="0"/>
          <w:sz w:val="24"/>
          <w:szCs w:val="24"/>
          <w:highlight w:val="none"/>
        </w:rPr>
        <w:t>级、</w:t>
      </w:r>
      <w:r>
        <w:rPr>
          <w:rFonts w:ascii="Times New Roman" w:hAnsi="Times New Roman"/>
          <w:kern w:val="0"/>
          <w:sz w:val="24"/>
          <w:szCs w:val="24"/>
          <w:highlight w:val="none"/>
        </w:rPr>
        <w:t>C</w:t>
      </w:r>
      <w:r>
        <w:rPr>
          <w:rFonts w:hint="eastAsia" w:ascii="Times New Roman" w:hAnsi="Times New Roman"/>
          <w:kern w:val="0"/>
          <w:sz w:val="24"/>
          <w:szCs w:val="24"/>
          <w:highlight w:val="none"/>
        </w:rPr>
        <w:t>级及以下和无法查询其信用等级的。</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信用等级为</w:t>
      </w:r>
      <w:r>
        <w:rPr>
          <w:rFonts w:ascii="Times New Roman" w:hAnsi="Times New Roman"/>
          <w:kern w:val="0"/>
          <w:sz w:val="24"/>
          <w:szCs w:val="24"/>
          <w:highlight w:val="none"/>
        </w:rPr>
        <w:t>E</w:t>
      </w:r>
      <w:r>
        <w:rPr>
          <w:rFonts w:hint="eastAsia" w:ascii="Times New Roman" w:hAnsi="Times New Roman"/>
          <w:kern w:val="0"/>
          <w:sz w:val="24"/>
          <w:szCs w:val="24"/>
          <w:highlight w:val="none"/>
        </w:rPr>
        <w:t>级的企业不作为评审区间入围单位。（不参与随机抽取）</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入围单位确定顺序：先确定信用等级</w:t>
      </w:r>
      <w:r>
        <w:rPr>
          <w:rFonts w:ascii="Times New Roman" w:hAnsi="Times New Roman"/>
          <w:kern w:val="0"/>
          <w:sz w:val="24"/>
          <w:szCs w:val="24"/>
          <w:highlight w:val="none"/>
        </w:rPr>
        <w:t>C</w:t>
      </w:r>
      <w:r>
        <w:rPr>
          <w:rFonts w:hint="eastAsia" w:ascii="Times New Roman" w:hAnsi="Times New Roman"/>
          <w:kern w:val="0"/>
          <w:sz w:val="24"/>
          <w:szCs w:val="24"/>
          <w:highlight w:val="none"/>
        </w:rPr>
        <w:t>级及以下和无法查询其信用等级的入围企业，再确定信用等级</w:t>
      </w:r>
      <w:r>
        <w:rPr>
          <w:rFonts w:ascii="Times New Roman" w:hAnsi="Times New Roman"/>
          <w:kern w:val="0"/>
          <w:sz w:val="24"/>
          <w:szCs w:val="24"/>
          <w:highlight w:val="none"/>
        </w:rPr>
        <w:t xml:space="preserve">B </w:t>
      </w:r>
      <w:r>
        <w:rPr>
          <w:rFonts w:hint="eastAsia" w:ascii="Times New Roman" w:hAnsi="Times New Roman"/>
          <w:kern w:val="0"/>
          <w:sz w:val="24"/>
          <w:szCs w:val="24"/>
          <w:highlight w:val="none"/>
        </w:rPr>
        <w:t>级的入围企业，最后确定信用等级</w:t>
      </w:r>
      <w:r>
        <w:rPr>
          <w:rFonts w:ascii="Times New Roman" w:hAnsi="Times New Roman"/>
          <w:kern w:val="0"/>
          <w:sz w:val="24"/>
          <w:szCs w:val="24"/>
          <w:highlight w:val="none"/>
        </w:rPr>
        <w:t xml:space="preserve">A </w:t>
      </w:r>
      <w:r>
        <w:rPr>
          <w:rFonts w:hint="eastAsia" w:ascii="Times New Roman" w:hAnsi="Times New Roman"/>
          <w:kern w:val="0"/>
          <w:sz w:val="24"/>
          <w:szCs w:val="24"/>
          <w:highlight w:val="none"/>
        </w:rPr>
        <w:t>级的入围企业。</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在信用等级</w:t>
      </w:r>
      <w:r>
        <w:rPr>
          <w:rFonts w:ascii="Times New Roman" w:hAnsi="Times New Roman"/>
          <w:kern w:val="0"/>
          <w:sz w:val="24"/>
          <w:szCs w:val="24"/>
          <w:highlight w:val="none"/>
        </w:rPr>
        <w:t>C</w:t>
      </w:r>
      <w:r>
        <w:rPr>
          <w:rFonts w:hint="eastAsia" w:ascii="Times New Roman" w:hAnsi="Times New Roman"/>
          <w:kern w:val="0"/>
          <w:sz w:val="24"/>
          <w:szCs w:val="24"/>
          <w:highlight w:val="none"/>
        </w:rPr>
        <w:t>级及以下和无法查询其信用等级的企业中随机选择</w:t>
      </w:r>
      <w:r>
        <w:rPr>
          <w:rFonts w:ascii="Times New Roman" w:hAnsi="Times New Roman"/>
          <w:kern w:val="0"/>
          <w:sz w:val="24"/>
          <w:szCs w:val="24"/>
          <w:highlight w:val="none"/>
        </w:rPr>
        <w:t>c1</w:t>
      </w:r>
      <w:r>
        <w:rPr>
          <w:rFonts w:hint="eastAsia" w:ascii="Times New Roman" w:hAnsi="Times New Roman"/>
          <w:kern w:val="0"/>
          <w:sz w:val="24"/>
          <w:szCs w:val="24"/>
          <w:highlight w:val="none"/>
        </w:rPr>
        <w:t>家投标人为评审区间入围单位；（</w:t>
      </w:r>
      <w:r>
        <w:rPr>
          <w:rFonts w:ascii="Times New Roman" w:hAnsi="Times New Roman"/>
          <w:kern w:val="0"/>
          <w:sz w:val="24"/>
          <w:szCs w:val="24"/>
          <w:highlight w:val="none"/>
        </w:rPr>
        <w:t>c1</w:t>
      </w:r>
      <w:r>
        <w:rPr>
          <w:rFonts w:hint="eastAsia" w:ascii="Times New Roman" w:hAnsi="Times New Roman"/>
          <w:kern w:val="0"/>
          <w:sz w:val="24"/>
          <w:szCs w:val="24"/>
          <w:highlight w:val="none"/>
        </w:rPr>
        <w:t>为全部参与评审的投标人中信用等级</w:t>
      </w:r>
      <w:r>
        <w:rPr>
          <w:rFonts w:ascii="Times New Roman" w:hAnsi="Times New Roman"/>
          <w:kern w:val="0"/>
          <w:sz w:val="24"/>
          <w:szCs w:val="24"/>
          <w:highlight w:val="none"/>
        </w:rPr>
        <w:t>C</w:t>
      </w:r>
      <w:r>
        <w:rPr>
          <w:rFonts w:hint="eastAsia" w:ascii="Times New Roman" w:hAnsi="Times New Roman"/>
          <w:kern w:val="0"/>
          <w:sz w:val="24"/>
          <w:szCs w:val="24"/>
          <w:highlight w:val="none"/>
        </w:rPr>
        <w:t>级及以下和无法查询其信用等级企业数量的</w:t>
      </w:r>
      <w:r>
        <w:rPr>
          <w:rFonts w:ascii="Times New Roman" w:hAnsi="Times New Roman"/>
          <w:kern w:val="0"/>
          <w:sz w:val="24"/>
          <w:szCs w:val="24"/>
          <w:highlight w:val="none"/>
        </w:rPr>
        <w:t>5%</w:t>
      </w:r>
      <w:r>
        <w:rPr>
          <w:rFonts w:hint="eastAsia" w:ascii="Times New Roman" w:hAnsi="Times New Roman"/>
          <w:kern w:val="0"/>
          <w:sz w:val="24"/>
          <w:szCs w:val="24"/>
          <w:highlight w:val="none"/>
        </w:rPr>
        <w:t>且不超过</w:t>
      </w:r>
      <w:r>
        <w:rPr>
          <w:rFonts w:ascii="Times New Roman" w:hAnsi="Times New Roman"/>
          <w:kern w:val="0"/>
          <w:sz w:val="24"/>
          <w:szCs w:val="24"/>
          <w:highlight w:val="none"/>
        </w:rPr>
        <w:t>6</w:t>
      </w:r>
      <w:r>
        <w:rPr>
          <w:rFonts w:hint="eastAsia" w:ascii="Times New Roman" w:hAnsi="Times New Roman"/>
          <w:kern w:val="0"/>
          <w:sz w:val="24"/>
          <w:szCs w:val="24"/>
          <w:highlight w:val="none"/>
        </w:rPr>
        <w:t>家）</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在信用等级</w:t>
      </w:r>
      <w:r>
        <w:rPr>
          <w:rFonts w:ascii="Times New Roman" w:hAnsi="Times New Roman"/>
          <w:kern w:val="0"/>
          <w:sz w:val="24"/>
          <w:szCs w:val="24"/>
          <w:highlight w:val="none"/>
        </w:rPr>
        <w:t xml:space="preserve">B </w:t>
      </w:r>
      <w:r>
        <w:rPr>
          <w:rFonts w:hint="eastAsia" w:ascii="Times New Roman" w:hAnsi="Times New Roman"/>
          <w:kern w:val="0"/>
          <w:sz w:val="24"/>
          <w:szCs w:val="24"/>
          <w:highlight w:val="none"/>
        </w:rPr>
        <w:t>级的企业中随机选择</w:t>
      </w:r>
      <w:r>
        <w:rPr>
          <w:rFonts w:ascii="Times New Roman" w:hAnsi="Times New Roman"/>
          <w:kern w:val="0"/>
          <w:sz w:val="24"/>
          <w:szCs w:val="24"/>
          <w:highlight w:val="none"/>
        </w:rPr>
        <w:t>b1</w:t>
      </w:r>
      <w:r>
        <w:rPr>
          <w:rFonts w:hint="eastAsia" w:ascii="Times New Roman" w:hAnsi="Times New Roman"/>
          <w:kern w:val="0"/>
          <w:sz w:val="24"/>
          <w:szCs w:val="24"/>
          <w:highlight w:val="none"/>
        </w:rPr>
        <w:t>家投标人为评审区间入围单位；（</w:t>
      </w:r>
      <w:r>
        <w:rPr>
          <w:rFonts w:ascii="Times New Roman" w:hAnsi="Times New Roman"/>
          <w:kern w:val="0"/>
          <w:sz w:val="24"/>
          <w:szCs w:val="24"/>
          <w:highlight w:val="none"/>
        </w:rPr>
        <w:t>b1</w:t>
      </w:r>
      <w:r>
        <w:rPr>
          <w:rFonts w:hint="eastAsia" w:ascii="Times New Roman" w:hAnsi="Times New Roman"/>
          <w:kern w:val="0"/>
          <w:sz w:val="24"/>
          <w:szCs w:val="24"/>
          <w:highlight w:val="none"/>
        </w:rPr>
        <w:t>为全部参与评审的投标人中信用等级</w:t>
      </w:r>
      <w:r>
        <w:rPr>
          <w:rFonts w:ascii="Times New Roman" w:hAnsi="Times New Roman"/>
          <w:kern w:val="0"/>
          <w:sz w:val="24"/>
          <w:szCs w:val="24"/>
          <w:highlight w:val="none"/>
        </w:rPr>
        <w:t xml:space="preserve">B </w:t>
      </w:r>
      <w:r>
        <w:rPr>
          <w:rFonts w:hint="eastAsia" w:ascii="Times New Roman" w:hAnsi="Times New Roman"/>
          <w:kern w:val="0"/>
          <w:sz w:val="24"/>
          <w:szCs w:val="24"/>
          <w:highlight w:val="none"/>
        </w:rPr>
        <w:t>级企业数量的</w:t>
      </w:r>
      <w:r>
        <w:rPr>
          <w:rFonts w:ascii="Times New Roman" w:hAnsi="Times New Roman"/>
          <w:kern w:val="0"/>
          <w:sz w:val="24"/>
          <w:szCs w:val="24"/>
          <w:highlight w:val="none"/>
        </w:rPr>
        <w:t>15%</w:t>
      </w:r>
      <w:r>
        <w:rPr>
          <w:rFonts w:hint="eastAsia" w:ascii="Times New Roman" w:hAnsi="Times New Roman"/>
          <w:kern w:val="0"/>
          <w:sz w:val="24"/>
          <w:szCs w:val="24"/>
          <w:highlight w:val="none"/>
        </w:rPr>
        <w:t>且不超过</w:t>
      </w:r>
      <w:r>
        <w:rPr>
          <w:rFonts w:ascii="Times New Roman" w:hAnsi="Times New Roman"/>
          <w:kern w:val="0"/>
          <w:sz w:val="24"/>
          <w:szCs w:val="24"/>
          <w:highlight w:val="none"/>
        </w:rPr>
        <w:t>9</w:t>
      </w:r>
      <w:r>
        <w:rPr>
          <w:rFonts w:hint="eastAsia" w:ascii="Times New Roman" w:hAnsi="Times New Roman"/>
          <w:kern w:val="0"/>
          <w:sz w:val="24"/>
          <w:szCs w:val="24"/>
          <w:highlight w:val="none"/>
        </w:rPr>
        <w:t>家）</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在信用等级</w:t>
      </w:r>
      <w:r>
        <w:rPr>
          <w:rFonts w:ascii="Times New Roman" w:hAnsi="Times New Roman"/>
          <w:kern w:val="0"/>
          <w:sz w:val="24"/>
          <w:szCs w:val="24"/>
          <w:highlight w:val="none"/>
        </w:rPr>
        <w:t xml:space="preserve">A </w:t>
      </w:r>
      <w:r>
        <w:rPr>
          <w:rFonts w:hint="eastAsia" w:ascii="Times New Roman" w:hAnsi="Times New Roman"/>
          <w:kern w:val="0"/>
          <w:sz w:val="24"/>
          <w:szCs w:val="24"/>
          <w:highlight w:val="none"/>
        </w:rPr>
        <w:t>级的企业中随机选择</w:t>
      </w:r>
      <w:r>
        <w:rPr>
          <w:rFonts w:ascii="Times New Roman" w:hAnsi="Times New Roman"/>
          <w:kern w:val="0"/>
          <w:sz w:val="24"/>
          <w:szCs w:val="24"/>
          <w:highlight w:val="none"/>
        </w:rPr>
        <w:t>a1</w:t>
      </w:r>
      <w:r>
        <w:rPr>
          <w:rFonts w:hint="eastAsia" w:ascii="Times New Roman" w:hAnsi="Times New Roman"/>
          <w:kern w:val="0"/>
          <w:sz w:val="24"/>
          <w:szCs w:val="24"/>
          <w:highlight w:val="none"/>
        </w:rPr>
        <w:t>家投标人为评审区间入围单位（</w:t>
      </w:r>
      <w:r>
        <w:rPr>
          <w:rFonts w:ascii="Times New Roman" w:hAnsi="Times New Roman"/>
          <w:kern w:val="0"/>
          <w:sz w:val="24"/>
          <w:szCs w:val="24"/>
          <w:highlight w:val="none"/>
        </w:rPr>
        <w:t>a1=3</w:t>
      </w:r>
      <w:r>
        <w:rPr>
          <w:rFonts w:hint="eastAsia" w:ascii="Times New Roman" w:hAnsi="Times New Roman"/>
          <w:kern w:val="0"/>
          <w:sz w:val="24"/>
          <w:szCs w:val="24"/>
          <w:highlight w:val="none"/>
          <w:lang w:val="en-US" w:eastAsia="zh-CN"/>
        </w:rPr>
        <w:t>5</w:t>
      </w:r>
      <w:r>
        <w:rPr>
          <w:rFonts w:ascii="Times New Roman" w:hAnsi="Times New Roman"/>
          <w:kern w:val="0"/>
          <w:sz w:val="24"/>
          <w:szCs w:val="24"/>
          <w:highlight w:val="none"/>
        </w:rPr>
        <w:t>-b1-c1</w:t>
      </w:r>
      <w:r>
        <w:rPr>
          <w:rFonts w:hint="eastAsia" w:ascii="Times New Roman" w:hAnsi="Times New Roman"/>
          <w:kern w:val="0"/>
          <w:sz w:val="24"/>
          <w:szCs w:val="24"/>
          <w:highlight w:val="none"/>
        </w:rPr>
        <w:t>）；如果</w:t>
      </w:r>
      <w:r>
        <w:rPr>
          <w:rFonts w:ascii="Times New Roman" w:hAnsi="Times New Roman"/>
          <w:kern w:val="0"/>
          <w:sz w:val="24"/>
          <w:szCs w:val="24"/>
          <w:highlight w:val="none"/>
        </w:rPr>
        <w:t>a1</w:t>
      </w:r>
      <w:r>
        <w:rPr>
          <w:rFonts w:hint="eastAsia" w:ascii="Times New Roman" w:hAnsi="Times New Roman"/>
          <w:kern w:val="0"/>
          <w:sz w:val="24"/>
          <w:szCs w:val="24"/>
          <w:highlight w:val="none"/>
        </w:rPr>
        <w:t>大于全部参与评审的投标人中信用等级</w:t>
      </w:r>
      <w:r>
        <w:rPr>
          <w:rFonts w:ascii="Times New Roman" w:hAnsi="Times New Roman"/>
          <w:kern w:val="0"/>
          <w:sz w:val="24"/>
          <w:szCs w:val="24"/>
          <w:highlight w:val="none"/>
        </w:rPr>
        <w:t>A</w:t>
      </w:r>
      <w:r>
        <w:rPr>
          <w:rFonts w:hint="eastAsia" w:ascii="Times New Roman" w:hAnsi="Times New Roman"/>
          <w:kern w:val="0"/>
          <w:sz w:val="24"/>
          <w:szCs w:val="24"/>
          <w:highlight w:val="none"/>
        </w:rPr>
        <w:t>级企业的数量，则信用等级</w:t>
      </w:r>
      <w:r>
        <w:rPr>
          <w:rFonts w:ascii="Times New Roman" w:hAnsi="Times New Roman"/>
          <w:kern w:val="0"/>
          <w:sz w:val="24"/>
          <w:szCs w:val="24"/>
          <w:highlight w:val="none"/>
        </w:rPr>
        <w:t>A</w:t>
      </w:r>
      <w:r>
        <w:rPr>
          <w:rFonts w:hint="eastAsia" w:ascii="Times New Roman" w:hAnsi="Times New Roman"/>
          <w:kern w:val="0"/>
          <w:sz w:val="24"/>
          <w:szCs w:val="24"/>
          <w:highlight w:val="none"/>
        </w:rPr>
        <w:t>级的企业全部入围，剩余入围名额不再补抽。</w:t>
      </w:r>
    </w:p>
    <w:p>
      <w:pPr>
        <w:widowControl/>
        <w:tabs>
          <w:tab w:val="left" w:pos="9360"/>
        </w:tabs>
        <w:spacing w:line="360" w:lineRule="auto"/>
        <w:ind w:firstLine="480" w:firstLineChars="200"/>
        <w:rPr>
          <w:rFonts w:ascii="Times New Roman" w:hAnsi="Times New Roman"/>
          <w:kern w:val="0"/>
          <w:szCs w:val="21"/>
          <w:highlight w:val="none"/>
        </w:rPr>
      </w:pPr>
      <w:r>
        <w:rPr>
          <w:rFonts w:hint="eastAsia" w:ascii="Times New Roman" w:hAnsi="Times New Roman"/>
          <w:kern w:val="0"/>
          <w:sz w:val="24"/>
          <w:szCs w:val="24"/>
          <w:highlight w:val="none"/>
        </w:rPr>
        <w:t>在评审区间入围家数计算过程中，非整数时，四舍五入。</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未进入评审区间的投标人的投标文件不再参与后续评审。</w:t>
      </w:r>
    </w:p>
    <w:p>
      <w:pPr>
        <w:snapToGrid w:val="0"/>
        <w:spacing w:line="360" w:lineRule="auto"/>
        <w:ind w:firstLine="482" w:firstLineChars="200"/>
        <w:outlineLvl w:val="2"/>
        <w:rPr>
          <w:rFonts w:ascii="Times New Roman" w:hAnsi="Times New Roman"/>
          <w:b/>
          <w:sz w:val="24"/>
          <w:szCs w:val="24"/>
          <w:highlight w:val="none"/>
        </w:rPr>
      </w:pPr>
      <w:r>
        <w:rPr>
          <w:rFonts w:hint="eastAsia" w:ascii="Times New Roman" w:hAnsi="Times New Roman"/>
          <w:b/>
          <w:sz w:val="24"/>
          <w:szCs w:val="24"/>
          <w:highlight w:val="none"/>
        </w:rPr>
        <w:t>四、商务标第一部分评审</w:t>
      </w:r>
    </w:p>
    <w:p>
      <w:pPr>
        <w:snapToGrid w:val="0"/>
        <w:spacing w:line="360" w:lineRule="auto"/>
        <w:ind w:firstLine="482" w:firstLineChars="200"/>
        <w:rPr>
          <w:rFonts w:ascii="Times New Roman" w:hAnsi="Times New Roman"/>
          <w:bCs/>
          <w:sz w:val="24"/>
          <w:szCs w:val="24"/>
          <w:highlight w:val="none"/>
        </w:rPr>
      </w:pPr>
      <w:r>
        <w:rPr>
          <w:rFonts w:hint="eastAsia" w:ascii="Times New Roman" w:hAnsi="Times New Roman"/>
          <w:b/>
          <w:sz w:val="24"/>
          <w:szCs w:val="24"/>
          <w:highlight w:val="none"/>
        </w:rPr>
        <w:t>评标委员会商务专家组</w:t>
      </w:r>
      <w:r>
        <w:rPr>
          <w:rFonts w:hint="eastAsia" w:ascii="Times New Roman" w:hAnsi="Times New Roman"/>
          <w:bCs/>
          <w:sz w:val="24"/>
          <w:szCs w:val="24"/>
          <w:highlight w:val="none"/>
        </w:rPr>
        <w:t>对进入评审区间的投标人的商务标第一部分进行审查，投标人存在投标须知前附表</w:t>
      </w:r>
      <w:r>
        <w:rPr>
          <w:rFonts w:ascii="Times New Roman" w:hAnsi="Times New Roman"/>
          <w:bCs/>
          <w:sz w:val="24"/>
          <w:szCs w:val="24"/>
          <w:highlight w:val="none"/>
        </w:rPr>
        <w:t>10.5</w:t>
      </w:r>
      <w:r>
        <w:rPr>
          <w:rFonts w:hint="eastAsia" w:ascii="Times New Roman" w:hAnsi="Times New Roman"/>
          <w:bCs/>
          <w:sz w:val="24"/>
          <w:szCs w:val="24"/>
          <w:highlight w:val="none"/>
        </w:rPr>
        <w:t>情形</w:t>
      </w:r>
      <w:r>
        <w:rPr>
          <w:rFonts w:ascii="Times New Roman" w:hAnsi="Times New Roman"/>
          <w:bCs/>
          <w:sz w:val="24"/>
          <w:szCs w:val="24"/>
          <w:highlight w:val="none"/>
        </w:rPr>
        <w:t>(</w:t>
      </w:r>
      <w:r>
        <w:rPr>
          <w:rFonts w:hint="eastAsia" w:ascii="Times New Roman" w:hAnsi="Times New Roman"/>
          <w:bCs/>
          <w:sz w:val="24"/>
          <w:szCs w:val="24"/>
          <w:highlight w:val="none"/>
        </w:rPr>
        <w:t>商务标第一部分评审内容）的，评标委员会组织投标人询问核实后，情况属实的，商务标第一部分审查不予通过，否决其投标。</w:t>
      </w:r>
    </w:p>
    <w:p>
      <w:pPr>
        <w:snapToGrid w:val="0"/>
        <w:spacing w:line="360" w:lineRule="auto"/>
        <w:ind w:firstLine="482" w:firstLineChars="200"/>
        <w:outlineLvl w:val="2"/>
        <w:rPr>
          <w:rFonts w:ascii="Times New Roman" w:hAnsi="Times New Roman"/>
          <w:b/>
          <w:sz w:val="24"/>
          <w:szCs w:val="24"/>
          <w:highlight w:val="none"/>
        </w:rPr>
      </w:pPr>
      <w:r>
        <w:rPr>
          <w:rFonts w:hint="eastAsia" w:ascii="Times New Roman" w:hAnsi="Times New Roman"/>
          <w:b/>
          <w:sz w:val="24"/>
          <w:szCs w:val="24"/>
          <w:highlight w:val="none"/>
        </w:rPr>
        <w:t>五、商务标第二部分评审</w:t>
      </w:r>
    </w:p>
    <w:p>
      <w:pPr>
        <w:widowControl/>
        <w:tabs>
          <w:tab w:val="left" w:pos="9360"/>
        </w:tabs>
        <w:spacing w:line="360" w:lineRule="auto"/>
        <w:ind w:firstLine="480" w:firstLineChars="200"/>
        <w:rPr>
          <w:rFonts w:ascii="Times New Roman" w:hAnsi="Times New Roman"/>
          <w:kern w:val="0"/>
          <w:sz w:val="24"/>
          <w:szCs w:val="24"/>
          <w:highlight w:val="none"/>
        </w:rPr>
      </w:pPr>
      <w:r>
        <w:rPr>
          <w:rFonts w:ascii="Times New Roman" w:hAnsi="Times New Roman"/>
          <w:kern w:val="0"/>
          <w:sz w:val="24"/>
          <w:szCs w:val="24"/>
          <w:highlight w:val="none"/>
        </w:rPr>
        <w:t>1</w:t>
      </w:r>
      <w:r>
        <w:rPr>
          <w:rFonts w:hint="eastAsia" w:ascii="Times New Roman" w:hAnsi="Times New Roman"/>
          <w:kern w:val="0"/>
          <w:sz w:val="24"/>
          <w:szCs w:val="24"/>
          <w:highlight w:val="none"/>
        </w:rPr>
        <w:t>、商务标第二部分实行暗标评审，综合单价评审结束前，只有在</w:t>
      </w:r>
      <w:r>
        <w:rPr>
          <w:rFonts w:hint="eastAsia" w:ascii="Times New Roman" w:hAnsi="Times New Roman"/>
          <w:b/>
          <w:bCs/>
          <w:kern w:val="0"/>
          <w:sz w:val="24"/>
          <w:szCs w:val="24"/>
          <w:highlight w:val="none"/>
        </w:rPr>
        <w:t>评标委员会商务专家组</w:t>
      </w:r>
      <w:r>
        <w:rPr>
          <w:rFonts w:hint="eastAsia" w:ascii="Times New Roman" w:hAnsi="Times New Roman"/>
          <w:kern w:val="0"/>
          <w:sz w:val="24"/>
          <w:szCs w:val="24"/>
          <w:highlight w:val="none"/>
        </w:rPr>
        <w:t>确定需要询标时才能通过系统确认需要询标的投标人，其余未被列入询标的投标人名称评审过程中只体现该投标人的编号，投标人名称在其综合单价评审得分计算完成后由系统统一显示。</w:t>
      </w:r>
      <w:r>
        <w:rPr>
          <w:rFonts w:hint="eastAsia" w:ascii="Times New Roman" w:hAnsi="Times New Roman"/>
          <w:b/>
          <w:bCs/>
          <w:kern w:val="0"/>
          <w:sz w:val="24"/>
          <w:szCs w:val="24"/>
          <w:highlight w:val="none"/>
        </w:rPr>
        <w:t>评标委员会商务专家组</w:t>
      </w:r>
      <w:r>
        <w:rPr>
          <w:rFonts w:hint="eastAsia" w:ascii="Times New Roman" w:hAnsi="Times New Roman"/>
          <w:kern w:val="0"/>
          <w:sz w:val="24"/>
          <w:szCs w:val="24"/>
          <w:highlight w:val="none"/>
        </w:rPr>
        <w:t>首先对进入商务标第二部分评审的投标文件进行初步评审，存在投标须知前附表</w:t>
      </w:r>
      <w:r>
        <w:rPr>
          <w:rFonts w:ascii="Times New Roman" w:hAnsi="Times New Roman"/>
          <w:kern w:val="0"/>
          <w:sz w:val="24"/>
          <w:szCs w:val="24"/>
          <w:highlight w:val="none"/>
        </w:rPr>
        <w:t>10.5</w:t>
      </w:r>
      <w:r>
        <w:rPr>
          <w:rFonts w:hint="eastAsia" w:ascii="Times New Roman" w:hAnsi="Times New Roman"/>
          <w:kern w:val="0"/>
          <w:sz w:val="24"/>
          <w:szCs w:val="24"/>
          <w:highlight w:val="none"/>
        </w:rPr>
        <w:t>情形</w:t>
      </w:r>
      <w:r>
        <w:rPr>
          <w:rFonts w:ascii="Times New Roman" w:hAnsi="Times New Roman"/>
          <w:kern w:val="0"/>
          <w:sz w:val="24"/>
          <w:szCs w:val="24"/>
          <w:highlight w:val="none"/>
        </w:rPr>
        <w:t>(</w:t>
      </w:r>
      <w:r>
        <w:rPr>
          <w:rFonts w:hint="eastAsia" w:ascii="Times New Roman" w:hAnsi="Times New Roman"/>
          <w:kern w:val="0"/>
          <w:sz w:val="24"/>
          <w:szCs w:val="24"/>
          <w:highlight w:val="none"/>
        </w:rPr>
        <w:t>商务标第二部分评审内容）的，评标委员会组织投标人询问核实后，情况属实的，商务标第二部分评审不予通过，否决其投标。</w:t>
      </w:r>
    </w:p>
    <w:p>
      <w:pPr>
        <w:widowControl/>
        <w:tabs>
          <w:tab w:val="left" w:pos="9360"/>
        </w:tabs>
        <w:spacing w:line="360" w:lineRule="auto"/>
        <w:ind w:firstLine="480" w:firstLineChars="200"/>
        <w:rPr>
          <w:rFonts w:ascii="Times New Roman" w:hAnsi="Times New Roman"/>
          <w:kern w:val="0"/>
          <w:sz w:val="24"/>
          <w:szCs w:val="24"/>
          <w:highlight w:val="none"/>
        </w:rPr>
      </w:pPr>
      <w:r>
        <w:rPr>
          <w:rFonts w:ascii="Times New Roman" w:hAnsi="Times New Roman"/>
          <w:kern w:val="0"/>
          <w:sz w:val="24"/>
          <w:szCs w:val="24"/>
          <w:highlight w:val="none"/>
        </w:rPr>
        <w:t>2</w:t>
      </w:r>
      <w:r>
        <w:rPr>
          <w:rFonts w:hint="eastAsia" w:ascii="Times New Roman" w:hAnsi="Times New Roman"/>
          <w:kern w:val="0"/>
          <w:sz w:val="24"/>
          <w:szCs w:val="24"/>
          <w:highlight w:val="none"/>
        </w:rPr>
        <w:t>、确定各投标人的最终投标报价：</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投标报价评审应在各投标人投标报价内容和口径一致的基础上进行。因招标文件叙述不清楚引起各投标人投标报价内容和口径不一致时，应按有关规定统一调整投标报价的内容和口径后计算出各投标人的投标报价，但因投标人失误造成的报价差错、遗漏，不属于调整范围。评标专家组将对确定为实质上响应招标文件要求的投标文件进行校核，看其是否有计算上、累计上或表达上的错误，修正错误的原则如下：</w:t>
      </w:r>
    </w:p>
    <w:p>
      <w:pPr>
        <w:widowControl/>
        <w:tabs>
          <w:tab w:val="left" w:pos="9360"/>
        </w:tabs>
        <w:spacing w:line="360" w:lineRule="auto"/>
        <w:ind w:firstLine="480" w:firstLineChars="200"/>
        <w:rPr>
          <w:rFonts w:ascii="Times New Roman" w:hAnsi="Times New Roman"/>
          <w:kern w:val="0"/>
          <w:sz w:val="24"/>
          <w:szCs w:val="24"/>
          <w:highlight w:val="none"/>
        </w:rPr>
      </w:pPr>
      <w:r>
        <w:rPr>
          <w:rFonts w:ascii="Times New Roman" w:hAnsi="Times New Roman"/>
          <w:kern w:val="0"/>
          <w:sz w:val="24"/>
          <w:szCs w:val="24"/>
          <w:highlight w:val="none"/>
        </w:rPr>
        <w:t>2.1</w:t>
      </w:r>
      <w:r>
        <w:rPr>
          <w:rFonts w:hint="eastAsia" w:ascii="Times New Roman" w:hAnsi="Times New Roman"/>
          <w:kern w:val="0"/>
          <w:sz w:val="24"/>
          <w:szCs w:val="24"/>
          <w:highlight w:val="none"/>
        </w:rPr>
        <w:t>用数字表示的金额和用文字表示的金额不一致时，应以文字表示的金额为准；</w:t>
      </w:r>
    </w:p>
    <w:p>
      <w:pPr>
        <w:widowControl/>
        <w:tabs>
          <w:tab w:val="left" w:pos="9360"/>
        </w:tabs>
        <w:spacing w:line="360" w:lineRule="auto"/>
        <w:ind w:firstLine="480" w:firstLineChars="200"/>
        <w:rPr>
          <w:rFonts w:ascii="Times New Roman" w:hAnsi="Times New Roman"/>
          <w:kern w:val="0"/>
          <w:sz w:val="24"/>
          <w:szCs w:val="24"/>
          <w:highlight w:val="none"/>
        </w:rPr>
      </w:pPr>
      <w:r>
        <w:rPr>
          <w:rFonts w:ascii="Times New Roman" w:hAnsi="Times New Roman"/>
          <w:kern w:val="0"/>
          <w:sz w:val="24"/>
          <w:szCs w:val="24"/>
          <w:highlight w:val="none"/>
        </w:rPr>
        <w:t>2.2</w:t>
      </w:r>
      <w:r>
        <w:rPr>
          <w:rFonts w:hint="eastAsia" w:ascii="Times New Roman" w:hAnsi="Times New Roman"/>
          <w:kern w:val="0"/>
          <w:sz w:val="24"/>
          <w:szCs w:val="24"/>
          <w:highlight w:val="none"/>
        </w:rPr>
        <w:t>当单价与数量的乘积与合价不一致时，以单价为准进行价格调整，除非评标专家组认为单价有明显的小数点错误，此时应以标明的合价为准，并修改单价；</w:t>
      </w:r>
    </w:p>
    <w:p>
      <w:pPr>
        <w:widowControl/>
        <w:tabs>
          <w:tab w:val="left" w:pos="9360"/>
        </w:tabs>
        <w:spacing w:line="360" w:lineRule="auto"/>
        <w:ind w:firstLine="480" w:firstLineChars="200"/>
        <w:rPr>
          <w:rFonts w:ascii="Times New Roman" w:hAnsi="Times New Roman"/>
          <w:kern w:val="0"/>
          <w:sz w:val="24"/>
          <w:szCs w:val="24"/>
          <w:highlight w:val="none"/>
        </w:rPr>
      </w:pPr>
      <w:r>
        <w:rPr>
          <w:rFonts w:ascii="Times New Roman" w:hAnsi="Times New Roman"/>
          <w:kern w:val="0"/>
          <w:sz w:val="24"/>
          <w:szCs w:val="24"/>
          <w:highlight w:val="none"/>
        </w:rPr>
        <w:t>2.3</w:t>
      </w:r>
      <w:r>
        <w:rPr>
          <w:rFonts w:hint="eastAsia" w:ascii="Times New Roman" w:hAnsi="Times New Roman"/>
          <w:kern w:val="0"/>
          <w:sz w:val="24"/>
          <w:szCs w:val="24"/>
          <w:highlight w:val="none"/>
        </w:rPr>
        <w:t>单价漏报，但有单项合价的，按单项合价除以招标文件工程量清单相应栏目的数量所得的商，作为该项的单价；</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按上述修正错误的原则及方法调整或修正投标文件的投标报价，该投标报价作为投标人的最终投标报价（投标总报价调整值小于</w:t>
      </w:r>
      <w:r>
        <w:rPr>
          <w:rFonts w:ascii="Times New Roman" w:hAnsi="Times New Roman"/>
          <w:kern w:val="0"/>
          <w:sz w:val="24"/>
          <w:szCs w:val="24"/>
          <w:highlight w:val="none"/>
        </w:rPr>
        <w:t>100</w:t>
      </w:r>
      <w:r>
        <w:rPr>
          <w:rFonts w:hint="eastAsia" w:ascii="Times New Roman" w:hAnsi="Times New Roman"/>
          <w:kern w:val="0"/>
          <w:sz w:val="24"/>
          <w:szCs w:val="24"/>
          <w:highlight w:val="none"/>
        </w:rPr>
        <w:t>元的，不作调整）。</w:t>
      </w:r>
    </w:p>
    <w:p>
      <w:pPr>
        <w:widowControl/>
        <w:tabs>
          <w:tab w:val="left" w:pos="9360"/>
        </w:tabs>
        <w:spacing w:line="360" w:lineRule="auto"/>
        <w:ind w:firstLine="480" w:firstLineChars="200"/>
        <w:rPr>
          <w:rFonts w:ascii="Times New Roman" w:hAnsi="Times New Roman"/>
          <w:kern w:val="0"/>
          <w:sz w:val="24"/>
          <w:szCs w:val="24"/>
          <w:highlight w:val="none"/>
        </w:rPr>
      </w:pPr>
      <w:r>
        <w:rPr>
          <w:rFonts w:ascii="Times New Roman" w:hAnsi="Times New Roman"/>
          <w:kern w:val="0"/>
          <w:sz w:val="24"/>
          <w:szCs w:val="24"/>
          <w:highlight w:val="none"/>
        </w:rPr>
        <w:t>3</w:t>
      </w:r>
      <w:r>
        <w:rPr>
          <w:rFonts w:hint="eastAsia" w:ascii="Times New Roman" w:hAnsi="Times New Roman"/>
          <w:kern w:val="0"/>
          <w:sz w:val="24"/>
          <w:szCs w:val="24"/>
          <w:highlight w:val="none"/>
        </w:rPr>
        <w:t>、</w:t>
      </w:r>
      <w:r>
        <w:rPr>
          <w:rFonts w:hint="eastAsia" w:ascii="Times New Roman" w:hAnsi="Times New Roman"/>
          <w:kern w:val="0"/>
          <w:sz w:val="24"/>
          <w:szCs w:val="24"/>
          <w:highlight w:val="none"/>
          <w:lang w:val="zh-CN"/>
        </w:rPr>
        <w:t>工程量清单综合单价评审</w:t>
      </w:r>
      <w:r>
        <w:rPr>
          <w:rFonts w:hint="eastAsia" w:ascii="Times New Roman" w:hAnsi="Times New Roman"/>
          <w:kern w:val="0"/>
          <w:sz w:val="24"/>
          <w:szCs w:val="24"/>
          <w:highlight w:val="none"/>
        </w:rPr>
        <w:t>（满分</w:t>
      </w:r>
      <w:r>
        <w:rPr>
          <w:rFonts w:ascii="Times New Roman" w:hAnsi="Times New Roman"/>
          <w:kern w:val="0"/>
          <w:sz w:val="24"/>
          <w:szCs w:val="24"/>
          <w:highlight w:val="none"/>
        </w:rPr>
        <w:t>5</w:t>
      </w:r>
      <w:r>
        <w:rPr>
          <w:rFonts w:hint="eastAsia" w:ascii="Times New Roman" w:hAnsi="Times New Roman"/>
          <w:kern w:val="0"/>
          <w:sz w:val="24"/>
          <w:szCs w:val="24"/>
          <w:highlight w:val="none"/>
        </w:rPr>
        <w:t>分）</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评标专家组对通过以上评审的投标文件进行详细评审，在评审过程中，评标专家应在去除上述评审已确定不列入评审范围的投标报价后再计算投标平均价。各投标人的工程量清单综合评价分公布后，无论任何原因引起有效投标人个数发生变化时，所计算的各项投标平均价也不再进行调整。</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评标专家组在确定各投标人最终投标报价的同时，应对投标人的</w:t>
      </w:r>
      <w:r>
        <w:rPr>
          <w:rFonts w:hint="eastAsia" w:ascii="Times New Roman" w:hAnsi="Times New Roman"/>
          <w:kern w:val="0"/>
          <w:sz w:val="24"/>
          <w:szCs w:val="24"/>
          <w:highlight w:val="none"/>
          <w:lang w:val="zh-CN"/>
        </w:rPr>
        <w:t>工程量清单综合单价</w:t>
      </w:r>
      <w:r>
        <w:rPr>
          <w:rFonts w:hint="eastAsia" w:ascii="Times New Roman" w:hAnsi="Times New Roman"/>
          <w:kern w:val="0"/>
          <w:sz w:val="24"/>
          <w:szCs w:val="24"/>
          <w:highlight w:val="none"/>
        </w:rPr>
        <w:t>进行评审</w:t>
      </w:r>
      <w:r>
        <w:rPr>
          <w:rFonts w:ascii="Times New Roman" w:hAnsi="Times New Roman"/>
          <w:kern w:val="0"/>
          <w:sz w:val="24"/>
          <w:szCs w:val="24"/>
          <w:highlight w:val="none"/>
        </w:rPr>
        <w:t>,</w:t>
      </w:r>
      <w:r>
        <w:rPr>
          <w:rFonts w:hint="eastAsia" w:ascii="Times New Roman" w:hAnsi="Times New Roman"/>
          <w:kern w:val="0"/>
          <w:sz w:val="24"/>
          <w:szCs w:val="24"/>
          <w:highlight w:val="none"/>
          <w:lang w:val="zh-CN"/>
        </w:rPr>
        <w:t>工程量清单综合单价</w:t>
      </w:r>
      <w:r>
        <w:rPr>
          <w:rFonts w:hint="eastAsia" w:ascii="Times New Roman" w:hAnsi="Times New Roman"/>
          <w:kern w:val="0"/>
          <w:sz w:val="24"/>
          <w:szCs w:val="24"/>
          <w:highlight w:val="none"/>
        </w:rPr>
        <w:t>评审的原则和方法如下：</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按工程量清单项目（含措施项目）总数的</w:t>
      </w:r>
      <w:bookmarkStart w:id="16" w:name="EBc394a964dc9d4f9c993c6c929c8f55b1"/>
      <w:bookmarkEnd w:id="16"/>
      <w:r>
        <w:rPr>
          <w:rFonts w:hint="eastAsia" w:ascii="Times New Roman" w:hAnsi="Times New Roman"/>
          <w:color w:val="5500FF"/>
          <w:kern w:val="0"/>
          <w:sz w:val="24"/>
          <w:szCs w:val="24"/>
          <w:highlight w:val="none"/>
          <w:u w:val="single"/>
          <w:lang w:val="en-US" w:eastAsia="zh-CN"/>
        </w:rPr>
        <w:t xml:space="preserve">   </w:t>
      </w:r>
      <w:r>
        <w:rPr>
          <w:rFonts w:ascii="Times New Roman" w:hAnsi="Times New Roman"/>
          <w:color w:val="5500FF"/>
          <w:kern w:val="0"/>
          <w:sz w:val="24"/>
          <w:szCs w:val="24"/>
          <w:highlight w:val="none"/>
        </w:rPr>
        <w:t>%</w:t>
      </w:r>
      <w:r>
        <w:rPr>
          <w:rFonts w:hint="eastAsia" w:ascii="Times New Roman" w:hAnsi="Times New Roman"/>
          <w:kern w:val="0"/>
          <w:sz w:val="24"/>
          <w:szCs w:val="24"/>
          <w:highlight w:val="none"/>
        </w:rPr>
        <w:t>随机选择评审项目（抽取比例不建议为</w:t>
      </w:r>
      <w:r>
        <w:rPr>
          <w:rFonts w:ascii="Times New Roman" w:hAnsi="Times New Roman"/>
          <w:kern w:val="0"/>
          <w:sz w:val="24"/>
          <w:szCs w:val="24"/>
          <w:highlight w:val="none"/>
        </w:rPr>
        <w:t>100%</w:t>
      </w:r>
      <w:r>
        <w:rPr>
          <w:rFonts w:hint="eastAsia" w:ascii="Times New Roman" w:hAnsi="Times New Roman"/>
          <w:kern w:val="0"/>
          <w:sz w:val="24"/>
          <w:szCs w:val="24"/>
          <w:highlight w:val="none"/>
        </w:rPr>
        <w:t>）。</w:t>
      </w:r>
    </w:p>
    <w:p>
      <w:pPr>
        <w:widowControl/>
        <w:tabs>
          <w:tab w:val="left" w:pos="9360"/>
        </w:tabs>
        <w:spacing w:line="360" w:lineRule="auto"/>
        <w:ind w:firstLine="480" w:firstLineChars="200"/>
        <w:rPr>
          <w:rFonts w:ascii="Times New Roman" w:hAnsi="Times New Roman"/>
          <w:kern w:val="0"/>
          <w:szCs w:val="21"/>
          <w:highlight w:val="none"/>
        </w:rPr>
      </w:pPr>
      <w:r>
        <w:rPr>
          <w:rFonts w:hint="eastAsia" w:ascii="Times New Roman" w:hAnsi="Times New Roman"/>
          <w:kern w:val="0"/>
          <w:sz w:val="24"/>
          <w:szCs w:val="24"/>
          <w:highlight w:val="none"/>
        </w:rPr>
        <w:t>对投标人列入评审项目的工程量的报价（指每一项目的综合单价与工程量的乘积）进行评审：（</w:t>
      </w:r>
      <w:r>
        <w:rPr>
          <w:rFonts w:ascii="Times New Roman" w:hAnsi="Times New Roman"/>
          <w:kern w:val="0"/>
          <w:sz w:val="24"/>
          <w:szCs w:val="24"/>
          <w:highlight w:val="none"/>
        </w:rPr>
        <w:t>1</w:t>
      </w:r>
      <w:r>
        <w:rPr>
          <w:rFonts w:hint="eastAsia" w:ascii="Times New Roman" w:hAnsi="Times New Roman"/>
          <w:kern w:val="0"/>
          <w:sz w:val="24"/>
          <w:szCs w:val="24"/>
          <w:highlight w:val="none"/>
        </w:rPr>
        <w:t>）在每一评审项目中，如投标人该项目报价与招标控制价离差大于或等于</w:t>
      </w:r>
      <w:r>
        <w:rPr>
          <w:rFonts w:ascii="Times New Roman" w:hAnsi="Times New Roman"/>
          <w:kern w:val="0"/>
          <w:sz w:val="24"/>
          <w:szCs w:val="24"/>
          <w:highlight w:val="none"/>
        </w:rPr>
        <w:t>20%</w:t>
      </w:r>
      <w:r>
        <w:rPr>
          <w:rFonts w:hint="eastAsia" w:ascii="Times New Roman" w:hAnsi="Times New Roman"/>
          <w:kern w:val="0"/>
          <w:sz w:val="24"/>
          <w:szCs w:val="24"/>
          <w:highlight w:val="none"/>
        </w:rPr>
        <w:t>时，该投标人的报价不参与该项目评审基准价的计算（如某项目所有投标人均不满足参与评审基准价计算要求时，该项目不再评审）；（</w:t>
      </w:r>
      <w:r>
        <w:rPr>
          <w:rFonts w:ascii="Times New Roman" w:hAnsi="Times New Roman"/>
          <w:kern w:val="0"/>
          <w:sz w:val="24"/>
          <w:szCs w:val="24"/>
          <w:highlight w:val="none"/>
        </w:rPr>
        <w:t>2</w:t>
      </w:r>
      <w:r>
        <w:rPr>
          <w:rFonts w:hint="eastAsia" w:ascii="Times New Roman" w:hAnsi="Times New Roman"/>
          <w:kern w:val="0"/>
          <w:sz w:val="24"/>
          <w:szCs w:val="24"/>
          <w:highlight w:val="none"/>
        </w:rPr>
        <w:t>）以所有参与评审基准价计算的投标人报价的平均价为该项目评审基准价（评审基准价低于</w:t>
      </w:r>
      <w:r>
        <w:rPr>
          <w:rFonts w:ascii="Times New Roman" w:hAnsi="Times New Roman"/>
          <w:kern w:val="0"/>
          <w:sz w:val="24"/>
          <w:szCs w:val="24"/>
          <w:highlight w:val="none"/>
        </w:rPr>
        <w:t>500</w:t>
      </w:r>
      <w:r>
        <w:rPr>
          <w:rFonts w:hint="eastAsia" w:ascii="Times New Roman" w:hAnsi="Times New Roman"/>
          <w:kern w:val="0"/>
          <w:sz w:val="24"/>
          <w:szCs w:val="24"/>
          <w:highlight w:val="none"/>
        </w:rPr>
        <w:t>元的项目不再进行评审）。</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投标人每个清单项目报价与相同编码项目的评审基准价相比，浮动率超过或等于</w:t>
      </w:r>
      <w:r>
        <w:rPr>
          <w:rFonts w:ascii="Times New Roman" w:hAnsi="Times New Roman"/>
          <w:kern w:val="0"/>
          <w:sz w:val="24"/>
          <w:szCs w:val="24"/>
          <w:highlight w:val="none"/>
        </w:rPr>
        <w:t>±10%</w:t>
      </w:r>
      <w:r>
        <w:rPr>
          <w:rFonts w:hint="eastAsia" w:ascii="Times New Roman" w:hAnsi="Times New Roman"/>
          <w:kern w:val="0"/>
          <w:sz w:val="24"/>
          <w:szCs w:val="24"/>
          <w:highlight w:val="none"/>
        </w:rPr>
        <w:t>时，每项扣</w:t>
      </w:r>
      <w:r>
        <w:rPr>
          <w:rFonts w:ascii="Times New Roman" w:hAnsi="Times New Roman"/>
          <w:kern w:val="0"/>
          <w:sz w:val="24"/>
          <w:szCs w:val="24"/>
          <w:highlight w:val="none"/>
        </w:rPr>
        <w:t>0.05</w:t>
      </w:r>
      <w:r>
        <w:rPr>
          <w:rFonts w:hint="eastAsia" w:ascii="Times New Roman" w:hAnsi="Times New Roman"/>
          <w:kern w:val="0"/>
          <w:sz w:val="24"/>
          <w:szCs w:val="24"/>
          <w:highlight w:val="none"/>
        </w:rPr>
        <w:t>分。</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按上述原则</w:t>
      </w:r>
      <w:r>
        <w:rPr>
          <w:rFonts w:ascii="Times New Roman" w:hAnsi="Times New Roman"/>
          <w:kern w:val="0"/>
          <w:sz w:val="24"/>
          <w:szCs w:val="24"/>
          <w:highlight w:val="none"/>
        </w:rPr>
        <w:t>,</w:t>
      </w:r>
      <w:r>
        <w:rPr>
          <w:rFonts w:hint="eastAsia" w:ascii="Times New Roman" w:hAnsi="Times New Roman"/>
          <w:kern w:val="0"/>
          <w:sz w:val="24"/>
          <w:szCs w:val="24"/>
          <w:highlight w:val="none"/>
        </w:rPr>
        <w:t>评标专家组对各家投标人的报价进行评审，并按以上规定进行扣分，最高扣分</w:t>
      </w:r>
      <w:r>
        <w:rPr>
          <w:rFonts w:ascii="Times New Roman" w:hAnsi="Times New Roman"/>
          <w:kern w:val="0"/>
          <w:sz w:val="24"/>
          <w:szCs w:val="24"/>
          <w:highlight w:val="none"/>
        </w:rPr>
        <w:t>5</w:t>
      </w:r>
      <w:r>
        <w:rPr>
          <w:rFonts w:hint="eastAsia" w:ascii="Times New Roman" w:hAnsi="Times New Roman"/>
          <w:kern w:val="0"/>
          <w:sz w:val="24"/>
          <w:szCs w:val="24"/>
          <w:highlight w:val="none"/>
        </w:rPr>
        <w:t>分，扣完为止。</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投标人的工程量清单综合单价评审得分</w:t>
      </w:r>
      <w:r>
        <w:rPr>
          <w:rFonts w:ascii="Times New Roman" w:hAnsi="Times New Roman"/>
          <w:kern w:val="0"/>
          <w:sz w:val="24"/>
          <w:szCs w:val="24"/>
          <w:highlight w:val="none"/>
        </w:rPr>
        <w:t>=5</w:t>
      </w:r>
      <w:r>
        <w:rPr>
          <w:rFonts w:hint="eastAsia" w:ascii="Times New Roman" w:hAnsi="Times New Roman"/>
          <w:kern w:val="0"/>
          <w:sz w:val="24"/>
          <w:szCs w:val="24"/>
          <w:highlight w:val="none"/>
        </w:rPr>
        <w:t>分</w:t>
      </w:r>
      <w:r>
        <w:rPr>
          <w:rFonts w:ascii="Times New Roman" w:hAnsi="Times New Roman"/>
          <w:kern w:val="0"/>
          <w:sz w:val="24"/>
          <w:szCs w:val="24"/>
          <w:highlight w:val="none"/>
        </w:rPr>
        <w:t>-</w:t>
      </w:r>
      <w:r>
        <w:rPr>
          <w:rFonts w:hint="eastAsia" w:ascii="Times New Roman" w:hAnsi="Times New Roman"/>
          <w:kern w:val="0"/>
          <w:sz w:val="24"/>
          <w:szCs w:val="24"/>
          <w:highlight w:val="none"/>
        </w:rPr>
        <w:t>上述扣分值</w:t>
      </w:r>
    </w:p>
    <w:p>
      <w:pPr>
        <w:widowControl/>
        <w:tabs>
          <w:tab w:val="left" w:pos="9360"/>
        </w:tabs>
        <w:spacing w:line="360" w:lineRule="auto"/>
        <w:ind w:firstLine="480" w:firstLineChars="200"/>
        <w:rPr>
          <w:rFonts w:ascii="Times New Roman" w:hAnsi="Times New Roman"/>
          <w:kern w:val="0"/>
          <w:sz w:val="24"/>
          <w:szCs w:val="24"/>
          <w:highlight w:val="none"/>
        </w:rPr>
      </w:pPr>
      <w:r>
        <w:rPr>
          <w:rFonts w:ascii="Times New Roman" w:hAnsi="Times New Roman"/>
          <w:kern w:val="0"/>
          <w:sz w:val="24"/>
          <w:szCs w:val="24"/>
          <w:highlight w:val="none"/>
        </w:rPr>
        <w:t>4</w:t>
      </w:r>
      <w:r>
        <w:rPr>
          <w:rFonts w:hint="eastAsia" w:ascii="Times New Roman" w:hAnsi="Times New Roman"/>
          <w:kern w:val="0"/>
          <w:sz w:val="24"/>
          <w:szCs w:val="24"/>
          <w:highlight w:val="none"/>
        </w:rPr>
        <w:t>、投标人投标报价分（</w:t>
      </w:r>
      <w:r>
        <w:rPr>
          <w:rFonts w:hint="eastAsia" w:ascii="Times New Roman" w:hAnsi="Times New Roman"/>
          <w:color w:val="0000FF"/>
          <w:kern w:val="0"/>
          <w:sz w:val="24"/>
          <w:szCs w:val="24"/>
          <w:highlight w:val="none"/>
          <w:u w:val="single"/>
          <w:lang w:val="en-US" w:eastAsia="zh-CN"/>
        </w:rPr>
        <w:t xml:space="preserve">   </w:t>
      </w:r>
      <w:r>
        <w:rPr>
          <w:rFonts w:hint="eastAsia" w:ascii="Times New Roman" w:hAnsi="Times New Roman"/>
          <w:kern w:val="0"/>
          <w:sz w:val="24"/>
          <w:szCs w:val="24"/>
          <w:highlight w:val="none"/>
        </w:rPr>
        <w:t>分）</w:t>
      </w:r>
    </w:p>
    <w:p>
      <w:pPr>
        <w:widowControl/>
        <w:tabs>
          <w:tab w:val="left" w:pos="9360"/>
        </w:tabs>
        <w:spacing w:line="360" w:lineRule="auto"/>
        <w:ind w:firstLine="480" w:firstLineChars="200"/>
        <w:rPr>
          <w:rFonts w:ascii="Times New Roman" w:hAnsi="Times New Roman"/>
          <w:kern w:val="0"/>
          <w:sz w:val="24"/>
          <w:szCs w:val="24"/>
          <w:highlight w:val="none"/>
        </w:rPr>
      </w:pPr>
      <w:r>
        <w:rPr>
          <w:rFonts w:ascii="Times New Roman" w:hAnsi="Times New Roman"/>
          <w:kern w:val="0"/>
          <w:sz w:val="24"/>
          <w:szCs w:val="24"/>
          <w:highlight w:val="none"/>
        </w:rPr>
        <w:t xml:space="preserve">4.1 </w:t>
      </w:r>
      <w:r>
        <w:rPr>
          <w:rFonts w:hint="eastAsia" w:ascii="Times New Roman" w:hAnsi="Times New Roman"/>
          <w:kern w:val="0"/>
          <w:sz w:val="24"/>
          <w:szCs w:val="24"/>
          <w:highlight w:val="none"/>
        </w:rPr>
        <w:t>按上述第</w:t>
      </w:r>
      <w:r>
        <w:rPr>
          <w:rFonts w:ascii="Times New Roman" w:hAnsi="Times New Roman"/>
          <w:kern w:val="0"/>
          <w:sz w:val="24"/>
          <w:szCs w:val="24"/>
          <w:highlight w:val="none"/>
        </w:rPr>
        <w:t>2</w:t>
      </w:r>
      <w:r>
        <w:rPr>
          <w:rFonts w:hint="eastAsia" w:ascii="Times New Roman" w:hAnsi="Times New Roman"/>
          <w:kern w:val="0"/>
          <w:sz w:val="24"/>
          <w:szCs w:val="24"/>
          <w:highlight w:val="none"/>
        </w:rPr>
        <w:t>点修正错误的原则及方法调整或修正投标文件的投标报价，该投标报价作为投标人的最终投标报价，经投标人确认同意后，该投标报价对投标人起约束作用，如果投标人不接受该投标报价的，则其投标将被拒绝并且其投标担保也将被没收。</w:t>
      </w:r>
    </w:p>
    <w:p>
      <w:pPr>
        <w:widowControl/>
        <w:tabs>
          <w:tab w:val="left" w:pos="9360"/>
        </w:tabs>
        <w:spacing w:line="360" w:lineRule="auto"/>
        <w:ind w:firstLine="480" w:firstLineChars="200"/>
        <w:rPr>
          <w:rFonts w:ascii="Times New Roman" w:hAnsi="Times New Roman"/>
          <w:kern w:val="0"/>
          <w:sz w:val="24"/>
          <w:szCs w:val="24"/>
          <w:highlight w:val="none"/>
        </w:rPr>
      </w:pPr>
      <w:r>
        <w:rPr>
          <w:rFonts w:ascii="Times New Roman" w:hAnsi="Times New Roman"/>
          <w:kern w:val="0"/>
          <w:sz w:val="24"/>
          <w:szCs w:val="24"/>
          <w:highlight w:val="none"/>
        </w:rPr>
        <w:t>4.2</w:t>
      </w:r>
      <w:r>
        <w:rPr>
          <w:rFonts w:hint="eastAsia" w:ascii="Times New Roman" w:hAnsi="Times New Roman"/>
          <w:kern w:val="0"/>
          <w:sz w:val="24"/>
          <w:szCs w:val="24"/>
          <w:highlight w:val="none"/>
        </w:rPr>
        <w:t>计算评标基准价</w:t>
      </w:r>
    </w:p>
    <w:p>
      <w:pPr>
        <w:widowControl/>
        <w:tabs>
          <w:tab w:val="left" w:pos="9360"/>
        </w:tabs>
        <w:spacing w:line="360" w:lineRule="auto"/>
        <w:ind w:firstLine="480" w:firstLineChars="200"/>
        <w:rPr>
          <w:rFonts w:ascii="Times New Roman" w:hAnsi="Times New Roman"/>
          <w:kern w:val="0"/>
          <w:sz w:val="24"/>
          <w:szCs w:val="24"/>
          <w:highlight w:val="none"/>
        </w:rPr>
      </w:pPr>
      <w:r>
        <w:rPr>
          <w:rFonts w:ascii="Times New Roman" w:hAnsi="Times New Roman"/>
          <w:kern w:val="0"/>
          <w:sz w:val="24"/>
          <w:szCs w:val="24"/>
          <w:highlight w:val="none"/>
        </w:rPr>
        <w:t>4.2.1</w:t>
      </w:r>
      <w:r>
        <w:rPr>
          <w:rFonts w:hint="eastAsia" w:ascii="Times New Roman" w:hAnsi="Times New Roman"/>
          <w:kern w:val="0"/>
          <w:sz w:val="24"/>
          <w:szCs w:val="24"/>
          <w:highlight w:val="none"/>
        </w:rPr>
        <w:t>当参与基准价计算的投标人少于等于</w:t>
      </w:r>
      <w:r>
        <w:rPr>
          <w:rFonts w:ascii="Times New Roman" w:hAnsi="Times New Roman"/>
          <w:kern w:val="0"/>
          <w:sz w:val="24"/>
          <w:szCs w:val="24"/>
          <w:highlight w:val="none"/>
        </w:rPr>
        <w:t>3</w:t>
      </w:r>
      <w:r>
        <w:rPr>
          <w:rFonts w:hint="eastAsia" w:ascii="Times New Roman" w:hAnsi="Times New Roman"/>
          <w:kern w:val="0"/>
          <w:sz w:val="24"/>
          <w:szCs w:val="24"/>
          <w:highlight w:val="none"/>
        </w:rPr>
        <w:t>家时，参与评标基准价的计算的投标人的最低最终投标报价即为评标基准价。</w:t>
      </w:r>
    </w:p>
    <w:p>
      <w:pPr>
        <w:widowControl/>
        <w:tabs>
          <w:tab w:val="left" w:pos="9360"/>
        </w:tabs>
        <w:spacing w:line="360" w:lineRule="auto"/>
        <w:ind w:firstLine="480" w:firstLineChars="200"/>
        <w:rPr>
          <w:rFonts w:ascii="Times New Roman" w:hAnsi="Times New Roman"/>
          <w:kern w:val="0"/>
          <w:sz w:val="24"/>
          <w:szCs w:val="24"/>
          <w:highlight w:val="none"/>
        </w:rPr>
      </w:pPr>
      <w:r>
        <w:rPr>
          <w:rFonts w:ascii="Times New Roman" w:hAnsi="Times New Roman"/>
          <w:kern w:val="0"/>
          <w:sz w:val="24"/>
          <w:szCs w:val="24"/>
          <w:highlight w:val="none"/>
        </w:rPr>
        <w:t xml:space="preserve">4.2.2 </w:t>
      </w:r>
      <w:r>
        <w:rPr>
          <w:rFonts w:hint="eastAsia" w:ascii="Times New Roman" w:hAnsi="Times New Roman"/>
          <w:kern w:val="0"/>
          <w:sz w:val="24"/>
          <w:szCs w:val="24"/>
          <w:highlight w:val="none"/>
        </w:rPr>
        <w:t>当参与基准价计算的投标人多于</w:t>
      </w:r>
      <w:r>
        <w:rPr>
          <w:rFonts w:ascii="Times New Roman" w:hAnsi="Times New Roman"/>
          <w:kern w:val="0"/>
          <w:sz w:val="24"/>
          <w:szCs w:val="24"/>
          <w:highlight w:val="none"/>
        </w:rPr>
        <w:t>3</w:t>
      </w:r>
      <w:r>
        <w:rPr>
          <w:rFonts w:hint="eastAsia" w:ascii="Times New Roman" w:hAnsi="Times New Roman"/>
          <w:kern w:val="0"/>
          <w:sz w:val="24"/>
          <w:szCs w:val="24"/>
          <w:highlight w:val="none"/>
        </w:rPr>
        <w:t>家少于等于</w:t>
      </w:r>
      <w:r>
        <w:rPr>
          <w:rFonts w:ascii="Times New Roman" w:hAnsi="Times New Roman"/>
          <w:kern w:val="0"/>
          <w:sz w:val="24"/>
          <w:szCs w:val="24"/>
          <w:highlight w:val="none"/>
        </w:rPr>
        <w:t>5</w:t>
      </w:r>
      <w:r>
        <w:rPr>
          <w:rFonts w:hint="eastAsia" w:ascii="Times New Roman" w:hAnsi="Times New Roman"/>
          <w:kern w:val="0"/>
          <w:sz w:val="24"/>
          <w:szCs w:val="24"/>
          <w:highlight w:val="none"/>
        </w:rPr>
        <w:t>家时，在参与评标基准价计算的投标人中去掉一个最高报价后的算术平均值即为评标基准价。</w:t>
      </w:r>
    </w:p>
    <w:p>
      <w:pPr>
        <w:widowControl/>
        <w:tabs>
          <w:tab w:val="left" w:pos="9360"/>
        </w:tabs>
        <w:spacing w:line="360" w:lineRule="auto"/>
        <w:ind w:firstLine="480" w:firstLineChars="200"/>
        <w:rPr>
          <w:rFonts w:ascii="Times New Roman" w:hAnsi="Times New Roman"/>
          <w:kern w:val="0"/>
          <w:sz w:val="24"/>
          <w:szCs w:val="24"/>
          <w:highlight w:val="none"/>
        </w:rPr>
      </w:pPr>
      <w:r>
        <w:rPr>
          <w:rFonts w:ascii="Times New Roman" w:hAnsi="Times New Roman"/>
          <w:kern w:val="0"/>
          <w:sz w:val="24"/>
          <w:szCs w:val="24"/>
          <w:highlight w:val="none"/>
        </w:rPr>
        <w:t xml:space="preserve">4.2.3 </w:t>
      </w:r>
      <w:r>
        <w:rPr>
          <w:rFonts w:hint="eastAsia" w:ascii="Times New Roman" w:hAnsi="Times New Roman"/>
          <w:kern w:val="0"/>
          <w:sz w:val="24"/>
          <w:szCs w:val="24"/>
          <w:highlight w:val="none"/>
        </w:rPr>
        <w:t>当参与基准价计算的投标人多于</w:t>
      </w:r>
      <w:r>
        <w:rPr>
          <w:rFonts w:ascii="Times New Roman" w:hAnsi="Times New Roman"/>
          <w:kern w:val="0"/>
          <w:sz w:val="24"/>
          <w:szCs w:val="24"/>
          <w:highlight w:val="none"/>
        </w:rPr>
        <w:t>5</w:t>
      </w:r>
      <w:r>
        <w:rPr>
          <w:rFonts w:hint="eastAsia" w:ascii="Times New Roman" w:hAnsi="Times New Roman"/>
          <w:kern w:val="0"/>
          <w:sz w:val="24"/>
          <w:szCs w:val="24"/>
          <w:highlight w:val="none"/>
        </w:rPr>
        <w:t>家时，评标基准价按如下程序计算确定：</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本评标办法中，评标基准价的计算只进行一次性计算，除计算差错外，评标过程中评标基准价均保持不变。计算差错，仅限于以下两种情况：（</w:t>
      </w:r>
      <w:r>
        <w:rPr>
          <w:rFonts w:ascii="Times New Roman" w:hAnsi="Times New Roman"/>
          <w:kern w:val="0"/>
          <w:sz w:val="24"/>
          <w:szCs w:val="24"/>
          <w:highlight w:val="none"/>
        </w:rPr>
        <w:t>1</w:t>
      </w:r>
      <w:r>
        <w:rPr>
          <w:rFonts w:hint="eastAsia" w:ascii="Times New Roman" w:hAnsi="Times New Roman"/>
          <w:kern w:val="0"/>
          <w:sz w:val="24"/>
          <w:szCs w:val="24"/>
          <w:highlight w:val="none"/>
        </w:rPr>
        <w:t>）纯算术性四则运算差错；（</w:t>
      </w:r>
      <w:r>
        <w:rPr>
          <w:rFonts w:ascii="Times New Roman" w:hAnsi="Times New Roman"/>
          <w:kern w:val="0"/>
          <w:sz w:val="24"/>
          <w:szCs w:val="24"/>
          <w:highlight w:val="none"/>
        </w:rPr>
        <w:t>2</w:t>
      </w:r>
      <w:r>
        <w:rPr>
          <w:rFonts w:hint="eastAsia" w:ascii="Times New Roman" w:hAnsi="Times New Roman"/>
          <w:kern w:val="0"/>
          <w:sz w:val="24"/>
          <w:szCs w:val="24"/>
          <w:highlight w:val="none"/>
        </w:rPr>
        <w:t>）未按约定的计算方法，多计或者少计投标人报价的。由于评标差错，导致否决投标错误，重新评标纠正等其他情况，不属于计算差错。（</w:t>
      </w:r>
      <w:r>
        <w:rPr>
          <w:rFonts w:ascii="Times New Roman" w:hAnsi="Times New Roman"/>
          <w:kern w:val="0"/>
          <w:sz w:val="24"/>
          <w:szCs w:val="24"/>
          <w:highlight w:val="none"/>
        </w:rPr>
        <w:t>3</w:t>
      </w:r>
      <w:r>
        <w:rPr>
          <w:rFonts w:hint="eastAsia" w:ascii="Times New Roman" w:hAnsi="Times New Roman"/>
          <w:kern w:val="0"/>
          <w:sz w:val="24"/>
          <w:szCs w:val="24"/>
          <w:highlight w:val="none"/>
        </w:rPr>
        <w:t>）凡涉及报价金额计算的均以元为单位，保留二位小数，第三位四舍五入。</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由招标人代表从以下</w:t>
      </w:r>
      <w:r>
        <w:rPr>
          <w:rFonts w:ascii="Times New Roman" w:hAnsi="Times New Roman"/>
          <w:kern w:val="0"/>
          <w:sz w:val="24"/>
          <w:szCs w:val="24"/>
          <w:highlight w:val="none"/>
        </w:rPr>
        <w:t>Ⅰ</w:t>
      </w:r>
      <w:r>
        <w:rPr>
          <w:rFonts w:hint="eastAsia" w:ascii="Times New Roman" w:hAnsi="Times New Roman"/>
          <w:kern w:val="0"/>
          <w:sz w:val="24"/>
          <w:szCs w:val="24"/>
          <w:highlight w:val="none"/>
        </w:rPr>
        <w:t>，</w:t>
      </w:r>
      <w:r>
        <w:rPr>
          <w:rFonts w:ascii="Times New Roman" w:hAnsi="Times New Roman"/>
          <w:kern w:val="0"/>
          <w:sz w:val="24"/>
          <w:szCs w:val="24"/>
          <w:highlight w:val="none"/>
        </w:rPr>
        <w:t>Ⅱ</w:t>
      </w:r>
      <w:r>
        <w:rPr>
          <w:rFonts w:hint="eastAsia" w:ascii="Times New Roman" w:hAnsi="Times New Roman"/>
          <w:kern w:val="0"/>
          <w:sz w:val="24"/>
          <w:szCs w:val="24"/>
          <w:highlight w:val="none"/>
        </w:rPr>
        <w:t>，</w:t>
      </w:r>
      <w:r>
        <w:rPr>
          <w:rFonts w:ascii="Times New Roman" w:hAnsi="Times New Roman"/>
          <w:kern w:val="0"/>
          <w:sz w:val="24"/>
          <w:szCs w:val="24"/>
          <w:highlight w:val="none"/>
        </w:rPr>
        <w:t>Ⅲ</w:t>
      </w:r>
      <w:r>
        <w:rPr>
          <w:rFonts w:hint="eastAsia" w:ascii="Times New Roman" w:hAnsi="Times New Roman"/>
          <w:kern w:val="0"/>
          <w:sz w:val="24"/>
          <w:szCs w:val="24"/>
          <w:highlight w:val="none"/>
        </w:rPr>
        <w:t>基准价计算方案，随机抽取一种作为本项目的基准价计算办法。</w:t>
      </w:r>
    </w:p>
    <w:p>
      <w:pPr>
        <w:widowControl/>
        <w:tabs>
          <w:tab w:val="left" w:pos="9360"/>
        </w:tabs>
        <w:spacing w:line="360" w:lineRule="auto"/>
        <w:ind w:firstLine="480" w:firstLineChars="200"/>
        <w:rPr>
          <w:rFonts w:ascii="Times New Roman" w:hAnsi="Times New Roman"/>
          <w:kern w:val="0"/>
          <w:sz w:val="24"/>
          <w:szCs w:val="24"/>
          <w:highlight w:val="none"/>
        </w:rPr>
      </w:pPr>
      <w:r>
        <w:rPr>
          <w:rFonts w:ascii="Times New Roman" w:hAnsi="Times New Roman"/>
          <w:kern w:val="0"/>
          <w:sz w:val="24"/>
          <w:szCs w:val="24"/>
          <w:highlight w:val="none"/>
        </w:rPr>
        <w:t>Ⅰ</w:t>
      </w:r>
      <w:r>
        <w:rPr>
          <w:rFonts w:hint="eastAsia" w:ascii="Times New Roman" w:hAnsi="Times New Roman"/>
          <w:kern w:val="0"/>
          <w:sz w:val="24"/>
          <w:szCs w:val="24"/>
          <w:highlight w:val="none"/>
        </w:rPr>
        <w:t>基准价计算方案：</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评标基准价</w:t>
      </w:r>
      <w:r>
        <w:rPr>
          <w:rFonts w:ascii="Times New Roman" w:hAnsi="Times New Roman"/>
          <w:kern w:val="0"/>
          <w:sz w:val="24"/>
          <w:szCs w:val="24"/>
          <w:highlight w:val="none"/>
        </w:rPr>
        <w:t>:P=k*d</w:t>
      </w:r>
    </w:p>
    <w:p>
      <w:pPr>
        <w:widowControl/>
        <w:tabs>
          <w:tab w:val="left" w:pos="9360"/>
        </w:tabs>
        <w:spacing w:line="360" w:lineRule="auto"/>
        <w:ind w:firstLine="480" w:firstLineChars="200"/>
        <w:rPr>
          <w:rFonts w:ascii="Times New Roman" w:hAnsi="Times New Roman"/>
          <w:kern w:val="0"/>
          <w:sz w:val="24"/>
          <w:szCs w:val="24"/>
          <w:highlight w:val="none"/>
        </w:rPr>
      </w:pPr>
      <w:r>
        <w:rPr>
          <w:rFonts w:ascii="Times New Roman" w:hAnsi="Times New Roman"/>
          <w:kern w:val="0"/>
          <w:sz w:val="24"/>
          <w:szCs w:val="24"/>
          <w:highlight w:val="none"/>
        </w:rPr>
        <w:t>P:</w:t>
      </w:r>
      <w:r>
        <w:rPr>
          <w:rFonts w:hint="eastAsia" w:ascii="Times New Roman" w:hAnsi="Times New Roman"/>
          <w:kern w:val="0"/>
          <w:sz w:val="24"/>
          <w:szCs w:val="24"/>
          <w:highlight w:val="none"/>
        </w:rPr>
        <w:t>评标基准价；</w:t>
      </w:r>
    </w:p>
    <w:p>
      <w:pPr>
        <w:widowControl/>
        <w:tabs>
          <w:tab w:val="left" w:pos="9360"/>
        </w:tabs>
        <w:spacing w:line="360" w:lineRule="auto"/>
        <w:ind w:firstLine="480" w:firstLineChars="200"/>
        <w:rPr>
          <w:rFonts w:ascii="Times New Roman" w:hAnsi="Times New Roman"/>
          <w:kern w:val="0"/>
          <w:sz w:val="24"/>
          <w:szCs w:val="24"/>
          <w:highlight w:val="none"/>
        </w:rPr>
      </w:pPr>
      <w:r>
        <w:rPr>
          <w:rFonts w:ascii="Times New Roman" w:hAnsi="Times New Roman"/>
          <w:kern w:val="0"/>
          <w:sz w:val="24"/>
          <w:szCs w:val="24"/>
          <w:highlight w:val="none"/>
        </w:rPr>
        <w:t>d:</w:t>
      </w:r>
      <w:r>
        <w:rPr>
          <w:rFonts w:hint="eastAsia" w:ascii="Times New Roman" w:hAnsi="Times New Roman"/>
          <w:kern w:val="0"/>
          <w:sz w:val="24"/>
          <w:szCs w:val="24"/>
          <w:highlight w:val="none"/>
        </w:rPr>
        <w:t>在参与基准价计算的所有投标人投标报价的算术平均值。</w:t>
      </w:r>
    </w:p>
    <w:p>
      <w:pPr>
        <w:widowControl/>
        <w:tabs>
          <w:tab w:val="left" w:pos="9360"/>
        </w:tabs>
        <w:spacing w:line="360" w:lineRule="auto"/>
        <w:ind w:firstLine="480" w:firstLineChars="200"/>
        <w:rPr>
          <w:rFonts w:ascii="Times New Roman" w:hAnsi="Times New Roman"/>
          <w:kern w:val="0"/>
          <w:sz w:val="24"/>
          <w:szCs w:val="24"/>
          <w:highlight w:val="none"/>
        </w:rPr>
      </w:pPr>
      <w:r>
        <w:rPr>
          <w:rFonts w:ascii="Times New Roman" w:hAnsi="Times New Roman"/>
          <w:kern w:val="0"/>
          <w:sz w:val="24"/>
          <w:szCs w:val="24"/>
          <w:highlight w:val="none"/>
        </w:rPr>
        <w:t xml:space="preserve"> k:</w:t>
      </w:r>
      <w:r>
        <w:rPr>
          <w:rFonts w:hint="eastAsia" w:ascii="Times New Roman" w:hAnsi="Times New Roman"/>
          <w:kern w:val="0"/>
          <w:sz w:val="24"/>
          <w:szCs w:val="24"/>
          <w:highlight w:val="none"/>
        </w:rPr>
        <w:t>随机系数（由招标人在</w:t>
      </w:r>
      <w:r>
        <w:rPr>
          <w:rFonts w:ascii="Times New Roman" w:hAnsi="Times New Roman"/>
          <w:kern w:val="0"/>
          <w:sz w:val="24"/>
          <w:szCs w:val="24"/>
          <w:highlight w:val="none"/>
        </w:rPr>
        <w:t>0.9900</w:t>
      </w:r>
      <w:r>
        <w:rPr>
          <w:rFonts w:hint="eastAsia" w:ascii="Times New Roman" w:hAnsi="Times New Roman"/>
          <w:kern w:val="0"/>
          <w:sz w:val="24"/>
          <w:szCs w:val="24"/>
          <w:highlight w:val="none"/>
        </w:rPr>
        <w:t>、</w:t>
      </w:r>
      <w:r>
        <w:rPr>
          <w:rFonts w:ascii="Times New Roman" w:hAnsi="Times New Roman"/>
          <w:kern w:val="0"/>
          <w:sz w:val="24"/>
          <w:szCs w:val="24"/>
          <w:highlight w:val="none"/>
        </w:rPr>
        <w:t>0.9925</w:t>
      </w:r>
      <w:r>
        <w:rPr>
          <w:rFonts w:hint="eastAsia" w:ascii="Times New Roman" w:hAnsi="Times New Roman"/>
          <w:kern w:val="0"/>
          <w:sz w:val="24"/>
          <w:szCs w:val="24"/>
          <w:highlight w:val="none"/>
        </w:rPr>
        <w:t>、</w:t>
      </w:r>
      <w:r>
        <w:rPr>
          <w:rFonts w:ascii="Times New Roman" w:hAnsi="Times New Roman"/>
          <w:kern w:val="0"/>
          <w:sz w:val="24"/>
          <w:szCs w:val="24"/>
          <w:highlight w:val="none"/>
        </w:rPr>
        <w:t>0.9950</w:t>
      </w:r>
      <w:r>
        <w:rPr>
          <w:rFonts w:hint="eastAsia" w:ascii="Times New Roman" w:hAnsi="Times New Roman"/>
          <w:kern w:val="0"/>
          <w:sz w:val="24"/>
          <w:szCs w:val="24"/>
          <w:highlight w:val="none"/>
        </w:rPr>
        <w:t>、</w:t>
      </w:r>
      <w:r>
        <w:rPr>
          <w:rFonts w:ascii="Times New Roman" w:hAnsi="Times New Roman"/>
          <w:kern w:val="0"/>
          <w:sz w:val="24"/>
          <w:szCs w:val="24"/>
          <w:highlight w:val="none"/>
        </w:rPr>
        <w:t>0.9975</w:t>
      </w:r>
      <w:r>
        <w:rPr>
          <w:rFonts w:hint="eastAsia" w:ascii="Times New Roman" w:hAnsi="Times New Roman"/>
          <w:kern w:val="0"/>
          <w:sz w:val="24"/>
          <w:szCs w:val="24"/>
          <w:highlight w:val="none"/>
        </w:rPr>
        <w:t>、</w:t>
      </w:r>
      <w:r>
        <w:rPr>
          <w:rFonts w:ascii="Times New Roman" w:hAnsi="Times New Roman"/>
          <w:kern w:val="0"/>
          <w:sz w:val="24"/>
          <w:szCs w:val="24"/>
          <w:highlight w:val="none"/>
        </w:rPr>
        <w:t>1.0000</w:t>
      </w:r>
      <w:r>
        <w:rPr>
          <w:rFonts w:hint="eastAsia" w:ascii="Times New Roman" w:hAnsi="Times New Roman"/>
          <w:kern w:val="0"/>
          <w:sz w:val="24"/>
          <w:szCs w:val="24"/>
          <w:highlight w:val="none"/>
        </w:rPr>
        <w:t>、</w:t>
      </w:r>
      <w:r>
        <w:rPr>
          <w:rFonts w:ascii="Times New Roman" w:hAnsi="Times New Roman"/>
          <w:kern w:val="0"/>
          <w:sz w:val="24"/>
          <w:szCs w:val="24"/>
          <w:highlight w:val="none"/>
        </w:rPr>
        <w:t>1.0025</w:t>
      </w:r>
      <w:r>
        <w:rPr>
          <w:rFonts w:hint="eastAsia" w:ascii="Times New Roman" w:hAnsi="Times New Roman"/>
          <w:kern w:val="0"/>
          <w:sz w:val="24"/>
          <w:szCs w:val="24"/>
          <w:highlight w:val="none"/>
        </w:rPr>
        <w:t>、</w:t>
      </w:r>
      <w:r>
        <w:rPr>
          <w:rFonts w:ascii="Times New Roman" w:hAnsi="Times New Roman"/>
          <w:kern w:val="0"/>
          <w:sz w:val="24"/>
          <w:szCs w:val="24"/>
          <w:highlight w:val="none"/>
        </w:rPr>
        <w:t>1.0050</w:t>
      </w:r>
      <w:r>
        <w:rPr>
          <w:rFonts w:hint="eastAsia" w:ascii="Times New Roman" w:hAnsi="Times New Roman"/>
          <w:kern w:val="0"/>
          <w:sz w:val="24"/>
          <w:szCs w:val="24"/>
          <w:highlight w:val="none"/>
        </w:rPr>
        <w:t>、</w:t>
      </w:r>
      <w:r>
        <w:rPr>
          <w:rFonts w:ascii="Times New Roman" w:hAnsi="Times New Roman"/>
          <w:kern w:val="0"/>
          <w:sz w:val="24"/>
          <w:szCs w:val="24"/>
          <w:highlight w:val="none"/>
        </w:rPr>
        <w:t>1.0075</w:t>
      </w:r>
      <w:r>
        <w:rPr>
          <w:rFonts w:hint="eastAsia" w:ascii="Times New Roman" w:hAnsi="Times New Roman"/>
          <w:kern w:val="0"/>
          <w:sz w:val="24"/>
          <w:szCs w:val="24"/>
          <w:highlight w:val="none"/>
        </w:rPr>
        <w:t>八个数据中随机抽取）</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若计算所得的评标基准价超过评审区间的范围，则以评审区间的上限或者下限作为评标基准价。（若计算所得的评标基准价高于评审区间的上限的，则以评审区间的上限作为评标基准价；若计算所得的评标基准价低于评审区间的下限的，则以评审区间的下限作为评标基准价。评审区间的上限</w:t>
      </w:r>
      <w:r>
        <w:rPr>
          <w:rFonts w:ascii="Times New Roman" w:hAnsi="Times New Roman"/>
          <w:kern w:val="0"/>
          <w:sz w:val="24"/>
          <w:szCs w:val="24"/>
          <w:highlight w:val="none"/>
        </w:rPr>
        <w:t>=</w:t>
      </w:r>
      <w:r>
        <w:rPr>
          <w:rFonts w:hint="eastAsia" w:ascii="Times New Roman" w:hAnsi="Times New Roman"/>
          <w:kern w:val="0"/>
          <w:sz w:val="24"/>
          <w:szCs w:val="24"/>
          <w:highlight w:val="none"/>
        </w:rPr>
        <w:t>招标控制价</w:t>
      </w:r>
      <w:r>
        <w:rPr>
          <w:rFonts w:ascii="Times New Roman" w:hAnsi="Times New Roman"/>
          <w:kern w:val="0"/>
          <w:sz w:val="24"/>
          <w:szCs w:val="24"/>
          <w:highlight w:val="none"/>
        </w:rPr>
        <w:t>*</w:t>
      </w:r>
      <w:r>
        <w:rPr>
          <w:rFonts w:hint="eastAsia" w:ascii="Times New Roman" w:hAnsi="Times New Roman"/>
          <w:kern w:val="0"/>
          <w:sz w:val="24"/>
          <w:szCs w:val="24"/>
          <w:highlight w:val="none"/>
        </w:rPr>
        <w:t>（</w:t>
      </w:r>
      <w:r>
        <w:rPr>
          <w:rFonts w:ascii="Times New Roman" w:hAnsi="Times New Roman"/>
          <w:kern w:val="0"/>
          <w:sz w:val="24"/>
          <w:szCs w:val="24"/>
          <w:highlight w:val="none"/>
        </w:rPr>
        <w:t>1-n%</w:t>
      </w:r>
      <w:r>
        <w:rPr>
          <w:rFonts w:hint="eastAsia" w:ascii="Times New Roman" w:hAnsi="Times New Roman"/>
          <w:kern w:val="0"/>
          <w:sz w:val="24"/>
          <w:szCs w:val="24"/>
          <w:highlight w:val="none"/>
        </w:rPr>
        <w:t>）；评审区间的下限</w:t>
      </w:r>
      <w:r>
        <w:rPr>
          <w:rFonts w:ascii="Times New Roman" w:hAnsi="Times New Roman"/>
          <w:kern w:val="0"/>
          <w:sz w:val="24"/>
          <w:szCs w:val="24"/>
          <w:highlight w:val="none"/>
        </w:rPr>
        <w:t>=</w:t>
      </w:r>
      <w:r>
        <w:rPr>
          <w:rFonts w:hint="eastAsia" w:ascii="Times New Roman" w:hAnsi="Times New Roman"/>
          <w:kern w:val="0"/>
          <w:sz w:val="24"/>
          <w:szCs w:val="24"/>
          <w:highlight w:val="none"/>
        </w:rPr>
        <w:t>招标控制价</w:t>
      </w:r>
      <w:r>
        <w:rPr>
          <w:rFonts w:ascii="Times New Roman" w:hAnsi="Times New Roman"/>
          <w:kern w:val="0"/>
          <w:sz w:val="24"/>
          <w:szCs w:val="24"/>
          <w:highlight w:val="none"/>
        </w:rPr>
        <w:t>*m%</w:t>
      </w:r>
      <w:r>
        <w:rPr>
          <w:rFonts w:hint="eastAsia" w:ascii="Times New Roman" w:hAnsi="Times New Roman"/>
          <w:kern w:val="0"/>
          <w:sz w:val="24"/>
          <w:szCs w:val="24"/>
          <w:highlight w:val="none"/>
        </w:rPr>
        <w:t>）</w:t>
      </w:r>
    </w:p>
    <w:p>
      <w:pPr>
        <w:widowControl/>
        <w:tabs>
          <w:tab w:val="left" w:pos="9360"/>
        </w:tabs>
        <w:spacing w:line="360" w:lineRule="auto"/>
        <w:ind w:firstLine="480" w:firstLineChars="200"/>
        <w:rPr>
          <w:rFonts w:ascii="Times New Roman" w:hAnsi="Times New Roman"/>
          <w:kern w:val="0"/>
          <w:sz w:val="24"/>
          <w:szCs w:val="24"/>
          <w:highlight w:val="none"/>
        </w:rPr>
      </w:pPr>
      <w:r>
        <w:rPr>
          <w:rFonts w:ascii="Times New Roman" w:hAnsi="Times New Roman"/>
          <w:kern w:val="0"/>
          <w:sz w:val="24"/>
          <w:szCs w:val="24"/>
          <w:highlight w:val="none"/>
        </w:rPr>
        <w:t>Ⅱ</w:t>
      </w:r>
      <w:r>
        <w:rPr>
          <w:rFonts w:hint="eastAsia" w:ascii="Times New Roman" w:hAnsi="Times New Roman"/>
          <w:kern w:val="0"/>
          <w:sz w:val="24"/>
          <w:szCs w:val="24"/>
          <w:highlight w:val="none"/>
        </w:rPr>
        <w:t>基准价计算方案：</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在参与基准价评审的投标人中，随机抽取三家单位。</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评标基准价：</w:t>
      </w:r>
      <w:r>
        <w:rPr>
          <w:rFonts w:ascii="Times New Roman" w:hAnsi="Times New Roman"/>
          <w:kern w:val="0"/>
          <w:sz w:val="24"/>
          <w:szCs w:val="24"/>
          <w:highlight w:val="none"/>
        </w:rPr>
        <w:t>P=d</w:t>
      </w:r>
      <w:r>
        <w:rPr>
          <w:rFonts w:hint="eastAsia" w:ascii="Times New Roman" w:hAnsi="Times New Roman"/>
          <w:kern w:val="0"/>
          <w:sz w:val="24"/>
          <w:szCs w:val="24"/>
          <w:highlight w:val="none"/>
        </w:rPr>
        <w:t>。</w:t>
      </w:r>
    </w:p>
    <w:p>
      <w:pPr>
        <w:widowControl/>
        <w:tabs>
          <w:tab w:val="left" w:pos="9360"/>
        </w:tabs>
        <w:spacing w:line="360" w:lineRule="auto"/>
        <w:ind w:firstLine="480" w:firstLineChars="200"/>
        <w:rPr>
          <w:rFonts w:ascii="Times New Roman" w:hAnsi="Times New Roman"/>
          <w:kern w:val="0"/>
          <w:sz w:val="24"/>
          <w:szCs w:val="24"/>
          <w:highlight w:val="none"/>
        </w:rPr>
      </w:pPr>
      <w:r>
        <w:rPr>
          <w:rFonts w:ascii="Times New Roman" w:hAnsi="Times New Roman"/>
          <w:kern w:val="0"/>
          <w:sz w:val="24"/>
          <w:szCs w:val="24"/>
          <w:highlight w:val="none"/>
        </w:rPr>
        <w:t>d:</w:t>
      </w:r>
      <w:r>
        <w:rPr>
          <w:rFonts w:hint="eastAsia" w:ascii="Times New Roman" w:hAnsi="Times New Roman"/>
          <w:kern w:val="0"/>
          <w:sz w:val="24"/>
          <w:szCs w:val="24"/>
          <w:highlight w:val="none"/>
        </w:rPr>
        <w:t>随机抽中三家单位投标报价的算术平均值。</w:t>
      </w:r>
    </w:p>
    <w:p>
      <w:pPr>
        <w:widowControl/>
        <w:tabs>
          <w:tab w:val="left" w:pos="9360"/>
        </w:tabs>
        <w:spacing w:line="360" w:lineRule="auto"/>
        <w:ind w:firstLine="480" w:firstLineChars="200"/>
        <w:rPr>
          <w:rFonts w:ascii="Times New Roman" w:hAnsi="Times New Roman"/>
          <w:kern w:val="0"/>
          <w:sz w:val="24"/>
          <w:szCs w:val="24"/>
          <w:highlight w:val="none"/>
        </w:rPr>
      </w:pPr>
      <w:r>
        <w:rPr>
          <w:rFonts w:ascii="Times New Roman" w:hAnsi="Times New Roman"/>
          <w:kern w:val="0"/>
          <w:sz w:val="24"/>
          <w:szCs w:val="24"/>
          <w:highlight w:val="none"/>
        </w:rPr>
        <w:t>Ⅲ</w:t>
      </w:r>
      <w:r>
        <w:rPr>
          <w:rFonts w:hint="eastAsia" w:ascii="Times New Roman" w:hAnsi="Times New Roman"/>
          <w:kern w:val="0"/>
          <w:sz w:val="24"/>
          <w:szCs w:val="24"/>
          <w:highlight w:val="none"/>
        </w:rPr>
        <w:t>基准价计算方案：</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评标基准价</w:t>
      </w:r>
      <w:r>
        <w:rPr>
          <w:rFonts w:ascii="Times New Roman" w:hAnsi="Times New Roman"/>
          <w:kern w:val="0"/>
          <w:sz w:val="24"/>
          <w:szCs w:val="24"/>
          <w:highlight w:val="none"/>
        </w:rPr>
        <w:t>:P=d*B+Y*</w:t>
      </w:r>
      <w:r>
        <w:rPr>
          <w:rFonts w:hint="eastAsia" w:ascii="Times New Roman" w:hAnsi="Times New Roman"/>
          <w:kern w:val="0"/>
          <w:sz w:val="24"/>
          <w:szCs w:val="24"/>
          <w:highlight w:val="none"/>
        </w:rPr>
        <w:t>（</w:t>
      </w:r>
      <w:r>
        <w:rPr>
          <w:rFonts w:ascii="Times New Roman" w:hAnsi="Times New Roman"/>
          <w:kern w:val="0"/>
          <w:sz w:val="24"/>
          <w:szCs w:val="24"/>
          <w:highlight w:val="none"/>
        </w:rPr>
        <w:t>1-A%</w:t>
      </w:r>
      <w:r>
        <w:rPr>
          <w:rFonts w:hint="eastAsia" w:ascii="Times New Roman" w:hAnsi="Times New Roman"/>
          <w:kern w:val="0"/>
          <w:sz w:val="24"/>
          <w:szCs w:val="24"/>
          <w:highlight w:val="none"/>
        </w:rPr>
        <w:t>）</w:t>
      </w:r>
      <w:r>
        <w:rPr>
          <w:rFonts w:ascii="Times New Roman" w:hAnsi="Times New Roman"/>
          <w:kern w:val="0"/>
          <w:sz w:val="24"/>
          <w:szCs w:val="24"/>
          <w:highlight w:val="none"/>
        </w:rPr>
        <w:t>*</w:t>
      </w:r>
      <w:r>
        <w:rPr>
          <w:rFonts w:hint="eastAsia" w:ascii="Times New Roman" w:hAnsi="Times New Roman"/>
          <w:kern w:val="0"/>
          <w:sz w:val="24"/>
          <w:szCs w:val="24"/>
          <w:highlight w:val="none"/>
        </w:rPr>
        <w:t>（</w:t>
      </w:r>
      <w:r>
        <w:rPr>
          <w:rFonts w:ascii="Times New Roman" w:hAnsi="Times New Roman"/>
          <w:kern w:val="0"/>
          <w:sz w:val="24"/>
          <w:szCs w:val="24"/>
          <w:highlight w:val="none"/>
        </w:rPr>
        <w:t>1-B</w:t>
      </w:r>
      <w:r>
        <w:rPr>
          <w:rFonts w:hint="eastAsia" w:ascii="Times New Roman" w:hAnsi="Times New Roman"/>
          <w:kern w:val="0"/>
          <w:sz w:val="24"/>
          <w:szCs w:val="24"/>
          <w:highlight w:val="none"/>
        </w:rPr>
        <w:t>）</w:t>
      </w:r>
    </w:p>
    <w:p>
      <w:pPr>
        <w:widowControl/>
        <w:tabs>
          <w:tab w:val="left" w:pos="9360"/>
        </w:tabs>
        <w:spacing w:line="360" w:lineRule="auto"/>
        <w:ind w:firstLine="480" w:firstLineChars="200"/>
        <w:rPr>
          <w:rFonts w:ascii="Times New Roman" w:hAnsi="Times New Roman"/>
          <w:kern w:val="0"/>
          <w:sz w:val="24"/>
          <w:szCs w:val="24"/>
          <w:highlight w:val="none"/>
        </w:rPr>
      </w:pPr>
      <w:r>
        <w:rPr>
          <w:rFonts w:ascii="Times New Roman" w:hAnsi="Times New Roman"/>
          <w:kern w:val="0"/>
          <w:sz w:val="24"/>
          <w:szCs w:val="24"/>
          <w:highlight w:val="none"/>
        </w:rPr>
        <w:t>d:</w:t>
      </w:r>
      <w:r>
        <w:rPr>
          <w:rFonts w:hint="eastAsia" w:ascii="Times New Roman" w:hAnsi="Times New Roman"/>
          <w:kern w:val="0"/>
          <w:sz w:val="24"/>
          <w:szCs w:val="24"/>
          <w:highlight w:val="none"/>
        </w:rPr>
        <w:t>在参与基准价计算的所有投标人投标报价的算术平均值。</w:t>
      </w:r>
    </w:p>
    <w:p>
      <w:pPr>
        <w:widowControl/>
        <w:tabs>
          <w:tab w:val="left" w:pos="9360"/>
        </w:tabs>
        <w:spacing w:line="360" w:lineRule="auto"/>
        <w:ind w:firstLine="480" w:firstLineChars="200"/>
        <w:rPr>
          <w:rFonts w:ascii="Times New Roman" w:hAnsi="Times New Roman"/>
          <w:kern w:val="0"/>
          <w:sz w:val="24"/>
          <w:szCs w:val="24"/>
          <w:highlight w:val="none"/>
        </w:rPr>
      </w:pPr>
      <w:r>
        <w:rPr>
          <w:rFonts w:ascii="Times New Roman" w:hAnsi="Times New Roman"/>
          <w:kern w:val="0"/>
          <w:sz w:val="24"/>
          <w:szCs w:val="24"/>
          <w:highlight w:val="none"/>
        </w:rPr>
        <w:t>Y:</w:t>
      </w:r>
      <w:r>
        <w:rPr>
          <w:rFonts w:hint="eastAsia" w:ascii="Times New Roman" w:hAnsi="Times New Roman"/>
          <w:kern w:val="0"/>
          <w:sz w:val="24"/>
          <w:szCs w:val="24"/>
          <w:highlight w:val="none"/>
        </w:rPr>
        <w:t>招标控制价</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权重</w:t>
      </w:r>
      <w:r>
        <w:rPr>
          <w:rFonts w:ascii="Times New Roman" w:hAnsi="Times New Roman"/>
          <w:kern w:val="0"/>
          <w:sz w:val="24"/>
          <w:szCs w:val="24"/>
          <w:highlight w:val="none"/>
        </w:rPr>
        <w:t>B</w:t>
      </w:r>
      <w:r>
        <w:rPr>
          <w:rFonts w:hint="eastAsia" w:ascii="Times New Roman" w:hAnsi="Times New Roman"/>
          <w:kern w:val="0"/>
          <w:sz w:val="24"/>
          <w:szCs w:val="24"/>
          <w:highlight w:val="none"/>
        </w:rPr>
        <w:t>：在（</w:t>
      </w:r>
      <w:r>
        <w:rPr>
          <w:rFonts w:ascii="Times New Roman" w:hAnsi="Times New Roman"/>
          <w:kern w:val="0"/>
          <w:sz w:val="24"/>
          <w:szCs w:val="24"/>
          <w:highlight w:val="none"/>
        </w:rPr>
        <w:t>40%</w:t>
      </w:r>
      <w:r>
        <w:rPr>
          <w:rFonts w:hint="eastAsia" w:ascii="Times New Roman" w:hAnsi="Times New Roman"/>
          <w:kern w:val="0"/>
          <w:sz w:val="24"/>
          <w:szCs w:val="24"/>
          <w:highlight w:val="none"/>
        </w:rPr>
        <w:t>、</w:t>
      </w:r>
      <w:r>
        <w:rPr>
          <w:rFonts w:ascii="Times New Roman" w:hAnsi="Times New Roman"/>
          <w:kern w:val="0"/>
          <w:sz w:val="24"/>
          <w:szCs w:val="24"/>
          <w:highlight w:val="none"/>
        </w:rPr>
        <w:t>42%</w:t>
      </w:r>
      <w:r>
        <w:rPr>
          <w:rFonts w:hint="eastAsia" w:ascii="Times New Roman" w:hAnsi="Times New Roman"/>
          <w:kern w:val="0"/>
          <w:sz w:val="24"/>
          <w:szCs w:val="24"/>
          <w:highlight w:val="none"/>
        </w:rPr>
        <w:t>、</w:t>
      </w:r>
      <w:r>
        <w:rPr>
          <w:rFonts w:ascii="Times New Roman" w:hAnsi="Times New Roman"/>
          <w:kern w:val="0"/>
          <w:sz w:val="24"/>
          <w:szCs w:val="24"/>
          <w:highlight w:val="none"/>
        </w:rPr>
        <w:t>44%</w:t>
      </w:r>
      <w:r>
        <w:rPr>
          <w:rFonts w:hint="eastAsia" w:ascii="Times New Roman" w:hAnsi="Times New Roman"/>
          <w:kern w:val="0"/>
          <w:sz w:val="24"/>
          <w:szCs w:val="24"/>
          <w:highlight w:val="none"/>
        </w:rPr>
        <w:t>、</w:t>
      </w:r>
      <w:r>
        <w:rPr>
          <w:rFonts w:ascii="Times New Roman" w:hAnsi="Times New Roman"/>
          <w:kern w:val="0"/>
          <w:sz w:val="24"/>
          <w:szCs w:val="24"/>
          <w:highlight w:val="none"/>
        </w:rPr>
        <w:t>46%</w:t>
      </w:r>
      <w:r>
        <w:rPr>
          <w:rFonts w:hint="eastAsia" w:ascii="Times New Roman" w:hAnsi="Times New Roman"/>
          <w:kern w:val="0"/>
          <w:sz w:val="24"/>
          <w:szCs w:val="24"/>
          <w:highlight w:val="none"/>
        </w:rPr>
        <w:t>、</w:t>
      </w:r>
      <w:r>
        <w:rPr>
          <w:rFonts w:ascii="Times New Roman" w:hAnsi="Times New Roman"/>
          <w:kern w:val="0"/>
          <w:sz w:val="24"/>
          <w:szCs w:val="24"/>
          <w:highlight w:val="none"/>
        </w:rPr>
        <w:t>48%</w:t>
      </w:r>
      <w:r>
        <w:rPr>
          <w:rFonts w:hint="eastAsia" w:ascii="Times New Roman" w:hAnsi="Times New Roman"/>
          <w:kern w:val="0"/>
          <w:sz w:val="24"/>
          <w:szCs w:val="24"/>
          <w:highlight w:val="none"/>
        </w:rPr>
        <w:t>、</w:t>
      </w:r>
      <w:r>
        <w:rPr>
          <w:rFonts w:ascii="Times New Roman" w:hAnsi="Times New Roman"/>
          <w:kern w:val="0"/>
          <w:sz w:val="24"/>
          <w:szCs w:val="24"/>
          <w:highlight w:val="none"/>
        </w:rPr>
        <w:t>50%</w:t>
      </w:r>
      <w:r>
        <w:rPr>
          <w:rFonts w:hint="eastAsia" w:ascii="Times New Roman" w:hAnsi="Times New Roman"/>
          <w:kern w:val="0"/>
          <w:sz w:val="24"/>
          <w:szCs w:val="24"/>
          <w:highlight w:val="none"/>
        </w:rPr>
        <w:t>、</w:t>
      </w:r>
      <w:r>
        <w:rPr>
          <w:rFonts w:ascii="Times New Roman" w:hAnsi="Times New Roman"/>
          <w:kern w:val="0"/>
          <w:sz w:val="24"/>
          <w:szCs w:val="24"/>
          <w:highlight w:val="none"/>
        </w:rPr>
        <w:t>52%</w:t>
      </w:r>
      <w:r>
        <w:rPr>
          <w:rFonts w:hint="eastAsia" w:ascii="Times New Roman" w:hAnsi="Times New Roman"/>
          <w:kern w:val="0"/>
          <w:sz w:val="24"/>
          <w:szCs w:val="24"/>
          <w:highlight w:val="none"/>
        </w:rPr>
        <w:t>、</w:t>
      </w:r>
      <w:r>
        <w:rPr>
          <w:rFonts w:ascii="Times New Roman" w:hAnsi="Times New Roman"/>
          <w:kern w:val="0"/>
          <w:sz w:val="24"/>
          <w:szCs w:val="24"/>
          <w:highlight w:val="none"/>
        </w:rPr>
        <w:t>54%</w:t>
      </w:r>
      <w:r>
        <w:rPr>
          <w:rFonts w:hint="eastAsia" w:ascii="Times New Roman" w:hAnsi="Times New Roman"/>
          <w:kern w:val="0"/>
          <w:sz w:val="24"/>
          <w:szCs w:val="24"/>
          <w:highlight w:val="none"/>
        </w:rPr>
        <w:t>、</w:t>
      </w:r>
      <w:r>
        <w:rPr>
          <w:rFonts w:ascii="Times New Roman" w:hAnsi="Times New Roman"/>
          <w:kern w:val="0"/>
          <w:sz w:val="24"/>
          <w:szCs w:val="24"/>
          <w:highlight w:val="none"/>
        </w:rPr>
        <w:t>56%</w:t>
      </w:r>
      <w:r>
        <w:rPr>
          <w:rFonts w:hint="eastAsia" w:ascii="Times New Roman" w:hAnsi="Times New Roman"/>
          <w:kern w:val="0"/>
          <w:sz w:val="24"/>
          <w:szCs w:val="24"/>
          <w:highlight w:val="none"/>
        </w:rPr>
        <w:t>、</w:t>
      </w:r>
      <w:r>
        <w:rPr>
          <w:rFonts w:ascii="Times New Roman" w:hAnsi="Times New Roman"/>
          <w:kern w:val="0"/>
          <w:sz w:val="24"/>
          <w:szCs w:val="24"/>
          <w:highlight w:val="none"/>
        </w:rPr>
        <w:t>58%</w:t>
      </w:r>
      <w:r>
        <w:rPr>
          <w:rFonts w:hint="eastAsia" w:ascii="Times New Roman" w:hAnsi="Times New Roman"/>
          <w:kern w:val="0"/>
          <w:sz w:val="24"/>
          <w:szCs w:val="24"/>
          <w:highlight w:val="none"/>
        </w:rPr>
        <w:t>、</w:t>
      </w:r>
      <w:r>
        <w:rPr>
          <w:rFonts w:ascii="Times New Roman" w:hAnsi="Times New Roman"/>
          <w:kern w:val="0"/>
          <w:sz w:val="24"/>
          <w:szCs w:val="24"/>
          <w:highlight w:val="none"/>
        </w:rPr>
        <w:t>60%</w:t>
      </w:r>
      <w:r>
        <w:rPr>
          <w:rFonts w:hint="eastAsia" w:ascii="Times New Roman" w:hAnsi="Times New Roman"/>
          <w:kern w:val="0"/>
          <w:sz w:val="24"/>
          <w:szCs w:val="24"/>
          <w:highlight w:val="none"/>
        </w:rPr>
        <w:t>）十一档数值中抽取。</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浮动率</w:t>
      </w:r>
      <w:r>
        <w:rPr>
          <w:rFonts w:ascii="Times New Roman" w:hAnsi="Times New Roman"/>
          <w:kern w:val="0"/>
          <w:sz w:val="24"/>
          <w:szCs w:val="24"/>
          <w:highlight w:val="none"/>
        </w:rPr>
        <w:t>A%</w:t>
      </w:r>
      <w:r>
        <w:rPr>
          <w:rFonts w:hint="eastAsia" w:ascii="Times New Roman" w:hAnsi="Times New Roman"/>
          <w:kern w:val="0"/>
          <w:sz w:val="24"/>
          <w:szCs w:val="24"/>
          <w:highlight w:val="none"/>
        </w:rPr>
        <w:t>：</w:t>
      </w:r>
      <w:r>
        <w:rPr>
          <w:rFonts w:ascii="Times New Roman" w:hAnsi="Times New Roman"/>
          <w:kern w:val="0"/>
          <w:sz w:val="24"/>
          <w:szCs w:val="24"/>
          <w:highlight w:val="none"/>
        </w:rPr>
        <w:t>A</w:t>
      </w:r>
      <w:r>
        <w:rPr>
          <w:rFonts w:hint="eastAsia" w:ascii="Times New Roman" w:hAnsi="Times New Roman"/>
          <w:kern w:val="0"/>
          <w:sz w:val="24"/>
          <w:szCs w:val="24"/>
          <w:highlight w:val="none"/>
        </w:rPr>
        <w:t>在</w:t>
      </w:r>
      <w:r>
        <w:rPr>
          <w:rFonts w:ascii="Times New Roman" w:hAnsi="Times New Roman"/>
          <w:kern w:val="0"/>
          <w:sz w:val="24"/>
          <w:szCs w:val="24"/>
          <w:highlight w:val="none"/>
        </w:rPr>
        <w:t>n</w:t>
      </w:r>
      <w:r>
        <w:rPr>
          <w:rFonts w:hint="eastAsia" w:ascii="Times New Roman" w:hAnsi="Times New Roman"/>
          <w:kern w:val="0"/>
          <w:sz w:val="24"/>
          <w:szCs w:val="24"/>
          <w:highlight w:val="none"/>
        </w:rPr>
        <w:t>～</w:t>
      </w:r>
      <w:r>
        <w:rPr>
          <w:rFonts w:ascii="Times New Roman" w:hAnsi="Times New Roman"/>
          <w:kern w:val="0"/>
          <w:sz w:val="24"/>
          <w:szCs w:val="24"/>
          <w:highlight w:val="none"/>
        </w:rPr>
        <w:t>(100-m)</w:t>
      </w:r>
      <w:r>
        <w:rPr>
          <w:rFonts w:hint="eastAsia" w:ascii="Times New Roman" w:hAnsi="Times New Roman"/>
          <w:kern w:val="0"/>
          <w:sz w:val="24"/>
          <w:szCs w:val="24"/>
          <w:highlight w:val="none"/>
        </w:rPr>
        <w:t>之间随机抽取（包含</w:t>
      </w:r>
      <w:r>
        <w:rPr>
          <w:rFonts w:hint="eastAsia" w:ascii="思源宋体 CN ExtraLight" w:hAnsi="思源宋体 CN ExtraLight" w:eastAsia="思源宋体 CN ExtraLight" w:cs="思源宋体 CN ExtraLight"/>
          <w:color w:val="000000"/>
          <w:sz w:val="24"/>
          <w:szCs w:val="24"/>
          <w:highlight w:val="none"/>
        </w:rPr>
        <w:t>n,100-m</w:t>
      </w:r>
      <w:r>
        <w:rPr>
          <w:rFonts w:hint="eastAsia" w:ascii="Times New Roman" w:hAnsi="Times New Roman"/>
          <w:kern w:val="0"/>
          <w:sz w:val="24"/>
          <w:szCs w:val="24"/>
          <w:highlight w:val="none"/>
        </w:rPr>
        <w:t>），取整数档，间隔为</w:t>
      </w:r>
      <w:r>
        <w:rPr>
          <w:rFonts w:ascii="Times New Roman" w:hAnsi="Times New Roman"/>
          <w:kern w:val="0"/>
          <w:sz w:val="24"/>
          <w:szCs w:val="24"/>
          <w:highlight w:val="none"/>
        </w:rPr>
        <w:t>1;n,m</w:t>
      </w:r>
      <w:r>
        <w:rPr>
          <w:rFonts w:hint="eastAsia" w:ascii="Times New Roman" w:hAnsi="Times New Roman"/>
          <w:kern w:val="0"/>
          <w:sz w:val="24"/>
          <w:szCs w:val="24"/>
          <w:highlight w:val="none"/>
        </w:rPr>
        <w:t>为异常报价环节招标人确定的值。</w:t>
      </w:r>
    </w:p>
    <w:p>
      <w:pPr>
        <w:widowControl/>
        <w:tabs>
          <w:tab w:val="left" w:pos="9360"/>
        </w:tabs>
        <w:spacing w:line="360" w:lineRule="auto"/>
        <w:ind w:firstLine="480" w:firstLineChars="200"/>
        <w:rPr>
          <w:rFonts w:ascii="Times New Roman" w:hAnsi="Times New Roman"/>
          <w:kern w:val="0"/>
          <w:sz w:val="24"/>
          <w:szCs w:val="24"/>
          <w:highlight w:val="none"/>
        </w:rPr>
      </w:pPr>
      <w:r>
        <w:rPr>
          <w:rFonts w:ascii="Times New Roman" w:hAnsi="Times New Roman"/>
          <w:kern w:val="0"/>
          <w:sz w:val="24"/>
          <w:szCs w:val="24"/>
          <w:highlight w:val="none"/>
        </w:rPr>
        <w:t xml:space="preserve">4.4 </w:t>
      </w:r>
      <w:r>
        <w:rPr>
          <w:rFonts w:hint="eastAsia" w:ascii="Times New Roman" w:hAnsi="Times New Roman"/>
          <w:kern w:val="0"/>
          <w:sz w:val="24"/>
          <w:szCs w:val="24"/>
          <w:highlight w:val="none"/>
        </w:rPr>
        <w:t>计算各投标人投标报价得分</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各投标人的最终投标报价与评标基准价进行比较</w:t>
      </w:r>
      <w:r>
        <w:rPr>
          <w:rFonts w:ascii="Times New Roman" w:hAnsi="Times New Roman"/>
          <w:kern w:val="0"/>
          <w:sz w:val="24"/>
          <w:szCs w:val="24"/>
          <w:highlight w:val="none"/>
        </w:rPr>
        <w:t>,</w:t>
      </w:r>
      <w:r>
        <w:rPr>
          <w:rFonts w:hint="eastAsia" w:ascii="Times New Roman" w:hAnsi="Times New Roman"/>
          <w:kern w:val="0"/>
          <w:sz w:val="24"/>
          <w:szCs w:val="24"/>
          <w:highlight w:val="none"/>
        </w:rPr>
        <w:t>相等时得满分</w:t>
      </w:r>
      <w:r>
        <w:rPr>
          <w:rFonts w:ascii="Times New Roman" w:hAnsi="Times New Roman"/>
          <w:kern w:val="0"/>
          <w:sz w:val="24"/>
          <w:szCs w:val="24"/>
          <w:highlight w:val="none"/>
        </w:rPr>
        <w:t>,</w:t>
      </w:r>
      <w:r>
        <w:rPr>
          <w:rFonts w:hint="eastAsia" w:ascii="Times New Roman" w:hAnsi="Times New Roman"/>
          <w:kern w:val="0"/>
          <w:sz w:val="24"/>
          <w:szCs w:val="24"/>
          <w:highlight w:val="none"/>
        </w:rPr>
        <w:t>每下浮</w:t>
      </w:r>
      <w:r>
        <w:rPr>
          <w:rFonts w:ascii="Times New Roman" w:hAnsi="Times New Roman"/>
          <w:kern w:val="0"/>
          <w:sz w:val="24"/>
          <w:szCs w:val="24"/>
          <w:highlight w:val="none"/>
        </w:rPr>
        <w:t>1</w:t>
      </w:r>
      <w:r>
        <w:rPr>
          <w:rFonts w:hint="eastAsia" w:ascii="Times New Roman" w:hAnsi="Times New Roman"/>
          <w:kern w:val="0"/>
          <w:sz w:val="24"/>
          <w:szCs w:val="24"/>
          <w:highlight w:val="none"/>
        </w:rPr>
        <w:t>％时扣</w:t>
      </w:r>
      <w:r>
        <w:rPr>
          <w:rFonts w:ascii="Times New Roman" w:hAnsi="Times New Roman"/>
          <w:kern w:val="0"/>
          <w:sz w:val="24"/>
          <w:szCs w:val="24"/>
          <w:highlight w:val="none"/>
        </w:rPr>
        <w:t>2.0</w:t>
      </w:r>
      <w:r>
        <w:rPr>
          <w:rFonts w:hint="eastAsia" w:ascii="Times New Roman" w:hAnsi="Times New Roman"/>
          <w:kern w:val="0"/>
          <w:sz w:val="24"/>
          <w:szCs w:val="24"/>
          <w:highlight w:val="none"/>
        </w:rPr>
        <w:t>分</w:t>
      </w:r>
      <w:r>
        <w:rPr>
          <w:rFonts w:ascii="Times New Roman" w:hAnsi="Times New Roman"/>
          <w:kern w:val="0"/>
          <w:sz w:val="24"/>
          <w:szCs w:val="24"/>
          <w:highlight w:val="none"/>
        </w:rPr>
        <w:t>,</w:t>
      </w:r>
      <w:r>
        <w:rPr>
          <w:rFonts w:hint="eastAsia" w:ascii="Times New Roman" w:hAnsi="Times New Roman"/>
          <w:kern w:val="0"/>
          <w:sz w:val="24"/>
          <w:szCs w:val="24"/>
          <w:highlight w:val="none"/>
        </w:rPr>
        <w:t>每上浮</w:t>
      </w:r>
      <w:r>
        <w:rPr>
          <w:rFonts w:ascii="Times New Roman" w:hAnsi="Times New Roman"/>
          <w:kern w:val="0"/>
          <w:sz w:val="24"/>
          <w:szCs w:val="24"/>
          <w:highlight w:val="none"/>
        </w:rPr>
        <w:t>1%</w:t>
      </w:r>
      <w:r>
        <w:rPr>
          <w:rFonts w:hint="eastAsia" w:ascii="Times New Roman" w:hAnsi="Times New Roman"/>
          <w:kern w:val="0"/>
          <w:sz w:val="24"/>
          <w:szCs w:val="24"/>
          <w:highlight w:val="none"/>
        </w:rPr>
        <w:t>时扣</w:t>
      </w:r>
      <w:r>
        <w:rPr>
          <w:rFonts w:ascii="Times New Roman" w:hAnsi="Times New Roman"/>
          <w:kern w:val="0"/>
          <w:sz w:val="24"/>
          <w:szCs w:val="24"/>
          <w:highlight w:val="none"/>
        </w:rPr>
        <w:t>4.0</w:t>
      </w:r>
      <w:r>
        <w:rPr>
          <w:rFonts w:hint="eastAsia" w:ascii="Times New Roman" w:hAnsi="Times New Roman"/>
          <w:kern w:val="0"/>
          <w:sz w:val="24"/>
          <w:szCs w:val="24"/>
          <w:highlight w:val="none"/>
        </w:rPr>
        <w:t>分，分值扣完为止（当出现百分点为非整数时</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保留小数点后二位</w:t>
      </w:r>
      <w:r>
        <w:rPr>
          <w:rFonts w:ascii="Times New Roman" w:hAnsi="Times New Roman"/>
          <w:kern w:val="0"/>
          <w:sz w:val="24"/>
          <w:szCs w:val="24"/>
          <w:highlight w:val="none"/>
        </w:rPr>
        <w:t>,</w:t>
      </w:r>
      <w:r>
        <w:rPr>
          <w:rFonts w:hint="eastAsia" w:ascii="Times New Roman" w:hAnsi="Times New Roman"/>
          <w:kern w:val="0"/>
          <w:sz w:val="24"/>
          <w:szCs w:val="24"/>
          <w:highlight w:val="none"/>
        </w:rPr>
        <w:t>第三位四舍五入，采用直线插入法计算分值；分值计算时保留小数点后二位</w:t>
      </w:r>
      <w:r>
        <w:rPr>
          <w:rFonts w:ascii="Times New Roman" w:hAnsi="Times New Roman"/>
          <w:kern w:val="0"/>
          <w:sz w:val="24"/>
          <w:szCs w:val="24"/>
          <w:highlight w:val="none"/>
        </w:rPr>
        <w:t>,</w:t>
      </w:r>
      <w:r>
        <w:rPr>
          <w:rFonts w:hint="eastAsia" w:ascii="Times New Roman" w:hAnsi="Times New Roman"/>
          <w:kern w:val="0"/>
          <w:sz w:val="24"/>
          <w:szCs w:val="24"/>
          <w:highlight w:val="none"/>
        </w:rPr>
        <w:t>第三位四舍五入。）</w:t>
      </w:r>
    </w:p>
    <w:p>
      <w:pPr>
        <w:widowControl/>
        <w:tabs>
          <w:tab w:val="left" w:pos="9360"/>
        </w:tabs>
        <w:spacing w:line="360" w:lineRule="auto"/>
        <w:ind w:firstLine="480" w:firstLineChars="200"/>
        <w:rPr>
          <w:rFonts w:ascii="Times New Roman" w:hAnsi="Times New Roman"/>
          <w:kern w:val="0"/>
          <w:sz w:val="24"/>
          <w:szCs w:val="24"/>
          <w:highlight w:val="none"/>
        </w:rPr>
      </w:pPr>
      <w:r>
        <w:rPr>
          <w:rFonts w:ascii="Times New Roman" w:hAnsi="Times New Roman"/>
          <w:kern w:val="0"/>
          <w:sz w:val="24"/>
          <w:szCs w:val="24"/>
          <w:highlight w:val="none"/>
        </w:rPr>
        <w:t xml:space="preserve">4.5 </w:t>
      </w:r>
      <w:r>
        <w:rPr>
          <w:rFonts w:hint="eastAsia" w:ascii="Times New Roman" w:hAnsi="Times New Roman"/>
          <w:kern w:val="0"/>
          <w:sz w:val="24"/>
          <w:szCs w:val="24"/>
          <w:highlight w:val="none"/>
        </w:rPr>
        <w:t>计算投标人商务标得分</w:t>
      </w:r>
    </w:p>
    <w:p>
      <w:pPr>
        <w:widowControl/>
        <w:tabs>
          <w:tab w:val="left" w:pos="9360"/>
        </w:tabs>
        <w:spacing w:line="360" w:lineRule="auto"/>
        <w:ind w:firstLine="480" w:firstLineChars="200"/>
        <w:rPr>
          <w:rFonts w:ascii="Times New Roman" w:hAnsi="Times New Roman"/>
          <w:kern w:val="0"/>
          <w:szCs w:val="21"/>
          <w:highlight w:val="none"/>
        </w:rPr>
      </w:pPr>
      <w:r>
        <w:rPr>
          <w:rFonts w:hint="eastAsia" w:ascii="Times New Roman" w:hAnsi="Times New Roman"/>
          <w:kern w:val="0"/>
          <w:sz w:val="24"/>
          <w:szCs w:val="24"/>
          <w:highlight w:val="none"/>
        </w:rPr>
        <w:t>商务标得分</w:t>
      </w:r>
      <w:r>
        <w:rPr>
          <w:rFonts w:ascii="Times New Roman" w:hAnsi="Times New Roman"/>
          <w:kern w:val="0"/>
          <w:sz w:val="24"/>
          <w:szCs w:val="24"/>
          <w:highlight w:val="none"/>
        </w:rPr>
        <w:t>=</w:t>
      </w:r>
      <w:r>
        <w:rPr>
          <w:rFonts w:hint="eastAsia" w:ascii="Times New Roman" w:hAnsi="Times New Roman"/>
          <w:kern w:val="0"/>
          <w:sz w:val="24"/>
          <w:szCs w:val="24"/>
          <w:highlight w:val="none"/>
        </w:rPr>
        <w:t>投标报价得分</w:t>
      </w:r>
      <w:r>
        <w:rPr>
          <w:rFonts w:ascii="Times New Roman" w:hAnsi="Times New Roman"/>
          <w:kern w:val="0"/>
          <w:sz w:val="24"/>
          <w:szCs w:val="24"/>
          <w:highlight w:val="none"/>
        </w:rPr>
        <w:t>+</w:t>
      </w:r>
      <w:r>
        <w:rPr>
          <w:rFonts w:hint="eastAsia" w:ascii="Times New Roman" w:hAnsi="Times New Roman"/>
          <w:kern w:val="0"/>
          <w:sz w:val="24"/>
          <w:szCs w:val="24"/>
          <w:highlight w:val="none"/>
          <w:lang w:val="zh-CN"/>
        </w:rPr>
        <w:t>工程量清单综合单价评审</w:t>
      </w:r>
      <w:r>
        <w:rPr>
          <w:rFonts w:hint="eastAsia" w:ascii="Times New Roman" w:hAnsi="Times New Roman"/>
          <w:kern w:val="0"/>
          <w:sz w:val="24"/>
          <w:szCs w:val="24"/>
          <w:highlight w:val="none"/>
        </w:rPr>
        <w:t>得分</w:t>
      </w:r>
    </w:p>
    <w:p>
      <w:pPr>
        <w:widowControl/>
        <w:tabs>
          <w:tab w:val="left" w:pos="9360"/>
        </w:tabs>
        <w:spacing w:line="360" w:lineRule="auto"/>
        <w:ind w:firstLine="480" w:firstLineChars="200"/>
        <w:rPr>
          <w:rFonts w:ascii="Times New Roman" w:hAnsi="Times New Roman"/>
          <w:b/>
          <w:kern w:val="0"/>
          <w:sz w:val="24"/>
          <w:szCs w:val="24"/>
          <w:highlight w:val="none"/>
        </w:rPr>
      </w:pPr>
      <w:r>
        <w:rPr>
          <w:rFonts w:hint="eastAsia" w:ascii="Times New Roman" w:hAnsi="Times New Roman" w:eastAsia="宋体"/>
          <w:bCs/>
          <w:sz w:val="24"/>
          <w:szCs w:val="24"/>
          <w:highlight w:val="none"/>
        </w:rPr>
        <w:t>□</w:t>
      </w:r>
      <w:r>
        <w:rPr>
          <w:rFonts w:hint="eastAsia" w:ascii="Times New Roman" w:hAnsi="Times New Roman"/>
          <w:b/>
          <w:kern w:val="0"/>
          <w:sz w:val="24"/>
          <w:szCs w:val="24"/>
          <w:highlight w:val="none"/>
        </w:rPr>
        <w:t>六、陈述和答辩（</w:t>
      </w:r>
      <w:r>
        <w:rPr>
          <w:rFonts w:ascii="Times New Roman" w:hAnsi="Times New Roman"/>
          <w:b/>
          <w:kern w:val="0"/>
          <w:sz w:val="24"/>
          <w:szCs w:val="24"/>
          <w:highlight w:val="none"/>
        </w:rPr>
        <w:t>3</w:t>
      </w:r>
      <w:r>
        <w:rPr>
          <w:rFonts w:hint="eastAsia" w:ascii="Times New Roman" w:hAnsi="Times New Roman"/>
          <w:b/>
          <w:kern w:val="0"/>
          <w:sz w:val="24"/>
          <w:szCs w:val="24"/>
          <w:highlight w:val="none"/>
        </w:rPr>
        <w:t>分）</w:t>
      </w:r>
    </w:p>
    <w:p>
      <w:pPr>
        <w:widowControl/>
        <w:tabs>
          <w:tab w:val="left" w:pos="9360"/>
        </w:tabs>
        <w:spacing w:line="360" w:lineRule="auto"/>
        <w:ind w:firstLine="480" w:firstLineChars="200"/>
        <w:rPr>
          <w:rFonts w:ascii="Times New Roman" w:hAnsi="Times New Roman"/>
          <w:kern w:val="0"/>
          <w:sz w:val="24"/>
          <w:szCs w:val="24"/>
          <w:highlight w:val="none"/>
        </w:rPr>
      </w:pPr>
      <w:r>
        <w:rPr>
          <w:rFonts w:ascii="Times New Roman" w:hAnsi="Times New Roman"/>
          <w:kern w:val="0"/>
          <w:sz w:val="24"/>
          <w:szCs w:val="24"/>
          <w:highlight w:val="none"/>
        </w:rPr>
        <w:t>1</w:t>
      </w:r>
      <w:r>
        <w:rPr>
          <w:rFonts w:hint="eastAsia" w:ascii="Times New Roman" w:hAnsi="Times New Roman"/>
          <w:kern w:val="0"/>
          <w:sz w:val="24"/>
          <w:szCs w:val="24"/>
          <w:highlight w:val="none"/>
        </w:rPr>
        <w:t>、</w:t>
      </w:r>
      <w:r>
        <w:rPr>
          <w:rFonts w:hint="eastAsia" w:ascii="Times New Roman" w:hAnsi="Times New Roman"/>
          <w:b/>
          <w:bCs/>
          <w:kern w:val="0"/>
          <w:sz w:val="24"/>
          <w:szCs w:val="24"/>
          <w:highlight w:val="none"/>
        </w:rPr>
        <w:t>评标委员会技术专家组</w:t>
      </w:r>
      <w:r>
        <w:rPr>
          <w:rFonts w:hint="eastAsia" w:ascii="Times New Roman" w:hAnsi="Times New Roman"/>
          <w:kern w:val="0"/>
          <w:sz w:val="24"/>
          <w:szCs w:val="24"/>
          <w:highlight w:val="none"/>
        </w:rPr>
        <w:t>对上述第三步</w:t>
      </w:r>
      <w:r>
        <w:rPr>
          <w:rFonts w:ascii="Times New Roman" w:hAnsi="Times New Roman"/>
          <w:kern w:val="0"/>
          <w:sz w:val="24"/>
          <w:szCs w:val="24"/>
          <w:highlight w:val="none"/>
        </w:rPr>
        <w:t>“</w:t>
      </w:r>
      <w:r>
        <w:rPr>
          <w:rFonts w:hint="eastAsia" w:ascii="Times New Roman" w:hAnsi="Times New Roman"/>
          <w:kern w:val="0"/>
          <w:sz w:val="24"/>
          <w:szCs w:val="24"/>
          <w:highlight w:val="none"/>
        </w:rPr>
        <w:t>评审区间确定</w:t>
      </w:r>
      <w:r>
        <w:rPr>
          <w:rFonts w:ascii="Times New Roman" w:hAnsi="Times New Roman"/>
          <w:kern w:val="0"/>
          <w:sz w:val="24"/>
          <w:szCs w:val="24"/>
          <w:highlight w:val="none"/>
        </w:rPr>
        <w:t>”</w:t>
      </w:r>
      <w:r>
        <w:rPr>
          <w:rFonts w:hint="eastAsia" w:ascii="Times New Roman" w:hAnsi="Times New Roman"/>
          <w:kern w:val="0"/>
          <w:sz w:val="24"/>
          <w:szCs w:val="24"/>
          <w:highlight w:val="none"/>
        </w:rPr>
        <w:t>完成后对进入评审区间的投标人进行陈述答辩环节评审，陈述答辩评审和商务标评审同步独立进行（陈述答辩与商务标评审在结果汇总前互不影响）。进入评审区间的投标人的拟派项目负责人，对评标委员会提出的问题进行陈述和答辩；</w:t>
      </w:r>
      <w:r>
        <w:rPr>
          <w:rFonts w:ascii="Times New Roman" w:hAnsi="Times New Roman"/>
          <w:kern w:val="0"/>
          <w:sz w:val="24"/>
          <w:szCs w:val="24"/>
          <w:highlight w:val="none"/>
        </w:rPr>
        <w:t xml:space="preserve"> </w:t>
      </w:r>
    </w:p>
    <w:p>
      <w:pPr>
        <w:widowControl/>
        <w:tabs>
          <w:tab w:val="left" w:pos="9360"/>
        </w:tabs>
        <w:spacing w:line="360" w:lineRule="auto"/>
        <w:ind w:firstLine="480" w:firstLineChars="200"/>
        <w:rPr>
          <w:rFonts w:ascii="Times New Roman" w:hAnsi="Times New Roman"/>
          <w:kern w:val="0"/>
          <w:sz w:val="24"/>
          <w:szCs w:val="24"/>
          <w:highlight w:val="none"/>
        </w:rPr>
      </w:pPr>
      <w:r>
        <w:rPr>
          <w:rFonts w:ascii="Times New Roman" w:hAnsi="Times New Roman"/>
          <w:kern w:val="0"/>
          <w:sz w:val="24"/>
          <w:szCs w:val="24"/>
          <w:highlight w:val="none"/>
        </w:rPr>
        <w:t>2</w:t>
      </w:r>
      <w:r>
        <w:rPr>
          <w:rFonts w:hint="eastAsia" w:ascii="Times New Roman" w:hAnsi="Times New Roman"/>
          <w:kern w:val="0"/>
          <w:sz w:val="24"/>
          <w:szCs w:val="24"/>
          <w:highlight w:val="none"/>
        </w:rPr>
        <w:t>、陈述和答辩为</w:t>
      </w:r>
      <w:r>
        <w:rPr>
          <w:rFonts w:ascii="Times New Roman" w:hAnsi="Times New Roman"/>
          <w:kern w:val="0"/>
          <w:sz w:val="24"/>
          <w:szCs w:val="24"/>
          <w:highlight w:val="none"/>
        </w:rPr>
        <w:t>3</w:t>
      </w:r>
      <w:r>
        <w:rPr>
          <w:rFonts w:hint="eastAsia" w:ascii="Times New Roman" w:hAnsi="Times New Roman"/>
          <w:kern w:val="0"/>
          <w:sz w:val="24"/>
          <w:szCs w:val="24"/>
          <w:highlight w:val="none"/>
        </w:rPr>
        <w:t>或</w:t>
      </w:r>
      <w:r>
        <w:rPr>
          <w:rFonts w:ascii="Times New Roman" w:hAnsi="Times New Roman"/>
          <w:kern w:val="0"/>
          <w:sz w:val="24"/>
          <w:szCs w:val="24"/>
          <w:highlight w:val="none"/>
        </w:rPr>
        <w:t>0</w:t>
      </w:r>
      <w:r>
        <w:rPr>
          <w:rFonts w:hint="eastAsia" w:ascii="Times New Roman" w:hAnsi="Times New Roman"/>
          <w:kern w:val="0"/>
          <w:sz w:val="24"/>
          <w:szCs w:val="24"/>
          <w:highlight w:val="none"/>
        </w:rPr>
        <w:t>分：拟派项目负责人未按通知要求的时间（不得少于</w:t>
      </w:r>
      <w:r>
        <w:rPr>
          <w:rFonts w:ascii="Times New Roman" w:hAnsi="Times New Roman"/>
          <w:kern w:val="0"/>
          <w:sz w:val="24"/>
          <w:szCs w:val="24"/>
          <w:highlight w:val="none"/>
        </w:rPr>
        <w:t>30</w:t>
      </w:r>
      <w:r>
        <w:rPr>
          <w:rFonts w:hint="eastAsia" w:ascii="Times New Roman" w:hAnsi="Times New Roman"/>
          <w:kern w:val="0"/>
          <w:sz w:val="24"/>
          <w:szCs w:val="24"/>
          <w:highlight w:val="none"/>
        </w:rPr>
        <w:t>分钟）到达指定地点</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，记</w:t>
      </w:r>
      <w:r>
        <w:rPr>
          <w:rFonts w:ascii="Times New Roman" w:hAnsi="Times New Roman"/>
          <w:kern w:val="0"/>
          <w:sz w:val="24"/>
          <w:szCs w:val="24"/>
          <w:highlight w:val="none"/>
        </w:rPr>
        <w:t>0</w:t>
      </w:r>
      <w:r>
        <w:rPr>
          <w:rFonts w:hint="eastAsia" w:ascii="Times New Roman" w:hAnsi="Times New Roman"/>
          <w:kern w:val="0"/>
          <w:sz w:val="24"/>
          <w:szCs w:val="24"/>
          <w:highlight w:val="none"/>
        </w:rPr>
        <w:t>分；陈述和答辩不通过的，记</w:t>
      </w:r>
      <w:r>
        <w:rPr>
          <w:rFonts w:ascii="Times New Roman" w:hAnsi="Times New Roman"/>
          <w:kern w:val="0"/>
          <w:sz w:val="24"/>
          <w:szCs w:val="24"/>
          <w:highlight w:val="none"/>
        </w:rPr>
        <w:t>0</w:t>
      </w:r>
      <w:r>
        <w:rPr>
          <w:rFonts w:hint="eastAsia" w:ascii="Times New Roman" w:hAnsi="Times New Roman"/>
          <w:kern w:val="0"/>
          <w:sz w:val="24"/>
          <w:szCs w:val="24"/>
          <w:highlight w:val="none"/>
        </w:rPr>
        <w:t>分，需由评标委员会出具书面评审纪要。</w:t>
      </w:r>
    </w:p>
    <w:p>
      <w:pPr>
        <w:widowControl/>
        <w:tabs>
          <w:tab w:val="left" w:pos="9360"/>
        </w:tabs>
        <w:spacing w:line="360" w:lineRule="auto"/>
        <w:ind w:firstLine="480" w:firstLineChars="200"/>
        <w:rPr>
          <w:rFonts w:ascii="Times New Roman" w:hAnsi="Times New Roman"/>
          <w:kern w:val="0"/>
          <w:sz w:val="24"/>
          <w:szCs w:val="24"/>
          <w:highlight w:val="none"/>
        </w:rPr>
      </w:pPr>
      <w:r>
        <w:rPr>
          <w:rFonts w:ascii="Times New Roman" w:hAnsi="Times New Roman"/>
          <w:kern w:val="0"/>
          <w:sz w:val="24"/>
          <w:szCs w:val="24"/>
          <w:highlight w:val="none"/>
        </w:rPr>
        <w:t>3</w:t>
      </w:r>
      <w:r>
        <w:rPr>
          <w:rFonts w:hint="eastAsia" w:ascii="Times New Roman" w:hAnsi="Times New Roman"/>
          <w:kern w:val="0"/>
          <w:sz w:val="24"/>
          <w:szCs w:val="24"/>
          <w:highlight w:val="none"/>
        </w:rPr>
        <w:t>、答辩要求详见须知前附表。</w:t>
      </w:r>
    </w:p>
    <w:p>
      <w:pPr>
        <w:snapToGrid w:val="0"/>
        <w:spacing w:line="360" w:lineRule="auto"/>
        <w:ind w:firstLine="482" w:firstLineChars="200"/>
        <w:outlineLvl w:val="2"/>
        <w:rPr>
          <w:rFonts w:ascii="Times New Roman" w:hAnsi="Times New Roman"/>
          <w:b/>
          <w:color w:val="auto"/>
          <w:sz w:val="24"/>
          <w:szCs w:val="24"/>
          <w:highlight w:val="none"/>
        </w:rPr>
      </w:pPr>
      <w:r>
        <w:rPr>
          <w:rFonts w:hint="eastAsia" w:ascii="Times New Roman" w:hAnsi="Times New Roman"/>
          <w:b/>
          <w:color w:val="auto"/>
          <w:sz w:val="24"/>
          <w:szCs w:val="24"/>
          <w:highlight w:val="none"/>
        </w:rPr>
        <w:t>七、投标人资信评分（满分</w:t>
      </w:r>
      <w:r>
        <w:rPr>
          <w:rFonts w:hint="eastAsia" w:ascii="Times New Roman" w:hAnsi="Times New Roman"/>
          <w:b/>
          <w:color w:val="auto"/>
          <w:sz w:val="24"/>
          <w:szCs w:val="24"/>
          <w:highlight w:val="none"/>
          <w:lang w:val="en-US" w:eastAsia="zh-CN"/>
        </w:rPr>
        <w:t>5</w:t>
      </w:r>
      <w:r>
        <w:rPr>
          <w:rFonts w:hint="eastAsia" w:ascii="Times New Roman" w:hAnsi="Times New Roman"/>
          <w:b/>
          <w:color w:val="auto"/>
          <w:sz w:val="24"/>
          <w:szCs w:val="24"/>
          <w:highlight w:val="none"/>
        </w:rPr>
        <w:t>分）</w:t>
      </w:r>
    </w:p>
    <w:p>
      <w:pPr>
        <w:widowControl/>
        <w:tabs>
          <w:tab w:val="left" w:pos="453"/>
        </w:tabs>
        <w:spacing w:line="360" w:lineRule="auto"/>
        <w:ind w:firstLine="480" w:firstLineChars="200"/>
        <w:rPr>
          <w:rFonts w:ascii="Times New Roman" w:hAnsi="Times New Roman"/>
          <w:kern w:val="0"/>
          <w:sz w:val="24"/>
          <w:szCs w:val="24"/>
          <w:highlight w:val="none"/>
        </w:rPr>
      </w:pPr>
      <w:r>
        <w:rPr>
          <w:rFonts w:ascii="Times New Roman" w:hAnsi="Times New Roman"/>
          <w:kern w:val="0"/>
          <w:sz w:val="24"/>
          <w:szCs w:val="24"/>
          <w:highlight w:val="none"/>
        </w:rPr>
        <w:t>1.</w:t>
      </w:r>
      <w:r>
        <w:rPr>
          <w:rFonts w:hint="eastAsia" w:ascii="Times New Roman" w:hAnsi="Times New Roman"/>
          <w:kern w:val="0"/>
          <w:sz w:val="24"/>
          <w:szCs w:val="24"/>
          <w:highlight w:val="none"/>
        </w:rPr>
        <w:t>投标人及项目负责人不良信用信息扣分（</w:t>
      </w:r>
      <w:r>
        <w:rPr>
          <w:rFonts w:hint="eastAsia" w:ascii="Times New Roman" w:hAnsi="Times New Roman"/>
          <w:kern w:val="0"/>
          <w:sz w:val="24"/>
          <w:szCs w:val="24"/>
          <w:highlight w:val="none"/>
          <w:lang w:val="en-US" w:eastAsia="zh-CN"/>
        </w:rPr>
        <w:t>3</w:t>
      </w:r>
      <w:r>
        <w:rPr>
          <w:rFonts w:hint="eastAsia" w:ascii="Times New Roman" w:hAnsi="Times New Roman"/>
          <w:kern w:val="0"/>
          <w:sz w:val="24"/>
          <w:szCs w:val="24"/>
          <w:highlight w:val="none"/>
        </w:rPr>
        <w:t>分）。</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评标委员会通过审查投标人投标文件递交的材料对投标人进行信用打分：</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w:t>
      </w:r>
      <w:r>
        <w:rPr>
          <w:rFonts w:ascii="Times New Roman" w:hAnsi="Times New Roman"/>
          <w:kern w:val="0"/>
          <w:sz w:val="24"/>
          <w:szCs w:val="24"/>
          <w:highlight w:val="none"/>
        </w:rPr>
        <w:t>a</w:t>
      </w:r>
      <w:r>
        <w:rPr>
          <w:rFonts w:hint="eastAsia" w:ascii="Times New Roman" w:hAnsi="Times New Roman"/>
          <w:kern w:val="0"/>
          <w:sz w:val="24"/>
          <w:szCs w:val="24"/>
          <w:highlight w:val="none"/>
        </w:rPr>
        <w:t>）投标人或参与本项目投标的项目负责人在投标截止时间有公布期的建筑市场不良信用信息的扣</w:t>
      </w:r>
      <w:r>
        <w:rPr>
          <w:rFonts w:hint="eastAsia" w:ascii="Times New Roman" w:hAnsi="Times New Roman"/>
          <w:kern w:val="0"/>
          <w:sz w:val="24"/>
          <w:szCs w:val="24"/>
          <w:highlight w:val="none"/>
          <w:lang w:val="en-US" w:eastAsia="zh-CN"/>
        </w:rPr>
        <w:t>3</w:t>
      </w:r>
      <w:r>
        <w:rPr>
          <w:rFonts w:hint="eastAsia" w:ascii="Times New Roman" w:hAnsi="Times New Roman"/>
          <w:kern w:val="0"/>
          <w:sz w:val="24"/>
          <w:szCs w:val="24"/>
          <w:highlight w:val="none"/>
        </w:rPr>
        <w:t>分。（建筑市场不良信用信息以县（区）级及以上建设行政管理部门发布的信息为准）</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w:t>
      </w:r>
      <w:r>
        <w:rPr>
          <w:rFonts w:ascii="Times New Roman" w:hAnsi="Times New Roman"/>
          <w:kern w:val="0"/>
          <w:sz w:val="24"/>
          <w:szCs w:val="24"/>
          <w:highlight w:val="none"/>
        </w:rPr>
        <w:t>b</w:t>
      </w:r>
      <w:r>
        <w:rPr>
          <w:rFonts w:hint="eastAsia" w:ascii="Times New Roman" w:hAnsi="Times New Roman"/>
          <w:kern w:val="0"/>
          <w:sz w:val="24"/>
          <w:szCs w:val="24"/>
          <w:highlight w:val="none"/>
        </w:rPr>
        <w:t>）投标人或参与本项目投标的项目负责人半年内被县（区）级及以上建设行政管理部门行政处罚的扣</w:t>
      </w:r>
      <w:r>
        <w:rPr>
          <w:rFonts w:hint="eastAsia" w:ascii="Times New Roman" w:hAnsi="Times New Roman"/>
          <w:kern w:val="0"/>
          <w:sz w:val="24"/>
          <w:szCs w:val="24"/>
          <w:highlight w:val="none"/>
          <w:lang w:val="en-US" w:eastAsia="zh-CN"/>
        </w:rPr>
        <w:t>3</w:t>
      </w:r>
      <w:r>
        <w:rPr>
          <w:rFonts w:hint="eastAsia" w:ascii="Times New Roman" w:hAnsi="Times New Roman"/>
          <w:kern w:val="0"/>
          <w:sz w:val="24"/>
          <w:szCs w:val="24"/>
          <w:highlight w:val="none"/>
        </w:rPr>
        <w:t>分。（自投标截止日起上溯半年，以处罚文件发文时间为准。同一事件如已被建设行政管理部门列入不良信用信息进行公示的，以不良信用信息公布的公示期限为准）。被县（区）级及以上相关管理部门行政处罚的，应按照《舟山市住房和城乡建设局关于 适用&lt;舟山市房屋建筑和市政基础设施施工总承包评标办法&gt;有关条款解释的通知》执行。</w:t>
      </w:r>
    </w:p>
    <w:p>
      <w:pPr>
        <w:widowControl/>
        <w:tabs>
          <w:tab w:val="left" w:pos="9360"/>
        </w:tabs>
        <w:spacing w:line="360" w:lineRule="auto"/>
        <w:ind w:firstLine="480"/>
        <w:rPr>
          <w:rFonts w:ascii="Times New Roman" w:hAnsi="Times New Roman"/>
          <w:kern w:val="0"/>
          <w:sz w:val="24"/>
          <w:szCs w:val="24"/>
          <w:highlight w:val="none"/>
        </w:rPr>
      </w:pPr>
      <w:r>
        <w:rPr>
          <w:rFonts w:ascii="Times New Roman" w:hAnsi="Times New Roman"/>
          <w:kern w:val="0"/>
          <w:sz w:val="24"/>
          <w:szCs w:val="24"/>
          <w:highlight w:val="none"/>
        </w:rPr>
        <w:t>2.</w:t>
      </w:r>
      <w:r>
        <w:rPr>
          <w:rFonts w:hint="eastAsia" w:ascii="Times New Roman" w:hAnsi="Times New Roman"/>
          <w:kern w:val="0"/>
          <w:sz w:val="24"/>
          <w:szCs w:val="24"/>
          <w:highlight w:val="none"/>
        </w:rPr>
        <w:t>项目负责人信用分（</w:t>
      </w:r>
      <w:r>
        <w:rPr>
          <w:rFonts w:ascii="Times New Roman" w:hAnsi="Times New Roman"/>
          <w:kern w:val="0"/>
          <w:sz w:val="24"/>
          <w:szCs w:val="24"/>
          <w:highlight w:val="none"/>
        </w:rPr>
        <w:t>2</w:t>
      </w:r>
      <w:r>
        <w:rPr>
          <w:rFonts w:hint="eastAsia" w:ascii="Times New Roman" w:hAnsi="Times New Roman"/>
          <w:kern w:val="0"/>
          <w:sz w:val="24"/>
          <w:szCs w:val="24"/>
          <w:highlight w:val="none"/>
        </w:rPr>
        <w:t>分）</w:t>
      </w:r>
    </w:p>
    <w:p>
      <w:pPr>
        <w:widowControl/>
        <w:tabs>
          <w:tab w:val="left" w:pos="9360"/>
        </w:tabs>
        <w:spacing w:line="360" w:lineRule="auto"/>
        <w:ind w:firstLine="480"/>
        <w:rPr>
          <w:rFonts w:ascii="Times New Roman" w:hAnsi="Times New Roman"/>
          <w:kern w:val="0"/>
          <w:sz w:val="24"/>
          <w:szCs w:val="24"/>
          <w:highlight w:val="none"/>
        </w:rPr>
      </w:pPr>
      <w:r>
        <w:rPr>
          <w:rFonts w:hint="eastAsia" w:ascii="Times New Roman" w:hAnsi="Times New Roman"/>
          <w:kern w:val="0"/>
          <w:sz w:val="24"/>
          <w:szCs w:val="24"/>
          <w:highlight w:val="none"/>
        </w:rPr>
        <w:t>根据项目负责人的信用等级进行打分（此项待项目负责人信用评价细则出台后实施，未实施前均得满分）。</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投标人总得</w:t>
      </w:r>
      <w:r>
        <w:rPr>
          <w:rFonts w:hint="eastAsia" w:ascii="Times New Roman" w:hAnsi="Times New Roman"/>
          <w:kern w:val="0"/>
          <w:sz w:val="24"/>
          <w:szCs w:val="24"/>
          <w:highlight w:val="none"/>
          <w:lang w:val="zh-CN"/>
        </w:rPr>
        <w:t>分</w:t>
      </w:r>
      <w:r>
        <w:rPr>
          <w:rFonts w:ascii="Times New Roman" w:hAnsi="Times New Roman"/>
          <w:kern w:val="0"/>
          <w:sz w:val="24"/>
          <w:szCs w:val="24"/>
          <w:highlight w:val="none"/>
          <w:lang w:val="zh-CN"/>
        </w:rPr>
        <w:t>=</w:t>
      </w:r>
      <w:r>
        <w:rPr>
          <w:rFonts w:hint="eastAsia" w:ascii="Times New Roman" w:hAnsi="Times New Roman"/>
          <w:kern w:val="0"/>
          <w:sz w:val="24"/>
          <w:szCs w:val="24"/>
          <w:highlight w:val="none"/>
        </w:rPr>
        <w:t>投标人商务标得分</w:t>
      </w:r>
      <w:r>
        <w:rPr>
          <w:rFonts w:ascii="Times New Roman" w:hAnsi="Times New Roman"/>
          <w:kern w:val="0"/>
          <w:sz w:val="24"/>
          <w:szCs w:val="24"/>
          <w:highlight w:val="none"/>
        </w:rPr>
        <w:t>+</w:t>
      </w:r>
      <w:r>
        <w:rPr>
          <w:rFonts w:hint="eastAsia" w:ascii="Times New Roman" w:hAnsi="Times New Roman"/>
          <w:kern w:val="0"/>
          <w:sz w:val="24"/>
          <w:szCs w:val="24"/>
          <w:highlight w:val="none"/>
        </w:rPr>
        <w:t>投标人资信评分</w:t>
      </w:r>
      <w:r>
        <w:rPr>
          <w:rFonts w:ascii="Times New Roman" w:hAnsi="Times New Roman"/>
          <w:kern w:val="0"/>
          <w:sz w:val="24"/>
          <w:szCs w:val="24"/>
          <w:highlight w:val="none"/>
        </w:rPr>
        <w:t>+</w:t>
      </w:r>
      <w:r>
        <w:rPr>
          <w:rFonts w:hint="eastAsia" w:ascii="Times New Roman" w:hAnsi="Times New Roman"/>
          <w:kern w:val="0"/>
          <w:sz w:val="24"/>
          <w:szCs w:val="24"/>
          <w:highlight w:val="none"/>
        </w:rPr>
        <w:t>答辩陈述分</w:t>
      </w:r>
    </w:p>
    <w:p>
      <w:pPr>
        <w:widowControl/>
        <w:tabs>
          <w:tab w:val="left" w:pos="9360"/>
        </w:tabs>
        <w:spacing w:line="360" w:lineRule="auto"/>
        <w:ind w:firstLine="482" w:firstLineChars="200"/>
        <w:outlineLvl w:val="2"/>
        <w:rPr>
          <w:rFonts w:ascii="Times New Roman" w:hAnsi="Times New Roman"/>
          <w:b/>
          <w:bCs/>
          <w:kern w:val="0"/>
          <w:sz w:val="24"/>
          <w:szCs w:val="24"/>
          <w:highlight w:val="none"/>
          <w:lang w:val="zh-CN"/>
        </w:rPr>
      </w:pPr>
      <w:r>
        <w:rPr>
          <w:rFonts w:hint="eastAsia" w:ascii="Times New Roman" w:hAnsi="Times New Roman"/>
          <w:b/>
          <w:bCs/>
          <w:kern w:val="0"/>
          <w:sz w:val="24"/>
          <w:szCs w:val="24"/>
          <w:highlight w:val="none"/>
        </w:rPr>
        <w:t>八</w:t>
      </w:r>
      <w:r>
        <w:rPr>
          <w:rFonts w:hint="eastAsia" w:ascii="Times New Roman" w:hAnsi="Times New Roman"/>
          <w:b/>
          <w:bCs/>
          <w:kern w:val="0"/>
          <w:sz w:val="24"/>
          <w:szCs w:val="24"/>
          <w:highlight w:val="none"/>
          <w:lang w:val="zh-CN"/>
        </w:rPr>
        <w:t>、综合评审</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综合评审是对通过资格审查（平台系统核对）、商务标评审、陈述和答辩、资信评审的拟推荐为中标候选人的投标人进行其他内容的综合评审，投标人存在投标须知前附表</w:t>
      </w:r>
      <w:r>
        <w:rPr>
          <w:rFonts w:ascii="Times New Roman" w:hAnsi="Times New Roman"/>
          <w:kern w:val="0"/>
          <w:sz w:val="24"/>
          <w:szCs w:val="24"/>
          <w:highlight w:val="none"/>
        </w:rPr>
        <w:t>10.5</w:t>
      </w:r>
      <w:r>
        <w:rPr>
          <w:rFonts w:hint="eastAsia" w:ascii="Times New Roman" w:hAnsi="Times New Roman"/>
          <w:kern w:val="0"/>
          <w:sz w:val="24"/>
          <w:szCs w:val="24"/>
          <w:highlight w:val="none"/>
        </w:rPr>
        <w:t>情形（其他）的，评标委员会组织投标人询问核实后，情况属实的，综合评审不予通过，否决其投标。</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评标委员会对拟推荐中标候选人和其拟派项目负责人在投标文件中所申报的信用信息进行核对，如发现投标人递交投标文件中的信用信息的错、漏可能影响评审结果的，评标委员会应组织投标人核实，情况属实的取消其推荐为中标候选人的资格并书面报告招标人和招投标管理部门。</w:t>
      </w:r>
    </w:p>
    <w:p>
      <w:pPr>
        <w:spacing w:line="360" w:lineRule="auto"/>
        <w:ind w:firstLine="480" w:firstLineChars="200"/>
        <w:outlineLvl w:val="2"/>
        <w:rPr>
          <w:rFonts w:ascii="Times New Roman" w:hAnsi="Times New Roman"/>
          <w:b/>
          <w:sz w:val="24"/>
          <w:szCs w:val="24"/>
          <w:highlight w:val="none"/>
          <w:lang w:val="zh-CN"/>
        </w:rPr>
      </w:pPr>
      <w:r>
        <w:rPr>
          <w:rFonts w:hint="eastAsia" w:ascii="宋体" w:hAnsi="宋体" w:cs="宋体"/>
          <w:color w:val="auto"/>
          <w:sz w:val="24"/>
          <w:szCs w:val="24"/>
          <w:highlight w:val="none"/>
          <w:lang w:eastAsia="zh-CN"/>
        </w:rPr>
        <w:t>□</w:t>
      </w:r>
      <w:r>
        <w:rPr>
          <w:rFonts w:hint="eastAsia" w:ascii="Times New Roman" w:hAnsi="Times New Roman"/>
          <w:b/>
          <w:sz w:val="24"/>
          <w:szCs w:val="24"/>
          <w:highlight w:val="none"/>
        </w:rPr>
        <w:t>九、</w:t>
      </w:r>
      <w:r>
        <w:rPr>
          <w:rFonts w:hint="eastAsia" w:ascii="Times New Roman" w:hAnsi="Times New Roman"/>
          <w:b/>
          <w:bCs/>
          <w:kern w:val="0"/>
          <w:sz w:val="24"/>
          <w:szCs w:val="24"/>
          <w:highlight w:val="none"/>
          <w:lang w:val="zh-CN"/>
        </w:rPr>
        <w:t>推荐中标候选人</w:t>
      </w:r>
    </w:p>
    <w:p>
      <w:pPr>
        <w:widowControl/>
        <w:tabs>
          <w:tab w:val="left" w:pos="9360"/>
        </w:tabs>
        <w:spacing w:line="360" w:lineRule="auto"/>
        <w:ind w:firstLine="480" w:firstLineChars="200"/>
        <w:rPr>
          <w:rFonts w:ascii="Times New Roman" w:hAnsi="Times New Roman"/>
          <w:kern w:val="0"/>
          <w:sz w:val="24"/>
          <w:szCs w:val="24"/>
          <w:highlight w:val="none"/>
          <w:lang w:val="zh-CN"/>
        </w:rPr>
      </w:pPr>
      <w:r>
        <w:rPr>
          <w:rFonts w:hint="eastAsia" w:ascii="Times New Roman" w:hAnsi="Times New Roman"/>
          <w:kern w:val="0"/>
          <w:sz w:val="24"/>
          <w:szCs w:val="24"/>
          <w:highlight w:val="none"/>
          <w:lang w:val="zh-CN"/>
        </w:rPr>
        <w:t>评标委员会对投标人按总分从高到低进行排序，并按照排序推荐中标候选人。如总分相同的，以投标报价低的优先；上述均相同的</w:t>
      </w:r>
      <w:bookmarkStart w:id="17" w:name="EB5d1e358bcbf54d9cb89d102ddbdcb594"/>
      <w:r>
        <w:rPr>
          <w:rFonts w:hint="eastAsia" w:ascii="Times New Roman" w:hAnsi="Times New Roman"/>
          <w:color w:val="0000FF"/>
          <w:kern w:val="0"/>
          <w:sz w:val="24"/>
          <w:szCs w:val="24"/>
          <w:highlight w:val="none"/>
          <w:lang w:val="zh-CN"/>
        </w:rPr>
        <w:t xml:space="preserve"> </w:t>
      </w:r>
      <w:r>
        <w:rPr>
          <w:rFonts w:hint="eastAsia" w:ascii="Times New Roman" w:hAnsi="Times New Roman"/>
          <w:color w:val="0000FF"/>
          <w:kern w:val="0"/>
          <w:sz w:val="24"/>
          <w:szCs w:val="24"/>
          <w:highlight w:val="none"/>
          <w:u w:val="single"/>
          <w:lang w:val="zh-CN"/>
        </w:rPr>
        <w:t>(在招标文件中明确确定方式)</w:t>
      </w:r>
      <w:bookmarkEnd w:id="17"/>
      <w:r>
        <w:rPr>
          <w:rFonts w:hint="eastAsia" w:ascii="Times New Roman" w:hAnsi="Times New Roman"/>
          <w:kern w:val="0"/>
          <w:sz w:val="24"/>
          <w:szCs w:val="24"/>
          <w:highlight w:val="none"/>
          <w:lang w:val="zh-CN"/>
        </w:rPr>
        <w:t>。</w:t>
      </w:r>
    </w:p>
    <w:p>
      <w:pPr>
        <w:keepNext w:val="0"/>
        <w:keepLines w:val="0"/>
        <w:widowControl/>
        <w:suppressLineNumbers w:val="0"/>
        <w:jc w:val="left"/>
        <w:rPr>
          <w:rFonts w:hint="eastAsia" w:ascii="Times New Roman" w:hAnsi="Times New Roman"/>
          <w:kern w:val="0"/>
          <w:sz w:val="24"/>
          <w:szCs w:val="24"/>
          <w:highlight w:val="none"/>
        </w:rPr>
      </w:pPr>
      <w:r>
        <w:rPr>
          <w:rFonts w:hint="eastAsia" w:ascii="Times New Roman" w:hAnsi="Times New Roman"/>
          <w:kern w:val="0"/>
          <w:sz w:val="24"/>
          <w:szCs w:val="24"/>
          <w:highlight w:val="none"/>
        </w:rPr>
        <w:t>评标委员会对拟确定的推荐中标候选人和其拟派项目负责人，是否列入失信被执行人名单及在本招标文件（招标公告）规定时间范围内是否有贿赂犯罪记录</w:t>
      </w:r>
      <w:r>
        <w:rPr>
          <w:rFonts w:hint="eastAsia" w:ascii="Times New Roman" w:hAnsi="Times New Roman"/>
          <w:kern w:val="0"/>
          <w:sz w:val="24"/>
          <w:szCs w:val="24"/>
          <w:highlight w:val="none"/>
          <w:lang w:eastAsia="zh-CN"/>
        </w:rPr>
        <w:t>；</w:t>
      </w:r>
      <w:r>
        <w:rPr>
          <w:rFonts w:hint="eastAsia" w:ascii="Times New Roman" w:hAnsi="Times New Roman"/>
          <w:kern w:val="0"/>
          <w:sz w:val="24"/>
          <w:szCs w:val="24"/>
          <w:highlight w:val="none"/>
          <w:lang w:val="en-US" w:eastAsia="zh-CN"/>
        </w:rPr>
        <w:t>是否</w:t>
      </w:r>
      <w:r>
        <w:rPr>
          <w:rFonts w:hint="default" w:ascii="Times New Roman" w:hAnsi="Times New Roman"/>
          <w:kern w:val="0"/>
          <w:sz w:val="24"/>
          <w:szCs w:val="24"/>
          <w:highlight w:val="none"/>
          <w:lang w:val="en-US" w:eastAsia="zh-CN"/>
        </w:rPr>
        <w:t>被列入建筑市场严重失信名单的</w:t>
      </w:r>
      <w:r>
        <w:rPr>
          <w:rFonts w:hint="eastAsia" w:ascii="Times New Roman" w:hAnsi="Times New Roman"/>
          <w:kern w:val="0"/>
          <w:sz w:val="24"/>
          <w:szCs w:val="24"/>
          <w:highlight w:val="none"/>
          <w:lang w:val="en-US" w:eastAsia="zh-CN"/>
        </w:rPr>
        <w:t>、是否被市场监督管理机关在全国企业信用信息公示系统中列入严重违法失信企业名单的、</w:t>
      </w:r>
      <w:r>
        <w:rPr>
          <w:rFonts w:hint="eastAsia" w:ascii="宋体" w:hAnsi="宋体" w:eastAsia="宋体" w:cs="宋体"/>
          <w:color w:val="000000"/>
          <w:kern w:val="0"/>
          <w:sz w:val="24"/>
          <w:szCs w:val="24"/>
          <w:lang w:val="en-US" w:eastAsia="zh-CN" w:bidi="ar"/>
        </w:rPr>
        <w:t>是否被人力资源社会保障行政部门列入失信联合惩戒名单（有效期内）的</w:t>
      </w:r>
      <w:r>
        <w:rPr>
          <w:rFonts w:hint="eastAsia" w:ascii="Times New Roman" w:hAnsi="Times New Roman"/>
          <w:kern w:val="0"/>
          <w:sz w:val="24"/>
          <w:szCs w:val="24"/>
          <w:highlight w:val="none"/>
        </w:rPr>
        <w:t>情形进行查验。如查实存在的，则取消其中标候选人资格。</w:t>
      </w:r>
    </w:p>
    <w:p>
      <w:pPr>
        <w:widowControl/>
        <w:ind w:firstLine="480" w:firstLineChars="200"/>
        <w:rPr>
          <w:rFonts w:hint="eastAsia" w:ascii="Times New Roman" w:hAnsi="Times New Roman"/>
          <w:kern w:val="0"/>
          <w:sz w:val="24"/>
          <w:szCs w:val="24"/>
          <w:highlight w:val="none"/>
          <w:lang w:val="zh-CN"/>
        </w:rPr>
      </w:pPr>
      <w:r>
        <w:rPr>
          <w:rFonts w:hint="eastAsia" w:ascii="Times New Roman" w:hAnsi="Times New Roman"/>
          <w:kern w:val="0"/>
          <w:sz w:val="24"/>
          <w:szCs w:val="24"/>
          <w:highlight w:val="none"/>
          <w:lang w:val="zh-CN"/>
        </w:rPr>
        <w:t>当有效投标人＜</w:t>
      </w:r>
      <w:r>
        <w:rPr>
          <w:rFonts w:ascii="Times New Roman" w:hAnsi="Times New Roman"/>
          <w:kern w:val="0"/>
          <w:sz w:val="24"/>
          <w:szCs w:val="24"/>
          <w:highlight w:val="none"/>
          <w:lang w:val="zh-CN"/>
        </w:rPr>
        <w:t>3</w:t>
      </w:r>
      <w:r>
        <w:rPr>
          <w:rFonts w:hint="eastAsia" w:ascii="Times New Roman" w:hAnsi="Times New Roman"/>
          <w:kern w:val="0"/>
          <w:sz w:val="24"/>
          <w:szCs w:val="24"/>
          <w:highlight w:val="none"/>
          <w:lang w:val="zh-CN"/>
        </w:rPr>
        <w:t>家时，评标委员会应判定本次投标是否具有竞争力。若评标委员会认为本次投标明显缺乏竞争的，可以否决全部投标。</w:t>
      </w:r>
    </w:p>
    <w:p>
      <w:pPr>
        <w:spacing w:line="360" w:lineRule="auto"/>
        <w:ind w:firstLine="480" w:firstLineChars="200"/>
        <w:outlineLvl w:val="2"/>
        <w:rPr>
          <w:rFonts w:ascii="Times New Roman" w:hAnsi="Times New Roman"/>
          <w:b/>
          <w:sz w:val="24"/>
          <w:szCs w:val="24"/>
          <w:highlight w:val="none"/>
          <w:lang w:val="zh-CN"/>
        </w:rPr>
      </w:pPr>
      <w:r>
        <w:rPr>
          <w:rFonts w:hint="eastAsia" w:ascii="宋体" w:hAnsi="宋体" w:cs="宋体"/>
          <w:color w:val="auto"/>
          <w:sz w:val="24"/>
          <w:szCs w:val="24"/>
          <w:highlight w:val="none"/>
          <w:lang w:eastAsia="zh-CN"/>
        </w:rPr>
        <w:t>□</w:t>
      </w:r>
      <w:r>
        <w:rPr>
          <w:rFonts w:hint="eastAsia" w:ascii="Times New Roman" w:hAnsi="Times New Roman"/>
          <w:b/>
          <w:sz w:val="24"/>
          <w:szCs w:val="24"/>
          <w:highlight w:val="none"/>
        </w:rPr>
        <w:t>九、</w:t>
      </w:r>
      <w:r>
        <w:rPr>
          <w:rFonts w:hint="eastAsia" w:ascii="Times New Roman" w:hAnsi="Times New Roman"/>
          <w:b/>
          <w:bCs/>
          <w:kern w:val="0"/>
          <w:sz w:val="24"/>
          <w:szCs w:val="24"/>
          <w:highlight w:val="none"/>
          <w:lang w:val="zh-CN"/>
        </w:rPr>
        <w:t>推荐中标候选人</w:t>
      </w:r>
      <w:r>
        <w:rPr>
          <w:rFonts w:hint="eastAsia" w:ascii="Times New Roman" w:hAnsi="Times New Roman"/>
          <w:b/>
          <w:sz w:val="24"/>
          <w:szCs w:val="24"/>
          <w:highlight w:val="none"/>
          <w:lang w:val="zh-CN"/>
        </w:rPr>
        <w:t>（适用于“评定分离”）</w:t>
      </w:r>
    </w:p>
    <w:p>
      <w:pPr>
        <w:widowControl/>
        <w:tabs>
          <w:tab w:val="left" w:pos="9360"/>
        </w:tabs>
        <w:spacing w:line="360" w:lineRule="auto"/>
        <w:ind w:firstLine="480" w:firstLineChars="200"/>
        <w:rPr>
          <w:rFonts w:hint="eastAsia" w:ascii="Times New Roman" w:hAnsi="Times New Roman"/>
          <w:kern w:val="0"/>
          <w:sz w:val="24"/>
          <w:szCs w:val="24"/>
          <w:highlight w:val="none"/>
          <w:lang w:val="en-US" w:eastAsia="zh-CN"/>
        </w:rPr>
      </w:pPr>
      <w:r>
        <w:rPr>
          <w:rFonts w:hint="default" w:ascii="Times New Roman" w:hAnsi="Times New Roman"/>
          <w:kern w:val="0"/>
          <w:sz w:val="24"/>
          <w:szCs w:val="24"/>
          <w:highlight w:val="none"/>
          <w:lang w:val="zh-CN"/>
        </w:rPr>
        <w:t>评标委员会对投标人按总分从高到低进行排序，并按照排序推荐中标候选人</w:t>
      </w:r>
      <w:r>
        <w:rPr>
          <w:rFonts w:hint="eastAsia" w:ascii="Times New Roman" w:hAnsi="Times New Roman"/>
          <w:kern w:val="0"/>
          <w:sz w:val="24"/>
          <w:szCs w:val="24"/>
          <w:highlight w:val="none"/>
          <w:lang w:val="zh-CN" w:eastAsia="zh-CN"/>
        </w:rPr>
        <w:t>，</w:t>
      </w:r>
      <w:r>
        <w:rPr>
          <w:rFonts w:hint="eastAsia" w:ascii="Times New Roman" w:hAnsi="Times New Roman"/>
          <w:kern w:val="0"/>
          <w:sz w:val="24"/>
          <w:szCs w:val="24"/>
          <w:highlight w:val="none"/>
          <w:lang w:val="zh-CN"/>
        </w:rPr>
        <w:t>如</w:t>
      </w:r>
      <w:r>
        <w:rPr>
          <w:rFonts w:hint="default" w:ascii="Times New Roman" w:hAnsi="Times New Roman"/>
          <w:kern w:val="0"/>
          <w:sz w:val="24"/>
          <w:szCs w:val="24"/>
          <w:highlight w:val="none"/>
          <w:lang w:val="zh-CN"/>
        </w:rPr>
        <w:t>总</w:t>
      </w:r>
      <w:r>
        <w:rPr>
          <w:rFonts w:hint="eastAsia" w:ascii="Times New Roman" w:hAnsi="Times New Roman"/>
          <w:kern w:val="0"/>
          <w:sz w:val="24"/>
          <w:szCs w:val="24"/>
          <w:highlight w:val="none"/>
          <w:lang w:val="zh-CN"/>
        </w:rPr>
        <w:t>分相同的，以投标报价低的</w:t>
      </w:r>
      <w:r>
        <w:rPr>
          <w:rFonts w:hint="default" w:ascii="Times New Roman" w:hAnsi="Times New Roman"/>
          <w:kern w:val="0"/>
          <w:sz w:val="24"/>
          <w:szCs w:val="24"/>
          <w:highlight w:val="none"/>
          <w:lang w:val="zh-CN"/>
        </w:rPr>
        <w:t>优先</w:t>
      </w:r>
      <w:r>
        <w:rPr>
          <w:rFonts w:hint="eastAsia" w:ascii="Times New Roman" w:hAnsi="Times New Roman"/>
          <w:kern w:val="0"/>
          <w:sz w:val="24"/>
          <w:szCs w:val="24"/>
          <w:highlight w:val="none"/>
          <w:lang w:val="zh-CN"/>
        </w:rPr>
        <w:t>；投标报价仍相同的，以</w:t>
      </w:r>
      <w:r>
        <w:rPr>
          <w:rFonts w:hint="eastAsia" w:ascii="Times New Roman" w:hAnsi="Times New Roman"/>
          <w:kern w:val="0"/>
          <w:sz w:val="24"/>
          <w:szCs w:val="24"/>
          <w:highlight w:val="none"/>
          <w:lang w:val="zh-CN" w:eastAsia="zh-CN"/>
        </w:rPr>
        <w:t>信用评价得分</w:t>
      </w:r>
      <w:r>
        <w:rPr>
          <w:rFonts w:hint="eastAsia" w:ascii="Times New Roman" w:hAnsi="Times New Roman"/>
          <w:kern w:val="0"/>
          <w:sz w:val="24"/>
          <w:szCs w:val="24"/>
          <w:highlight w:val="none"/>
          <w:lang w:val="zh-CN"/>
        </w:rPr>
        <w:t>靠前的</w:t>
      </w:r>
      <w:r>
        <w:rPr>
          <w:rFonts w:hint="default" w:ascii="Times New Roman" w:hAnsi="Times New Roman"/>
          <w:kern w:val="0"/>
          <w:sz w:val="24"/>
          <w:szCs w:val="24"/>
          <w:highlight w:val="none"/>
          <w:lang w:val="zh-CN"/>
        </w:rPr>
        <w:t>优先</w:t>
      </w:r>
      <w:r>
        <w:rPr>
          <w:rFonts w:hint="eastAsia" w:ascii="Times New Roman" w:hAnsi="Times New Roman"/>
          <w:kern w:val="0"/>
          <w:sz w:val="24"/>
          <w:szCs w:val="24"/>
          <w:highlight w:val="none"/>
          <w:lang w:val="zh-CN"/>
        </w:rPr>
        <w:t>；上述均相同的</w:t>
      </w:r>
      <w:r>
        <w:rPr>
          <w:rFonts w:hint="eastAsia" w:ascii="Times New Roman" w:hAnsi="Times New Roman" w:eastAsia="宋体"/>
          <w:color w:val="0000FF"/>
          <w:kern w:val="0"/>
          <w:sz w:val="24"/>
          <w:szCs w:val="24"/>
          <w:highlight w:val="none"/>
          <w:u w:val="single"/>
          <w:lang w:val="zh-CN"/>
        </w:rPr>
        <w:t xml:space="preserve">  （在招标文件中明确确定方式</w:t>
      </w:r>
      <w:r>
        <w:rPr>
          <w:rFonts w:hint="default" w:ascii="Times New Roman" w:hAnsi="Times New Roman" w:eastAsia="宋体"/>
          <w:color w:val="0000FF"/>
          <w:kern w:val="0"/>
          <w:sz w:val="24"/>
          <w:szCs w:val="24"/>
          <w:highlight w:val="none"/>
          <w:u w:val="single"/>
          <w:lang w:val="zh-CN"/>
        </w:rPr>
        <w:t>）</w:t>
      </w:r>
      <w:r>
        <w:rPr>
          <w:rFonts w:hint="eastAsia" w:ascii="Times New Roman" w:hAnsi="Times New Roman" w:eastAsia="宋体"/>
          <w:color w:val="0000FF"/>
          <w:kern w:val="0"/>
          <w:sz w:val="24"/>
          <w:szCs w:val="24"/>
          <w:highlight w:val="none"/>
          <w:u w:val="single"/>
          <w:lang w:val="zh-CN"/>
        </w:rPr>
        <w:t xml:space="preserve">   。</w:t>
      </w:r>
      <w:r>
        <w:rPr>
          <w:rFonts w:hint="eastAsia" w:ascii="Times New Roman" w:hAnsi="Times New Roman"/>
          <w:kern w:val="0"/>
          <w:sz w:val="24"/>
          <w:szCs w:val="24"/>
          <w:highlight w:val="none"/>
          <w:lang w:val="zh-CN" w:eastAsia="zh-CN"/>
        </w:rPr>
        <w:t>推荐的中标候选人资格</w:t>
      </w:r>
      <w:r>
        <w:rPr>
          <w:rFonts w:hint="eastAsia" w:ascii="Times New Roman" w:hAnsi="Times New Roman"/>
          <w:kern w:val="0"/>
          <w:sz w:val="24"/>
          <w:szCs w:val="24"/>
          <w:highlight w:val="none"/>
          <w:lang w:val="en-US" w:eastAsia="zh-CN"/>
        </w:rPr>
        <w:t>名单不排序。</w:t>
      </w:r>
    </w:p>
    <w:p>
      <w:pPr>
        <w:keepNext w:val="0"/>
        <w:keepLines w:val="0"/>
        <w:widowControl/>
        <w:suppressLineNumbers w:val="0"/>
        <w:jc w:val="left"/>
        <w:rPr>
          <w:rFonts w:hint="eastAsia" w:ascii="Times New Roman" w:hAnsi="Times New Roman"/>
          <w:kern w:val="0"/>
          <w:sz w:val="24"/>
          <w:szCs w:val="24"/>
          <w:highlight w:val="none"/>
        </w:rPr>
      </w:pPr>
      <w:r>
        <w:rPr>
          <w:rFonts w:hint="eastAsia" w:ascii="Times New Roman" w:hAnsi="Times New Roman"/>
          <w:kern w:val="0"/>
          <w:sz w:val="24"/>
          <w:szCs w:val="24"/>
          <w:highlight w:val="none"/>
        </w:rPr>
        <w:t>评标委员会对拟确定的推荐中标候选人和其拟派项目负责人，是否列入失信被执行人名单及在本招标文件（招标公告）规定时间范围内是否有贿赂犯罪记录</w:t>
      </w:r>
      <w:r>
        <w:rPr>
          <w:rFonts w:hint="eastAsia" w:ascii="Times New Roman" w:hAnsi="Times New Roman"/>
          <w:kern w:val="0"/>
          <w:sz w:val="24"/>
          <w:szCs w:val="24"/>
          <w:highlight w:val="none"/>
          <w:lang w:eastAsia="zh-CN"/>
        </w:rPr>
        <w:t>；</w:t>
      </w:r>
      <w:r>
        <w:rPr>
          <w:rFonts w:hint="eastAsia" w:ascii="Times New Roman" w:hAnsi="宋体" w:eastAsia="宋体" w:cs="Times New Roman"/>
          <w:color w:val="auto"/>
          <w:sz w:val="24"/>
          <w:szCs w:val="24"/>
          <w:highlight w:val="none"/>
          <w:lang w:val="en-US" w:eastAsia="zh-CN" w:bidi="ar-SA"/>
        </w:rPr>
        <w:t>是否</w:t>
      </w:r>
      <w:r>
        <w:rPr>
          <w:rFonts w:hint="default" w:ascii="Times New Roman" w:hAnsi="宋体" w:eastAsia="宋体" w:cs="Times New Roman"/>
          <w:color w:val="auto"/>
          <w:sz w:val="24"/>
          <w:szCs w:val="24"/>
          <w:highlight w:val="none"/>
          <w:lang w:val="en-US" w:eastAsia="zh-CN" w:bidi="ar-SA"/>
        </w:rPr>
        <w:t>被列入建筑市场严重失信名单的</w:t>
      </w:r>
      <w:r>
        <w:rPr>
          <w:rFonts w:hint="eastAsia" w:ascii="Times New Roman" w:hAnsi="宋体" w:eastAsia="宋体" w:cs="Times New Roman"/>
          <w:color w:val="auto"/>
          <w:sz w:val="24"/>
          <w:szCs w:val="24"/>
          <w:highlight w:val="none"/>
          <w:lang w:val="en-US" w:eastAsia="zh-CN" w:bidi="ar-SA"/>
        </w:rPr>
        <w:t>、是否被市场监督管理机关在全国企业信用信息公示系统中列入严重违法失信企业名单的、</w:t>
      </w:r>
      <w:r>
        <w:rPr>
          <w:rFonts w:hint="eastAsia" w:ascii="宋体" w:hAnsi="宋体" w:eastAsia="宋体" w:cs="宋体"/>
          <w:color w:val="000000"/>
          <w:kern w:val="0"/>
          <w:sz w:val="24"/>
          <w:szCs w:val="24"/>
          <w:lang w:val="en-US" w:eastAsia="zh-CN" w:bidi="ar"/>
        </w:rPr>
        <w:t>是否被人力资源社会保障行政部门列入失信联合惩戒名单（有效期内）的</w:t>
      </w:r>
      <w:r>
        <w:rPr>
          <w:rFonts w:hint="eastAsia" w:ascii="Times New Roman" w:hAnsi="Times New Roman"/>
          <w:color w:val="auto"/>
          <w:kern w:val="0"/>
          <w:sz w:val="24"/>
          <w:szCs w:val="24"/>
          <w:highlight w:val="none"/>
        </w:rPr>
        <w:t>情形进行查验。</w:t>
      </w:r>
      <w:r>
        <w:rPr>
          <w:rFonts w:hint="eastAsia" w:ascii="Times New Roman" w:hAnsi="Times New Roman"/>
          <w:kern w:val="0"/>
          <w:sz w:val="24"/>
          <w:szCs w:val="24"/>
          <w:highlight w:val="none"/>
        </w:rPr>
        <w:t>如查实存在的，则取消其中标候选人资格。</w:t>
      </w:r>
    </w:p>
    <w:p>
      <w:pPr>
        <w:widowControl/>
        <w:tabs>
          <w:tab w:val="left" w:pos="9360"/>
        </w:tabs>
        <w:spacing w:line="360" w:lineRule="auto"/>
        <w:ind w:firstLine="480" w:firstLineChars="200"/>
        <w:rPr>
          <w:rFonts w:hint="eastAsia" w:ascii="Times New Roman" w:hAnsi="Times New Roman"/>
          <w:kern w:val="0"/>
          <w:sz w:val="24"/>
          <w:szCs w:val="24"/>
          <w:highlight w:val="none"/>
          <w:lang w:val="zh-CN"/>
        </w:rPr>
      </w:pPr>
      <w:r>
        <w:rPr>
          <w:rFonts w:hint="eastAsia" w:ascii="Times New Roman" w:hAnsi="Times New Roman"/>
          <w:kern w:val="0"/>
          <w:sz w:val="24"/>
          <w:szCs w:val="24"/>
          <w:highlight w:val="none"/>
          <w:lang w:val="zh-CN"/>
        </w:rPr>
        <w:t>当有效投标人＜3家时，评标委员会应判定本次投标是否具有竞争力。若评标委员会认为本次投标明显缺乏竞争的，可以否决全部投标。</w:t>
      </w:r>
    </w:p>
    <w:p>
      <w:pPr>
        <w:widowControl/>
        <w:ind w:firstLine="420" w:firstLineChars="200"/>
        <w:rPr>
          <w:rFonts w:hint="eastAsia" w:ascii="Times New Roman" w:hAnsi="宋体"/>
          <w:color w:val="auto"/>
          <w:highlight w:val="none"/>
          <w:lang w:val="zh-CN" w:eastAsia="zh-CN"/>
        </w:rPr>
      </w:pPr>
    </w:p>
    <w:p>
      <w:pPr>
        <w:pStyle w:val="9"/>
        <w:pageBreakBefore/>
        <w:jc w:val="both"/>
        <w:outlineLvl w:val="1"/>
        <w:rPr>
          <w:color w:val="7AB6FF"/>
          <w:highlight w:val="none"/>
        </w:rPr>
      </w:pPr>
      <w:bookmarkStart w:id="18" w:name="EB076d80d73f5d47a298c6c264e47654b9"/>
      <w:bookmarkEnd w:id="18"/>
      <w:bookmarkStart w:id="19" w:name="EB8089679e133c40b699209568157cbb42"/>
      <w:bookmarkEnd w:id="19"/>
      <w:r>
        <w:rPr>
          <w:rFonts w:ascii="宋体" w:hAnsi="宋体"/>
          <w:color w:val="auto"/>
          <w:sz w:val="28"/>
          <w:szCs w:val="28"/>
          <w:highlight w:val="none"/>
        </w:rPr>
        <w:t>□</w:t>
      </w:r>
      <w:r>
        <w:rPr>
          <w:rFonts w:hint="eastAsia"/>
          <w:highlight w:val="none"/>
        </w:rPr>
        <w:t>评标办法（</w:t>
      </w:r>
      <w:r>
        <w:rPr>
          <w:rFonts w:hint="eastAsia"/>
          <w:highlight w:val="none"/>
          <w:lang w:eastAsia="zh-CN"/>
        </w:rPr>
        <w:t>四</w:t>
      </w:r>
      <w:r>
        <w:rPr>
          <w:rFonts w:hint="eastAsia"/>
          <w:highlight w:val="none"/>
        </w:rPr>
        <w:t>）</w:t>
      </w:r>
    </w:p>
    <w:p>
      <w:pPr>
        <w:spacing w:line="360" w:lineRule="auto"/>
        <w:ind w:firstLine="562" w:firstLineChars="200"/>
        <w:jc w:val="center"/>
        <w:outlineLvl w:val="2"/>
        <w:rPr>
          <w:rFonts w:hint="eastAsia" w:ascii="黑体" w:hAnsi="黑体" w:eastAsia="黑体" w:cs="黑体"/>
          <w:b/>
          <w:sz w:val="28"/>
          <w:szCs w:val="28"/>
          <w:highlight w:val="none"/>
        </w:rPr>
      </w:pPr>
      <w:r>
        <w:rPr>
          <w:rFonts w:hint="eastAsia" w:ascii="黑体" w:hAnsi="黑体" w:eastAsia="黑体" w:cs="黑体"/>
          <w:b/>
          <w:sz w:val="28"/>
          <w:szCs w:val="28"/>
          <w:highlight w:val="none"/>
        </w:rPr>
        <w:t>技术标打分制的综合评估法</w:t>
      </w:r>
    </w:p>
    <w:p>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技术标打分制的综合评估法，适用于采用新工艺、技术特别复杂或具有特殊专业技术要求的房屋建筑和市政基础设施工程施工招标（包括专业承包工程），须满足使用指南中技术标打分制综合评估法要求的项目规模标准。评标应遵循公平、公正、科学、择优的原则。</w:t>
      </w:r>
    </w:p>
    <w:p>
      <w:pPr>
        <w:spacing w:line="360" w:lineRule="auto"/>
        <w:ind w:firstLine="420" w:firstLineChars="200"/>
        <w:rPr>
          <w:rFonts w:ascii="Times New Roman" w:hAnsi="Times New Roman"/>
          <w:highlight w:val="none"/>
        </w:rPr>
      </w:pPr>
      <w:r>
        <w:rPr>
          <w:rFonts w:ascii="Times New Roman" w:hAnsi="Times New Roman"/>
          <w:highlight w:val="none"/>
        </w:rPr>
        <w:t xml:space="preserve"> </w:t>
      </w:r>
      <w:r>
        <w:rPr>
          <w:rFonts w:hint="eastAsia" w:ascii="Times New Roman" w:hAnsi="Times New Roman"/>
          <w:sz w:val="24"/>
          <w:szCs w:val="24"/>
          <w:highlight w:val="none"/>
        </w:rPr>
        <w:t>技术标打分制的综合评估法应先对投标人进行资格审查，</w:t>
      </w:r>
      <w:r>
        <w:rPr>
          <w:rFonts w:hint="eastAsia" w:ascii="Times New Roman" w:hAnsi="Times New Roman"/>
          <w:bCs/>
          <w:sz w:val="24"/>
          <w:szCs w:val="24"/>
          <w:highlight w:val="none"/>
        </w:rPr>
        <w:t>已通过资格审查的投标人报价按规定的方法进入评审区间，</w:t>
      </w:r>
      <w:r>
        <w:rPr>
          <w:rFonts w:hint="eastAsia" w:ascii="Times New Roman" w:hAnsi="Times New Roman"/>
          <w:sz w:val="24"/>
          <w:szCs w:val="24"/>
          <w:highlight w:val="none"/>
        </w:rPr>
        <w:t>对进入评审区间的投标人分别进行资信、商务、技术标评审，总分最高的投标人推荐为中标候选人。</w:t>
      </w:r>
    </w:p>
    <w:p>
      <w:pPr>
        <w:spacing w:line="360" w:lineRule="auto"/>
        <w:ind w:firstLine="480" w:firstLineChars="200"/>
        <w:rPr>
          <w:rFonts w:ascii="Times New Roman" w:hAnsi="Times New Roman"/>
          <w:color w:val="C00000"/>
          <w:sz w:val="24"/>
          <w:szCs w:val="24"/>
          <w:highlight w:val="none"/>
        </w:rPr>
      </w:pPr>
      <w:r>
        <w:rPr>
          <w:rFonts w:hint="eastAsia" w:ascii="Times New Roman" w:hAnsi="Times New Roman"/>
          <w:sz w:val="24"/>
          <w:szCs w:val="24"/>
          <w:highlight w:val="none"/>
        </w:rPr>
        <w:t>总分</w:t>
      </w:r>
      <w:r>
        <w:rPr>
          <w:rFonts w:ascii="Times New Roman" w:hAnsi="Times New Roman"/>
          <w:sz w:val="24"/>
          <w:szCs w:val="24"/>
          <w:highlight w:val="none"/>
        </w:rPr>
        <w:t>=</w:t>
      </w:r>
      <w:r>
        <w:rPr>
          <w:rFonts w:hint="eastAsia" w:ascii="Times New Roman" w:hAnsi="Times New Roman"/>
          <w:sz w:val="24"/>
          <w:szCs w:val="24"/>
          <w:highlight w:val="none"/>
        </w:rPr>
        <w:t>技术标评分</w:t>
      </w:r>
      <w:r>
        <w:rPr>
          <w:rFonts w:hint="eastAsia" w:ascii="Times New Roman" w:hAnsi="Times New Roman"/>
          <w:color w:val="0000FF"/>
          <w:sz w:val="24"/>
          <w:szCs w:val="24"/>
          <w:highlight w:val="none"/>
          <w:u w:val="single"/>
        </w:rPr>
        <w:t>（≤</w:t>
      </w:r>
      <w:r>
        <w:rPr>
          <w:rFonts w:hint="eastAsia" w:ascii="Times New Roman" w:hAnsi="Times New Roman"/>
          <w:color w:val="0000FF"/>
          <w:sz w:val="24"/>
          <w:szCs w:val="24"/>
          <w:highlight w:val="none"/>
          <w:u w:val="single"/>
          <w:lang w:val="en-US" w:eastAsia="zh-CN"/>
        </w:rPr>
        <w:t>3</w:t>
      </w:r>
      <w:r>
        <w:rPr>
          <w:rFonts w:hint="eastAsia" w:ascii="Times New Roman" w:hAnsi="Times New Roman"/>
          <w:color w:val="0000FF"/>
          <w:sz w:val="24"/>
          <w:szCs w:val="24"/>
          <w:highlight w:val="none"/>
          <w:u w:val="single"/>
        </w:rPr>
        <w:t>0分）</w:t>
      </w:r>
      <w:r>
        <w:rPr>
          <w:rFonts w:hint="eastAsia" w:ascii="Times New Roman" w:hAnsi="Times New Roman"/>
          <w:sz w:val="24"/>
          <w:szCs w:val="24"/>
          <w:highlight w:val="none"/>
        </w:rPr>
        <w:t>分</w:t>
      </w:r>
      <w:r>
        <w:rPr>
          <w:rFonts w:ascii="Times New Roman" w:hAnsi="Times New Roman"/>
          <w:sz w:val="24"/>
          <w:szCs w:val="24"/>
          <w:highlight w:val="none"/>
        </w:rPr>
        <w:t>(</w:t>
      </w:r>
      <w:r>
        <w:rPr>
          <w:rFonts w:hint="eastAsia" w:ascii="Times New Roman" w:hAnsi="Times New Roman"/>
          <w:sz w:val="24"/>
          <w:szCs w:val="24"/>
          <w:highlight w:val="none"/>
        </w:rPr>
        <w:t>含陈述答辩分</w:t>
      </w:r>
      <w:r>
        <w:rPr>
          <w:rFonts w:ascii="Times New Roman" w:hAnsi="Times New Roman"/>
          <w:sz w:val="24"/>
          <w:szCs w:val="24"/>
          <w:highlight w:val="none"/>
        </w:rPr>
        <w:t>)+</w:t>
      </w:r>
      <w:r>
        <w:rPr>
          <w:rFonts w:hint="eastAsia" w:ascii="Times New Roman" w:hAnsi="Times New Roman"/>
          <w:sz w:val="24"/>
          <w:szCs w:val="24"/>
          <w:highlight w:val="none"/>
        </w:rPr>
        <w:t>商务标评分</w:t>
      </w:r>
      <w:r>
        <w:rPr>
          <w:rFonts w:hint="eastAsia" w:ascii="Times New Roman" w:hAnsi="Times New Roman"/>
          <w:color w:val="0000FF"/>
          <w:sz w:val="24"/>
          <w:szCs w:val="24"/>
          <w:highlight w:val="none"/>
          <w:u w:val="single"/>
        </w:rPr>
        <w:t>（≥</w:t>
      </w:r>
      <w:r>
        <w:rPr>
          <w:rFonts w:hint="eastAsia" w:ascii="Times New Roman" w:hAnsi="Times New Roman"/>
          <w:color w:val="0000FF"/>
          <w:sz w:val="24"/>
          <w:szCs w:val="24"/>
          <w:highlight w:val="none"/>
          <w:u w:val="single"/>
          <w:lang w:val="en-US" w:eastAsia="zh-CN"/>
        </w:rPr>
        <w:t>6</w:t>
      </w:r>
      <w:r>
        <w:rPr>
          <w:rFonts w:hint="eastAsia" w:ascii="Times New Roman" w:hAnsi="Times New Roman"/>
          <w:color w:val="0000FF"/>
          <w:sz w:val="24"/>
          <w:szCs w:val="24"/>
          <w:highlight w:val="none"/>
          <w:u w:val="single"/>
        </w:rPr>
        <w:t>0分）</w:t>
      </w:r>
      <w:r>
        <w:rPr>
          <w:rFonts w:hint="eastAsia" w:ascii="Times New Roman" w:hAnsi="Times New Roman"/>
          <w:sz w:val="24"/>
          <w:szCs w:val="24"/>
          <w:highlight w:val="none"/>
        </w:rPr>
        <w:t>分</w:t>
      </w:r>
      <w:r>
        <w:rPr>
          <w:rFonts w:ascii="Times New Roman" w:hAnsi="Times New Roman"/>
          <w:sz w:val="24"/>
          <w:szCs w:val="24"/>
          <w:highlight w:val="none"/>
        </w:rPr>
        <w:t>+</w:t>
      </w:r>
      <w:r>
        <w:rPr>
          <w:rFonts w:hint="eastAsia" w:ascii="Times New Roman" w:hAnsi="Times New Roman"/>
          <w:sz w:val="24"/>
          <w:szCs w:val="24"/>
          <w:highlight w:val="none"/>
        </w:rPr>
        <w:t>资信评分</w:t>
      </w:r>
      <w:r>
        <w:rPr>
          <w:rFonts w:hint="eastAsia" w:ascii="Times New Roman" w:hAnsi="Times New Roman"/>
          <w:color w:val="0000FF"/>
          <w:sz w:val="24"/>
          <w:szCs w:val="24"/>
          <w:highlight w:val="none"/>
          <w:u w:val="single"/>
        </w:rPr>
        <w:t>（</w:t>
      </w:r>
      <w:r>
        <w:rPr>
          <w:rFonts w:hint="eastAsia" w:ascii="Times New Roman" w:hAnsi="Times New Roman"/>
          <w:color w:val="0000FF"/>
          <w:sz w:val="24"/>
          <w:szCs w:val="24"/>
          <w:highlight w:val="none"/>
          <w:u w:val="single"/>
          <w:lang w:val="en-US" w:eastAsia="zh-CN"/>
        </w:rPr>
        <w:t>8-</w:t>
      </w:r>
      <w:r>
        <w:rPr>
          <w:rFonts w:hint="eastAsia" w:ascii="Times New Roman" w:hAnsi="Times New Roman"/>
          <w:color w:val="0000FF"/>
          <w:sz w:val="24"/>
          <w:szCs w:val="24"/>
          <w:highlight w:val="none"/>
          <w:u w:val="single"/>
        </w:rPr>
        <w:t>10分）</w:t>
      </w:r>
      <w:r>
        <w:rPr>
          <w:rFonts w:hint="eastAsia" w:ascii="Times New Roman" w:hAnsi="Times New Roman"/>
          <w:sz w:val="24"/>
          <w:szCs w:val="24"/>
          <w:highlight w:val="none"/>
        </w:rPr>
        <w:t>分。</w:t>
      </w:r>
    </w:p>
    <w:p>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评标工作由招标人依法组建的评标委员会负责，</w:t>
      </w:r>
      <w:r>
        <w:rPr>
          <w:rFonts w:hint="eastAsia" w:ascii="Times New Roman" w:hAnsi="Times New Roman"/>
          <w:b/>
          <w:bCs/>
          <w:sz w:val="24"/>
          <w:szCs w:val="24"/>
          <w:highlight w:val="none"/>
        </w:rPr>
        <w:t>评标委员会设商务专家组和技术专家组，</w:t>
      </w:r>
      <w:r>
        <w:rPr>
          <w:rFonts w:hint="eastAsia" w:ascii="Times New Roman" w:hAnsi="Times New Roman"/>
          <w:bCs/>
          <w:sz w:val="24"/>
          <w:szCs w:val="24"/>
          <w:highlight w:val="none"/>
        </w:rPr>
        <w:t>技术标评审和陈述答辩环节由技术专家组负责评审，评审小组如遇到有争议性的内容时，由评标委员会集体讨论决定。</w:t>
      </w:r>
      <w:r>
        <w:rPr>
          <w:rFonts w:hint="eastAsia" w:ascii="Times New Roman" w:hAnsi="Times New Roman"/>
          <w:sz w:val="24"/>
          <w:szCs w:val="24"/>
          <w:highlight w:val="none"/>
        </w:rPr>
        <w:t>评标委员会成员为</w:t>
      </w:r>
      <w:bookmarkStart w:id="20" w:name="EBc8374841741345f5b4b71f45bcaf752f"/>
      <w:r>
        <w:rPr>
          <w:rFonts w:hint="eastAsia" w:ascii="Times New Roman" w:hAnsi="Times New Roman"/>
          <w:color w:val="0000FF"/>
          <w:sz w:val="24"/>
          <w:szCs w:val="24"/>
          <w:highlight w:val="none"/>
          <w:u w:val="single"/>
        </w:rPr>
        <w:t>（应根据法律法规及相关文件要求填写）</w:t>
      </w:r>
      <w:bookmarkEnd w:id="20"/>
      <w:r>
        <w:rPr>
          <w:rFonts w:hint="eastAsia" w:ascii="Times New Roman" w:hAnsi="Times New Roman"/>
          <w:sz w:val="24"/>
          <w:szCs w:val="24"/>
          <w:highlight w:val="none"/>
        </w:rPr>
        <w:t>。</w:t>
      </w:r>
    </w:p>
    <w:p>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pPr>
        <w:snapToGrid w:val="0"/>
        <w:spacing w:line="360" w:lineRule="auto"/>
        <w:ind w:firstLine="482" w:firstLineChars="200"/>
        <w:outlineLvl w:val="2"/>
        <w:rPr>
          <w:rFonts w:ascii="Times New Roman" w:hAnsi="Times New Roman"/>
          <w:b/>
          <w:sz w:val="24"/>
          <w:szCs w:val="24"/>
          <w:highlight w:val="none"/>
        </w:rPr>
      </w:pPr>
      <w:r>
        <w:rPr>
          <w:rFonts w:hint="eastAsia" w:ascii="Times New Roman" w:hAnsi="Times New Roman"/>
          <w:b/>
          <w:sz w:val="24"/>
          <w:szCs w:val="24"/>
          <w:highlight w:val="none"/>
        </w:rPr>
        <w:t>一、评标程序</w:t>
      </w:r>
    </w:p>
    <w:p>
      <w:pPr>
        <w:snapToGrid w:val="0"/>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（一）资格审查</w:t>
      </w:r>
    </w:p>
    <w:p>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lang w:val="zh-CN"/>
        </w:rPr>
        <w:t>（二）</w:t>
      </w:r>
      <w:r>
        <w:rPr>
          <w:rFonts w:hint="eastAsia" w:ascii="Times New Roman" w:hAnsi="Times New Roman"/>
          <w:sz w:val="24"/>
          <w:szCs w:val="24"/>
          <w:highlight w:val="none"/>
        </w:rPr>
        <w:t>评审区间确定</w:t>
      </w:r>
    </w:p>
    <w:p>
      <w:pPr>
        <w:snapToGrid w:val="0"/>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（三）商务标第一部分评审</w:t>
      </w:r>
      <w:r>
        <w:rPr>
          <w:rFonts w:hint="eastAsia" w:ascii="Times New Roman" w:hAnsi="Times New Roman"/>
          <w:bCs/>
          <w:sz w:val="24"/>
          <w:szCs w:val="24"/>
          <w:highlight w:val="none"/>
        </w:rPr>
        <w:t>（商务专家组评审）</w:t>
      </w:r>
    </w:p>
    <w:p>
      <w:pPr>
        <w:snapToGrid w:val="0"/>
        <w:spacing w:line="360" w:lineRule="auto"/>
        <w:ind w:firstLine="480" w:firstLineChars="200"/>
        <w:rPr>
          <w:rFonts w:ascii="Times New Roman" w:hAnsi="Times New Roman" w:eastAsia="等线"/>
          <w:sz w:val="24"/>
          <w:szCs w:val="24"/>
          <w:highlight w:val="none"/>
        </w:rPr>
      </w:pPr>
      <w:r>
        <w:rPr>
          <w:rFonts w:hint="eastAsia" w:ascii="Times New Roman" w:hAnsi="Times New Roman"/>
          <w:sz w:val="24"/>
          <w:szCs w:val="24"/>
          <w:highlight w:val="none"/>
        </w:rPr>
        <w:t>（四）商务标第二部分评审</w:t>
      </w:r>
      <w:r>
        <w:rPr>
          <w:rFonts w:hint="eastAsia" w:ascii="Times New Roman" w:hAnsi="Times New Roman"/>
          <w:bCs/>
          <w:sz w:val="24"/>
          <w:szCs w:val="24"/>
          <w:highlight w:val="none"/>
        </w:rPr>
        <w:t>（商务专家组评审）</w:t>
      </w:r>
    </w:p>
    <w:p>
      <w:pPr>
        <w:snapToGrid w:val="0"/>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（五）技术评审</w:t>
      </w:r>
      <w:r>
        <w:rPr>
          <w:rFonts w:ascii="Times New Roman" w:hAnsi="Times New Roman"/>
          <w:bCs/>
          <w:sz w:val="24"/>
          <w:szCs w:val="24"/>
          <w:highlight w:val="none"/>
        </w:rPr>
        <w:t>(</w:t>
      </w:r>
      <w:r>
        <w:rPr>
          <w:rFonts w:hint="eastAsia" w:ascii="Times New Roman" w:hAnsi="Times New Roman"/>
          <w:bCs/>
          <w:sz w:val="24"/>
          <w:szCs w:val="24"/>
          <w:highlight w:val="none"/>
        </w:rPr>
        <w:t>与商务标同步进行评审，技术专家组评审</w:t>
      </w:r>
      <w:r>
        <w:rPr>
          <w:rFonts w:ascii="Times New Roman" w:hAnsi="Times New Roman"/>
          <w:bCs/>
          <w:sz w:val="24"/>
          <w:szCs w:val="24"/>
          <w:highlight w:val="none"/>
        </w:rPr>
        <w:t>)</w:t>
      </w:r>
    </w:p>
    <w:p>
      <w:pPr>
        <w:snapToGrid w:val="0"/>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（六）投标人资信评审</w:t>
      </w:r>
    </w:p>
    <w:p>
      <w:pPr>
        <w:snapToGrid w:val="0"/>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（七）综合评审</w:t>
      </w:r>
    </w:p>
    <w:p>
      <w:pPr>
        <w:snapToGrid w:val="0"/>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（八）推荐中标候选人</w:t>
      </w:r>
    </w:p>
    <w:p>
      <w:pPr>
        <w:snapToGrid w:val="0"/>
        <w:spacing w:line="360" w:lineRule="auto"/>
        <w:ind w:firstLine="482" w:firstLineChars="200"/>
        <w:outlineLvl w:val="2"/>
        <w:rPr>
          <w:rFonts w:ascii="Times New Roman" w:hAnsi="Times New Roman"/>
          <w:b/>
          <w:sz w:val="24"/>
          <w:szCs w:val="24"/>
          <w:highlight w:val="none"/>
        </w:rPr>
      </w:pPr>
      <w:r>
        <w:rPr>
          <w:rFonts w:hint="eastAsia" w:ascii="Times New Roman" w:hAnsi="Times New Roman"/>
          <w:b/>
          <w:sz w:val="24"/>
          <w:szCs w:val="24"/>
          <w:highlight w:val="none"/>
        </w:rPr>
        <w:t>二、资格审查</w:t>
      </w:r>
    </w:p>
    <w:p>
      <w:pPr>
        <w:widowControl/>
        <w:spacing w:line="360" w:lineRule="auto"/>
        <w:ind w:firstLine="480" w:firstLineChars="200"/>
        <w:rPr>
          <w:rFonts w:hint="eastAsia" w:ascii="Times New Roman" w:hAnsi="Times New Roman"/>
          <w:sz w:val="24"/>
          <w:szCs w:val="24"/>
          <w:highlight w:val="none"/>
        </w:rPr>
      </w:pPr>
      <w:r>
        <w:rPr>
          <w:rFonts w:hint="eastAsia" w:ascii="Times New Roman" w:hAnsi="Times New Roman"/>
          <w:sz w:val="24"/>
          <w:szCs w:val="24"/>
          <w:highlight w:val="none"/>
        </w:rPr>
        <w:t>评标委员会通过招投标平台系统对投标人的资格审查资料中涉及</w:t>
      </w:r>
      <w:r>
        <w:rPr>
          <w:rFonts w:ascii="Times New Roman" w:hAnsi="Times New Roman"/>
          <w:sz w:val="24"/>
          <w:szCs w:val="24"/>
          <w:highlight w:val="none"/>
        </w:rPr>
        <w:t>“</w:t>
      </w:r>
      <w:r>
        <w:rPr>
          <w:rFonts w:hint="eastAsia" w:ascii="Times New Roman" w:hAnsi="Times New Roman"/>
          <w:sz w:val="24"/>
          <w:szCs w:val="24"/>
          <w:highlight w:val="none"/>
        </w:rPr>
        <w:t>企业营业执照、资质证书、安全许可证</w:t>
      </w:r>
      <w:r>
        <w:rPr>
          <w:rFonts w:ascii="Times New Roman" w:hAnsi="Times New Roman"/>
          <w:sz w:val="24"/>
          <w:szCs w:val="24"/>
          <w:highlight w:val="none"/>
        </w:rPr>
        <w:t>”</w:t>
      </w:r>
      <w:r>
        <w:rPr>
          <w:rFonts w:hint="eastAsia" w:ascii="Times New Roman" w:hAnsi="Times New Roman"/>
          <w:sz w:val="24"/>
          <w:szCs w:val="24"/>
          <w:highlight w:val="none"/>
        </w:rPr>
        <w:t>进行核对，投标人投标文件中上述资料未通过系统平台企业诚信库导入或存在投标须知前附表</w:t>
      </w:r>
      <w:r>
        <w:rPr>
          <w:rFonts w:ascii="Times New Roman" w:hAnsi="Times New Roman"/>
          <w:sz w:val="24"/>
          <w:szCs w:val="24"/>
          <w:highlight w:val="none"/>
        </w:rPr>
        <w:t>10.5</w:t>
      </w:r>
      <w:r>
        <w:rPr>
          <w:rFonts w:hint="eastAsia" w:ascii="Times New Roman" w:hAnsi="Times New Roman"/>
          <w:sz w:val="24"/>
          <w:szCs w:val="24"/>
          <w:highlight w:val="none"/>
        </w:rPr>
        <w:t>情形</w:t>
      </w:r>
      <w:r>
        <w:rPr>
          <w:rFonts w:ascii="Times New Roman" w:hAnsi="Times New Roman"/>
          <w:sz w:val="24"/>
          <w:szCs w:val="24"/>
          <w:highlight w:val="none"/>
        </w:rPr>
        <w:t>(</w:t>
      </w:r>
      <w:r>
        <w:rPr>
          <w:rFonts w:hint="eastAsia" w:ascii="Times New Roman" w:hAnsi="Times New Roman"/>
          <w:sz w:val="24"/>
          <w:szCs w:val="24"/>
          <w:highlight w:val="none"/>
        </w:rPr>
        <w:t>资格审查内容</w:t>
      </w:r>
      <w:r>
        <w:rPr>
          <w:rFonts w:ascii="Times New Roman" w:hAnsi="Times New Roman"/>
          <w:sz w:val="24"/>
          <w:szCs w:val="24"/>
          <w:highlight w:val="none"/>
        </w:rPr>
        <w:t>)</w:t>
      </w:r>
      <w:r>
        <w:rPr>
          <w:rFonts w:hint="eastAsia" w:ascii="Times New Roman" w:hAnsi="Times New Roman"/>
          <w:sz w:val="24"/>
          <w:szCs w:val="24"/>
          <w:highlight w:val="none"/>
        </w:rPr>
        <w:t>的，评标委员会组织投标人询问核实后，情况属实的，资格审查不予通过，否决其投标。评标委员会核查投标人投标保证金递交情况，投标人未按招标文件要求递交投标保证金的，评标委员会组织投标人询问核实后，情况属实的，资格审查不予通过，否决其投标。</w:t>
      </w:r>
    </w:p>
    <w:p>
      <w:pPr>
        <w:widowControl/>
        <w:spacing w:line="360" w:lineRule="auto"/>
        <w:ind w:firstLine="480" w:firstLineChars="200"/>
        <w:rPr>
          <w:rFonts w:ascii="Times New Roman" w:hAnsi="Times New Roman"/>
          <w:highlight w:val="none"/>
        </w:rPr>
      </w:pPr>
      <w:r>
        <w:rPr>
          <w:rFonts w:hint="eastAsia" w:ascii="Times New Roman" w:hAnsi="Times New Roman"/>
          <w:color w:val="auto"/>
          <w:kern w:val="0"/>
          <w:sz w:val="24"/>
          <w:szCs w:val="24"/>
          <w:highlight w:val="none"/>
          <w:lang w:val="en-US" w:eastAsia="zh-CN"/>
        </w:rPr>
        <w:t>评标委员会应审查投标人提供的“资质动态核查证明”，未按招标文件要求提供“资质动态核查证明”的或提供的“资质动态核查证明”不符合招标文件要求的，资格审查不予通过，否决其投标。</w:t>
      </w:r>
    </w:p>
    <w:p>
      <w:pPr>
        <w:snapToGrid w:val="0"/>
        <w:spacing w:line="360" w:lineRule="auto"/>
        <w:ind w:firstLine="482" w:firstLineChars="200"/>
        <w:outlineLvl w:val="2"/>
        <w:rPr>
          <w:rFonts w:ascii="Times New Roman" w:hAnsi="Times New Roman"/>
          <w:b/>
          <w:sz w:val="24"/>
          <w:szCs w:val="24"/>
          <w:highlight w:val="none"/>
        </w:rPr>
      </w:pPr>
      <w:r>
        <w:rPr>
          <w:rFonts w:hint="eastAsia" w:ascii="Times New Roman" w:hAnsi="Times New Roman"/>
          <w:b/>
          <w:sz w:val="24"/>
          <w:szCs w:val="24"/>
          <w:highlight w:val="none"/>
        </w:rPr>
        <w:t>三、评审区间确定</w:t>
      </w:r>
    </w:p>
    <w:p>
      <w:pPr>
        <w:widowControl/>
        <w:tabs>
          <w:tab w:val="left" w:pos="9360"/>
        </w:tabs>
        <w:spacing w:line="360" w:lineRule="auto"/>
        <w:ind w:firstLine="480" w:firstLineChars="200"/>
        <w:rPr>
          <w:rFonts w:ascii="Times New Roman" w:hAnsi="Times New Roman"/>
          <w:kern w:val="0"/>
          <w:sz w:val="24"/>
          <w:szCs w:val="24"/>
          <w:highlight w:val="none"/>
        </w:rPr>
      </w:pPr>
      <w:r>
        <w:rPr>
          <w:rFonts w:ascii="Times New Roman" w:hAnsi="Times New Roman"/>
          <w:kern w:val="0"/>
          <w:sz w:val="24"/>
          <w:szCs w:val="24"/>
          <w:highlight w:val="none"/>
        </w:rPr>
        <w:t>1</w:t>
      </w:r>
      <w:r>
        <w:rPr>
          <w:rFonts w:hint="eastAsia" w:ascii="Times New Roman" w:hAnsi="Times New Roman"/>
          <w:kern w:val="0"/>
          <w:sz w:val="24"/>
          <w:szCs w:val="24"/>
          <w:highlight w:val="none"/>
        </w:rPr>
        <w:t>、异常报价的确定</w:t>
      </w:r>
    </w:p>
    <w:p>
      <w:pPr>
        <w:widowControl/>
        <w:tabs>
          <w:tab w:val="left" w:pos="9360"/>
        </w:tabs>
        <w:spacing w:line="360" w:lineRule="auto"/>
        <w:ind w:firstLine="480" w:firstLineChars="200"/>
        <w:rPr>
          <w:rFonts w:ascii="Times New Roman" w:hAnsi="Times New Roman"/>
          <w:kern w:val="0"/>
          <w:sz w:val="24"/>
          <w:szCs w:val="24"/>
          <w:highlight w:val="none"/>
        </w:rPr>
      </w:pPr>
      <w:r>
        <w:rPr>
          <w:rFonts w:ascii="Times New Roman" w:hAnsi="Times New Roman"/>
          <w:kern w:val="0"/>
          <w:sz w:val="24"/>
          <w:szCs w:val="24"/>
          <w:highlight w:val="none"/>
        </w:rPr>
        <w:t>1.1</w:t>
      </w:r>
      <w:r>
        <w:rPr>
          <w:rFonts w:hint="eastAsia" w:ascii="Times New Roman" w:hAnsi="Times New Roman"/>
          <w:kern w:val="0"/>
          <w:sz w:val="24"/>
          <w:szCs w:val="24"/>
          <w:highlight w:val="none"/>
        </w:rPr>
        <w:t>投标报价高于招标控制价（</w:t>
      </w:r>
      <w:r>
        <w:rPr>
          <w:rFonts w:ascii="Times New Roman" w:hAnsi="Times New Roman"/>
          <w:kern w:val="0"/>
          <w:sz w:val="24"/>
          <w:szCs w:val="24"/>
          <w:highlight w:val="none"/>
        </w:rPr>
        <w:t>1-n%</w:t>
      </w:r>
      <w:r>
        <w:rPr>
          <w:rFonts w:hint="eastAsia" w:ascii="Times New Roman" w:hAnsi="Times New Roman"/>
          <w:kern w:val="0"/>
          <w:sz w:val="24"/>
          <w:szCs w:val="24"/>
          <w:highlight w:val="none"/>
        </w:rPr>
        <w:t>）的报价为异常报价，</w:t>
      </w:r>
      <w:r>
        <w:rPr>
          <w:rFonts w:ascii="Times New Roman" w:hAnsi="Times New Roman"/>
          <w:kern w:val="0"/>
          <w:sz w:val="24"/>
          <w:szCs w:val="24"/>
          <w:highlight w:val="none"/>
        </w:rPr>
        <w:t>n</w:t>
      </w:r>
      <w:r>
        <w:rPr>
          <w:rFonts w:hint="eastAsia" w:ascii="Times New Roman" w:hAnsi="Times New Roman"/>
          <w:kern w:val="0"/>
          <w:sz w:val="24"/>
          <w:szCs w:val="24"/>
          <w:highlight w:val="none"/>
        </w:rPr>
        <w:t>值为</w:t>
      </w:r>
      <w:bookmarkStart w:id="21" w:name="EBec3a54927e5a4665ad1a669e944b4881"/>
      <w:bookmarkEnd w:id="21"/>
      <w:r>
        <w:rPr>
          <w:rFonts w:hint="eastAsia" w:ascii="Times New Roman" w:hAnsi="Times New Roman"/>
          <w:kern w:val="0"/>
          <w:sz w:val="24"/>
          <w:szCs w:val="24"/>
          <w:highlight w:val="none"/>
        </w:rPr>
        <w:t>。</w:t>
      </w:r>
    </w:p>
    <w:p>
      <w:pPr>
        <w:widowControl/>
        <w:tabs>
          <w:tab w:val="left" w:pos="9360"/>
        </w:tabs>
        <w:spacing w:line="360" w:lineRule="auto"/>
        <w:ind w:firstLine="480" w:firstLineChars="200"/>
        <w:rPr>
          <w:rFonts w:ascii="Times New Roman" w:hAnsi="Times New Roman"/>
          <w:kern w:val="0"/>
          <w:sz w:val="24"/>
          <w:szCs w:val="24"/>
          <w:highlight w:val="none"/>
        </w:rPr>
      </w:pPr>
      <w:r>
        <w:rPr>
          <w:rFonts w:ascii="Times New Roman" w:hAnsi="Times New Roman"/>
          <w:kern w:val="0"/>
          <w:sz w:val="24"/>
          <w:szCs w:val="24"/>
          <w:highlight w:val="none"/>
        </w:rPr>
        <w:t>1.2</w:t>
      </w:r>
      <w:r>
        <w:rPr>
          <w:rFonts w:hint="eastAsia" w:ascii="Times New Roman" w:hAnsi="Times New Roman"/>
          <w:kern w:val="0"/>
          <w:sz w:val="24"/>
          <w:szCs w:val="24"/>
          <w:highlight w:val="none"/>
        </w:rPr>
        <w:t>投标报价低于招标控制价</w:t>
      </w:r>
      <w:r>
        <w:rPr>
          <w:rFonts w:ascii="Times New Roman" w:hAnsi="Times New Roman"/>
          <w:kern w:val="0"/>
          <w:sz w:val="24"/>
          <w:szCs w:val="24"/>
          <w:highlight w:val="none"/>
        </w:rPr>
        <w:t>m%</w:t>
      </w:r>
      <w:r>
        <w:rPr>
          <w:rFonts w:hint="eastAsia" w:ascii="Times New Roman" w:hAnsi="Times New Roman"/>
          <w:kern w:val="0"/>
          <w:sz w:val="24"/>
          <w:szCs w:val="24"/>
          <w:highlight w:val="none"/>
        </w:rPr>
        <w:t>的报价为异常报价，</w:t>
      </w:r>
      <w:r>
        <w:rPr>
          <w:rFonts w:ascii="Times New Roman" w:hAnsi="Times New Roman"/>
          <w:kern w:val="0"/>
          <w:sz w:val="24"/>
          <w:szCs w:val="24"/>
          <w:highlight w:val="none"/>
        </w:rPr>
        <w:t>m</w:t>
      </w:r>
      <w:r>
        <w:rPr>
          <w:rFonts w:hint="eastAsia" w:ascii="Times New Roman" w:hAnsi="Times New Roman"/>
          <w:kern w:val="0"/>
          <w:sz w:val="24"/>
          <w:szCs w:val="24"/>
          <w:highlight w:val="none"/>
        </w:rPr>
        <w:t>值为</w:t>
      </w:r>
      <w:bookmarkStart w:id="22" w:name="EB3fb1ce80cb384e68ba9f2176c2b72838"/>
      <w:bookmarkEnd w:id="22"/>
      <w:r>
        <w:rPr>
          <w:rFonts w:hint="eastAsia" w:ascii="Times New Roman" w:hAnsi="Times New Roman"/>
          <w:kern w:val="0"/>
          <w:sz w:val="24"/>
          <w:szCs w:val="24"/>
          <w:highlight w:val="none"/>
        </w:rPr>
        <w:t>。</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w:t>
      </w:r>
      <w:r>
        <w:rPr>
          <w:rFonts w:ascii="Times New Roman" w:hAnsi="Times New Roman"/>
          <w:kern w:val="0"/>
          <w:sz w:val="24"/>
          <w:szCs w:val="24"/>
          <w:highlight w:val="none"/>
        </w:rPr>
        <w:t>n</w:t>
      </w:r>
      <w:r>
        <w:rPr>
          <w:rFonts w:hint="eastAsia" w:ascii="Times New Roman" w:hAnsi="Times New Roman"/>
          <w:kern w:val="0"/>
          <w:sz w:val="24"/>
          <w:szCs w:val="24"/>
          <w:highlight w:val="none"/>
        </w:rPr>
        <w:t>值应为</w:t>
      </w:r>
      <w:r>
        <w:rPr>
          <w:rFonts w:ascii="Times New Roman" w:hAnsi="Times New Roman"/>
          <w:kern w:val="0"/>
          <w:sz w:val="24"/>
          <w:szCs w:val="24"/>
          <w:highlight w:val="none"/>
        </w:rPr>
        <w:t>3-5</w:t>
      </w:r>
      <w:r>
        <w:rPr>
          <w:rFonts w:hint="eastAsia" w:ascii="Times New Roman" w:hAnsi="Times New Roman"/>
          <w:kern w:val="0"/>
          <w:sz w:val="24"/>
          <w:szCs w:val="24"/>
          <w:highlight w:val="none"/>
        </w:rPr>
        <w:t>的整数，</w:t>
      </w:r>
      <w:r>
        <w:rPr>
          <w:rFonts w:ascii="Times New Roman" w:hAnsi="Times New Roman"/>
          <w:kern w:val="0"/>
          <w:sz w:val="24"/>
          <w:szCs w:val="24"/>
          <w:highlight w:val="none"/>
        </w:rPr>
        <w:t>m</w:t>
      </w:r>
      <w:r>
        <w:rPr>
          <w:rFonts w:hint="eastAsia" w:ascii="Times New Roman" w:hAnsi="Times New Roman"/>
          <w:kern w:val="0"/>
          <w:sz w:val="24"/>
          <w:szCs w:val="24"/>
          <w:highlight w:val="none"/>
        </w:rPr>
        <w:t>值应为</w:t>
      </w:r>
      <w:r>
        <w:rPr>
          <w:rFonts w:ascii="Times New Roman" w:hAnsi="Times New Roman"/>
          <w:kern w:val="0"/>
          <w:sz w:val="24"/>
          <w:szCs w:val="24"/>
          <w:highlight w:val="none"/>
        </w:rPr>
        <w:t>80-85</w:t>
      </w:r>
      <w:r>
        <w:rPr>
          <w:rFonts w:hint="eastAsia" w:ascii="Times New Roman" w:hAnsi="Times New Roman"/>
          <w:kern w:val="0"/>
          <w:sz w:val="24"/>
          <w:szCs w:val="24"/>
          <w:highlight w:val="none"/>
        </w:rPr>
        <w:t>的整数，由招标人在编制招标文件时确定）。</w:t>
      </w:r>
    </w:p>
    <w:p>
      <w:pPr>
        <w:widowControl/>
        <w:tabs>
          <w:tab w:val="left" w:pos="9360"/>
        </w:tabs>
        <w:spacing w:line="360" w:lineRule="auto"/>
        <w:ind w:firstLine="482" w:firstLineChars="200"/>
        <w:rPr>
          <w:rFonts w:ascii="Times New Roman" w:hAnsi="Times New Roman"/>
          <w:b/>
          <w:bCs/>
          <w:kern w:val="0"/>
          <w:sz w:val="24"/>
          <w:szCs w:val="24"/>
          <w:highlight w:val="none"/>
        </w:rPr>
      </w:pPr>
      <w:r>
        <w:rPr>
          <w:rFonts w:hint="eastAsia" w:ascii="Times New Roman" w:hAnsi="Times New Roman"/>
          <w:b/>
          <w:bCs/>
          <w:kern w:val="0"/>
          <w:sz w:val="24"/>
          <w:szCs w:val="24"/>
          <w:highlight w:val="none"/>
        </w:rPr>
        <w:t>异常报价的投标人不再参与后续评审。</w:t>
      </w:r>
    </w:p>
    <w:p>
      <w:pPr>
        <w:widowControl/>
        <w:tabs>
          <w:tab w:val="left" w:pos="9360"/>
        </w:tabs>
        <w:spacing w:line="360" w:lineRule="auto"/>
        <w:ind w:firstLine="480" w:firstLineChars="200"/>
        <w:rPr>
          <w:rFonts w:ascii="Times New Roman" w:hAnsi="Times New Roman"/>
          <w:kern w:val="0"/>
          <w:sz w:val="24"/>
          <w:szCs w:val="24"/>
          <w:highlight w:val="none"/>
        </w:rPr>
      </w:pPr>
      <w:r>
        <w:rPr>
          <w:rFonts w:ascii="Times New Roman" w:hAnsi="Times New Roman"/>
          <w:kern w:val="0"/>
          <w:sz w:val="24"/>
          <w:szCs w:val="24"/>
          <w:highlight w:val="none"/>
        </w:rPr>
        <w:t>2</w:t>
      </w:r>
      <w:r>
        <w:rPr>
          <w:rFonts w:hint="eastAsia" w:ascii="Times New Roman" w:hAnsi="Times New Roman"/>
          <w:kern w:val="0"/>
          <w:sz w:val="24"/>
          <w:szCs w:val="24"/>
          <w:highlight w:val="none"/>
        </w:rPr>
        <w:t>、确定评审区间入围单位：</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当通过上述评审的投标人家数小于、等于</w:t>
      </w:r>
      <w:r>
        <w:rPr>
          <w:rFonts w:ascii="Times New Roman" w:hAnsi="Times New Roman"/>
          <w:kern w:val="0"/>
          <w:sz w:val="24"/>
          <w:szCs w:val="24"/>
          <w:highlight w:val="none"/>
        </w:rPr>
        <w:t>3</w:t>
      </w:r>
      <w:r>
        <w:rPr>
          <w:rFonts w:hint="eastAsia" w:ascii="Times New Roman" w:hAnsi="Times New Roman"/>
          <w:kern w:val="0"/>
          <w:sz w:val="24"/>
          <w:szCs w:val="24"/>
          <w:highlight w:val="none"/>
          <w:lang w:val="en-US" w:eastAsia="zh-CN"/>
        </w:rPr>
        <w:t>5</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家时，全部进入评审区间，当通过上述评审的投标人大于</w:t>
      </w:r>
      <w:r>
        <w:rPr>
          <w:rFonts w:ascii="Times New Roman" w:hAnsi="Times New Roman"/>
          <w:kern w:val="0"/>
          <w:sz w:val="24"/>
          <w:szCs w:val="24"/>
          <w:highlight w:val="none"/>
        </w:rPr>
        <w:t>3</w:t>
      </w:r>
      <w:r>
        <w:rPr>
          <w:rFonts w:hint="eastAsia" w:ascii="Times New Roman" w:hAnsi="Times New Roman"/>
          <w:kern w:val="0"/>
          <w:sz w:val="24"/>
          <w:szCs w:val="24"/>
          <w:highlight w:val="none"/>
          <w:lang w:val="en-US" w:eastAsia="zh-CN"/>
        </w:rPr>
        <w:t>5</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家时，按下述方式确定评审区间入围单位</w:t>
      </w:r>
      <w:r>
        <w:rPr>
          <w:rFonts w:hint="eastAsia" w:ascii="Times New Roman" w:hAnsi="Times New Roman"/>
          <w:kern w:val="0"/>
          <w:sz w:val="24"/>
          <w:szCs w:val="24"/>
          <w:highlight w:val="none"/>
          <w:lang w:val="en-US" w:eastAsia="zh-CN"/>
        </w:rPr>
        <w:t>35家</w:t>
      </w:r>
      <w:r>
        <w:rPr>
          <w:rFonts w:hint="eastAsia" w:ascii="Times New Roman" w:hAnsi="Times New Roman"/>
          <w:kern w:val="0"/>
          <w:sz w:val="24"/>
          <w:szCs w:val="24"/>
          <w:highlight w:val="none"/>
        </w:rPr>
        <w:t>：</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通过上述评审的投标人以下称为</w:t>
      </w:r>
      <w:r>
        <w:rPr>
          <w:rFonts w:ascii="Times New Roman" w:hAnsi="Times New Roman"/>
          <w:kern w:val="0"/>
          <w:sz w:val="24"/>
          <w:szCs w:val="24"/>
          <w:highlight w:val="none"/>
        </w:rPr>
        <w:t>“</w:t>
      </w:r>
      <w:r>
        <w:rPr>
          <w:rFonts w:hint="eastAsia" w:ascii="Times New Roman" w:hAnsi="Times New Roman"/>
          <w:kern w:val="0"/>
          <w:sz w:val="24"/>
          <w:szCs w:val="24"/>
          <w:highlight w:val="none"/>
        </w:rPr>
        <w:t>全部参与评审的投标人</w:t>
      </w:r>
      <w:r>
        <w:rPr>
          <w:rFonts w:ascii="Times New Roman" w:hAnsi="Times New Roman"/>
          <w:kern w:val="0"/>
          <w:sz w:val="24"/>
          <w:szCs w:val="24"/>
          <w:highlight w:val="none"/>
        </w:rPr>
        <w:t>”</w:t>
      </w:r>
      <w:r>
        <w:rPr>
          <w:rFonts w:hint="eastAsia" w:ascii="Times New Roman" w:hAnsi="Times New Roman"/>
          <w:kern w:val="0"/>
          <w:sz w:val="24"/>
          <w:szCs w:val="24"/>
          <w:highlight w:val="none"/>
        </w:rPr>
        <w:t>。</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确定评审区间入围名额</w:t>
      </w:r>
      <w:r>
        <w:rPr>
          <w:rFonts w:ascii="Times New Roman" w:hAnsi="Times New Roman"/>
          <w:kern w:val="0"/>
          <w:sz w:val="24"/>
          <w:szCs w:val="24"/>
          <w:highlight w:val="none"/>
        </w:rPr>
        <w:t>3</w:t>
      </w:r>
      <w:r>
        <w:rPr>
          <w:rFonts w:hint="eastAsia" w:ascii="Times New Roman" w:hAnsi="Times New Roman"/>
          <w:kern w:val="0"/>
          <w:sz w:val="24"/>
          <w:szCs w:val="24"/>
          <w:highlight w:val="none"/>
          <w:lang w:val="en-US" w:eastAsia="zh-CN"/>
        </w:rPr>
        <w:t>5</w:t>
      </w:r>
      <w:r>
        <w:rPr>
          <w:rFonts w:hint="eastAsia" w:ascii="Times New Roman" w:hAnsi="Times New Roman"/>
          <w:kern w:val="0"/>
          <w:sz w:val="24"/>
          <w:szCs w:val="24"/>
          <w:highlight w:val="none"/>
        </w:rPr>
        <w:t>家。确定方式如下：</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3</w:t>
      </w:r>
      <w:r>
        <w:rPr>
          <w:rFonts w:hint="eastAsia" w:ascii="Times New Roman" w:hAnsi="Times New Roman"/>
          <w:kern w:val="0"/>
          <w:sz w:val="24"/>
          <w:szCs w:val="24"/>
          <w:highlight w:val="none"/>
          <w:lang w:val="en-US" w:eastAsia="zh-CN"/>
        </w:rPr>
        <w:t>5</w:t>
      </w:r>
      <w:r>
        <w:rPr>
          <w:rFonts w:hint="eastAsia" w:ascii="Times New Roman" w:hAnsi="Times New Roman"/>
          <w:kern w:val="0"/>
          <w:sz w:val="24"/>
          <w:szCs w:val="24"/>
          <w:highlight w:val="none"/>
        </w:rPr>
        <w:t>家评审区间入围单位在</w:t>
      </w:r>
      <w:r>
        <w:rPr>
          <w:rFonts w:ascii="Times New Roman" w:hAnsi="Times New Roman"/>
          <w:kern w:val="0"/>
          <w:sz w:val="24"/>
          <w:szCs w:val="24"/>
          <w:highlight w:val="none"/>
        </w:rPr>
        <w:t>“</w:t>
      </w:r>
      <w:r>
        <w:rPr>
          <w:rFonts w:hint="eastAsia" w:ascii="Times New Roman" w:hAnsi="Times New Roman"/>
          <w:kern w:val="0"/>
          <w:sz w:val="24"/>
          <w:szCs w:val="24"/>
          <w:highlight w:val="none"/>
        </w:rPr>
        <w:t>全部参与评审的投标人</w:t>
      </w:r>
      <w:r>
        <w:rPr>
          <w:rFonts w:ascii="Times New Roman" w:hAnsi="Times New Roman"/>
          <w:kern w:val="0"/>
          <w:sz w:val="24"/>
          <w:szCs w:val="24"/>
          <w:highlight w:val="none"/>
        </w:rPr>
        <w:t>”</w:t>
      </w:r>
      <w:r>
        <w:rPr>
          <w:rFonts w:hint="eastAsia" w:ascii="Times New Roman" w:hAnsi="Times New Roman"/>
          <w:kern w:val="0"/>
          <w:sz w:val="24"/>
          <w:szCs w:val="24"/>
          <w:highlight w:val="none"/>
        </w:rPr>
        <w:t>中抽取产生，抽取方式如下：</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开评标系统通过舟山市建筑市场信用信息网（</w:t>
      </w:r>
      <w:bookmarkStart w:id="23" w:name="EB44c75102be114b4e9602f95cf42cd00b"/>
      <w:r>
        <w:rPr>
          <w:rFonts w:hint="eastAsia" w:ascii="Times New Roman" w:hAnsi="Times New Roman"/>
          <w:color w:val="0000FF"/>
          <w:kern w:val="0"/>
          <w:sz w:val="24"/>
          <w:szCs w:val="24"/>
          <w:highlight w:val="none"/>
        </w:rPr>
        <w:t>https://jzscxyxx.zszjj.zhoushan.gov.cn:7007/</w:t>
      </w:r>
      <w:bookmarkEnd w:id="23"/>
      <w:r>
        <w:rPr>
          <w:rFonts w:hint="eastAsia" w:ascii="Times New Roman" w:hAnsi="Times New Roman"/>
          <w:kern w:val="0"/>
          <w:sz w:val="24"/>
          <w:szCs w:val="24"/>
          <w:highlight w:val="none"/>
        </w:rPr>
        <w:t>）查询全部参与评审的投标人开标截止日期前一天下午</w:t>
      </w:r>
      <w:r>
        <w:rPr>
          <w:rFonts w:ascii="Times New Roman" w:hAnsi="Times New Roman"/>
          <w:kern w:val="0"/>
          <w:sz w:val="24"/>
          <w:szCs w:val="24"/>
          <w:highlight w:val="none"/>
        </w:rPr>
        <w:t>17</w:t>
      </w:r>
      <w:r>
        <w:rPr>
          <w:rFonts w:hint="eastAsia" w:ascii="Times New Roman" w:hAnsi="Times New Roman"/>
          <w:kern w:val="0"/>
          <w:sz w:val="24"/>
          <w:szCs w:val="24"/>
          <w:highlight w:val="none"/>
        </w:rPr>
        <w:t>：</w:t>
      </w:r>
      <w:r>
        <w:rPr>
          <w:rFonts w:ascii="Times New Roman" w:hAnsi="Times New Roman"/>
          <w:kern w:val="0"/>
          <w:sz w:val="24"/>
          <w:szCs w:val="24"/>
          <w:highlight w:val="none"/>
        </w:rPr>
        <w:t>00</w:t>
      </w:r>
      <w:r>
        <w:rPr>
          <w:rFonts w:hint="eastAsia" w:ascii="Times New Roman" w:hAnsi="Times New Roman"/>
          <w:kern w:val="0"/>
          <w:sz w:val="24"/>
          <w:szCs w:val="24"/>
          <w:highlight w:val="none"/>
        </w:rPr>
        <w:t>的信用等级，以这个时间点查询到的信用等级信息为准。（建筑工程或市政公用工程施工总承包企业信用等级，若因技术、系统等原因无法查询开标截止日期前一天下午</w:t>
      </w:r>
      <w:r>
        <w:rPr>
          <w:rFonts w:ascii="Times New Roman" w:hAnsi="Times New Roman"/>
          <w:kern w:val="0"/>
          <w:sz w:val="24"/>
          <w:szCs w:val="24"/>
          <w:highlight w:val="none"/>
        </w:rPr>
        <w:t>17</w:t>
      </w:r>
      <w:r>
        <w:rPr>
          <w:rFonts w:hint="eastAsia" w:ascii="Times New Roman" w:hAnsi="Times New Roman"/>
          <w:kern w:val="0"/>
          <w:sz w:val="24"/>
          <w:szCs w:val="24"/>
          <w:highlight w:val="none"/>
        </w:rPr>
        <w:t>：</w:t>
      </w:r>
      <w:r>
        <w:rPr>
          <w:rFonts w:ascii="Times New Roman" w:hAnsi="Times New Roman"/>
          <w:kern w:val="0"/>
          <w:sz w:val="24"/>
          <w:szCs w:val="24"/>
          <w:highlight w:val="none"/>
        </w:rPr>
        <w:t>00</w:t>
      </w:r>
      <w:r>
        <w:rPr>
          <w:rFonts w:hint="eastAsia" w:ascii="Times New Roman" w:hAnsi="Times New Roman"/>
          <w:kern w:val="0"/>
          <w:sz w:val="24"/>
          <w:szCs w:val="24"/>
          <w:highlight w:val="none"/>
        </w:rPr>
        <w:t>的信用等级信息，则以开标截止日期前二天下午</w:t>
      </w:r>
      <w:r>
        <w:rPr>
          <w:rFonts w:ascii="Times New Roman" w:hAnsi="Times New Roman"/>
          <w:kern w:val="0"/>
          <w:sz w:val="24"/>
          <w:szCs w:val="24"/>
          <w:highlight w:val="none"/>
        </w:rPr>
        <w:t>17</w:t>
      </w:r>
      <w:r>
        <w:rPr>
          <w:rFonts w:hint="eastAsia" w:ascii="Times New Roman" w:hAnsi="Times New Roman"/>
          <w:kern w:val="0"/>
          <w:sz w:val="24"/>
          <w:szCs w:val="24"/>
          <w:highlight w:val="none"/>
        </w:rPr>
        <w:t>：</w:t>
      </w:r>
      <w:r>
        <w:rPr>
          <w:rFonts w:ascii="Times New Roman" w:hAnsi="Times New Roman"/>
          <w:kern w:val="0"/>
          <w:sz w:val="24"/>
          <w:szCs w:val="24"/>
          <w:highlight w:val="none"/>
        </w:rPr>
        <w:t>00</w:t>
      </w:r>
      <w:r>
        <w:rPr>
          <w:rFonts w:hint="eastAsia" w:ascii="Times New Roman" w:hAnsi="Times New Roman"/>
          <w:kern w:val="0"/>
          <w:sz w:val="24"/>
          <w:szCs w:val="24"/>
          <w:highlight w:val="none"/>
        </w:rPr>
        <w:t>的信用等级信息为准，以此类推）。根据查询结果分三类，即</w:t>
      </w:r>
      <w:r>
        <w:rPr>
          <w:rFonts w:ascii="Times New Roman" w:hAnsi="Times New Roman"/>
          <w:kern w:val="0"/>
          <w:sz w:val="24"/>
          <w:szCs w:val="24"/>
          <w:highlight w:val="none"/>
        </w:rPr>
        <w:t>A</w:t>
      </w:r>
      <w:r>
        <w:rPr>
          <w:rFonts w:hint="eastAsia" w:ascii="Times New Roman" w:hAnsi="Times New Roman"/>
          <w:kern w:val="0"/>
          <w:sz w:val="24"/>
          <w:szCs w:val="24"/>
          <w:highlight w:val="none"/>
        </w:rPr>
        <w:t>级、</w:t>
      </w:r>
      <w:r>
        <w:rPr>
          <w:rFonts w:ascii="Times New Roman" w:hAnsi="Times New Roman"/>
          <w:kern w:val="0"/>
          <w:sz w:val="24"/>
          <w:szCs w:val="24"/>
          <w:highlight w:val="none"/>
        </w:rPr>
        <w:t>B</w:t>
      </w:r>
      <w:r>
        <w:rPr>
          <w:rFonts w:hint="eastAsia" w:ascii="Times New Roman" w:hAnsi="Times New Roman"/>
          <w:kern w:val="0"/>
          <w:sz w:val="24"/>
          <w:szCs w:val="24"/>
          <w:highlight w:val="none"/>
        </w:rPr>
        <w:t>级、</w:t>
      </w:r>
      <w:r>
        <w:rPr>
          <w:rFonts w:ascii="Times New Roman" w:hAnsi="Times New Roman"/>
          <w:kern w:val="0"/>
          <w:sz w:val="24"/>
          <w:szCs w:val="24"/>
          <w:highlight w:val="none"/>
        </w:rPr>
        <w:t>C</w:t>
      </w:r>
      <w:r>
        <w:rPr>
          <w:rFonts w:hint="eastAsia" w:ascii="Times New Roman" w:hAnsi="Times New Roman"/>
          <w:kern w:val="0"/>
          <w:sz w:val="24"/>
          <w:szCs w:val="24"/>
          <w:highlight w:val="none"/>
        </w:rPr>
        <w:t>级及以下和无法查询其信用等级的。</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信用等级为</w:t>
      </w:r>
      <w:r>
        <w:rPr>
          <w:rFonts w:ascii="Times New Roman" w:hAnsi="Times New Roman"/>
          <w:kern w:val="0"/>
          <w:sz w:val="24"/>
          <w:szCs w:val="24"/>
          <w:highlight w:val="none"/>
        </w:rPr>
        <w:t>E</w:t>
      </w:r>
      <w:r>
        <w:rPr>
          <w:rFonts w:hint="eastAsia" w:ascii="Times New Roman" w:hAnsi="Times New Roman"/>
          <w:kern w:val="0"/>
          <w:sz w:val="24"/>
          <w:szCs w:val="24"/>
          <w:highlight w:val="none"/>
        </w:rPr>
        <w:t>级的企业不作为评审区间入围单位。（不参与随机抽取）</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入围单位确定顺序：先确定信用等级</w:t>
      </w:r>
      <w:r>
        <w:rPr>
          <w:rFonts w:ascii="Times New Roman" w:hAnsi="Times New Roman"/>
          <w:kern w:val="0"/>
          <w:sz w:val="24"/>
          <w:szCs w:val="24"/>
          <w:highlight w:val="none"/>
        </w:rPr>
        <w:t>C</w:t>
      </w:r>
      <w:r>
        <w:rPr>
          <w:rFonts w:hint="eastAsia" w:ascii="Times New Roman" w:hAnsi="Times New Roman"/>
          <w:kern w:val="0"/>
          <w:sz w:val="24"/>
          <w:szCs w:val="24"/>
          <w:highlight w:val="none"/>
        </w:rPr>
        <w:t>级及以下和无法查询其信用等级的入围企业，再确定信用等级</w:t>
      </w:r>
      <w:r>
        <w:rPr>
          <w:rFonts w:ascii="Times New Roman" w:hAnsi="Times New Roman"/>
          <w:kern w:val="0"/>
          <w:sz w:val="24"/>
          <w:szCs w:val="24"/>
          <w:highlight w:val="none"/>
        </w:rPr>
        <w:t xml:space="preserve">B </w:t>
      </w:r>
      <w:r>
        <w:rPr>
          <w:rFonts w:hint="eastAsia" w:ascii="Times New Roman" w:hAnsi="Times New Roman"/>
          <w:kern w:val="0"/>
          <w:sz w:val="24"/>
          <w:szCs w:val="24"/>
          <w:highlight w:val="none"/>
        </w:rPr>
        <w:t>级的入围企业，最后确定信用等级</w:t>
      </w:r>
      <w:r>
        <w:rPr>
          <w:rFonts w:ascii="Times New Roman" w:hAnsi="Times New Roman"/>
          <w:kern w:val="0"/>
          <w:sz w:val="24"/>
          <w:szCs w:val="24"/>
          <w:highlight w:val="none"/>
        </w:rPr>
        <w:t xml:space="preserve">A </w:t>
      </w:r>
      <w:r>
        <w:rPr>
          <w:rFonts w:hint="eastAsia" w:ascii="Times New Roman" w:hAnsi="Times New Roman"/>
          <w:kern w:val="0"/>
          <w:sz w:val="24"/>
          <w:szCs w:val="24"/>
          <w:highlight w:val="none"/>
        </w:rPr>
        <w:t>级的入围企业。</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在信用等级</w:t>
      </w:r>
      <w:r>
        <w:rPr>
          <w:rFonts w:ascii="Times New Roman" w:hAnsi="Times New Roman"/>
          <w:kern w:val="0"/>
          <w:sz w:val="24"/>
          <w:szCs w:val="24"/>
          <w:highlight w:val="none"/>
        </w:rPr>
        <w:t>C</w:t>
      </w:r>
      <w:r>
        <w:rPr>
          <w:rFonts w:hint="eastAsia" w:ascii="Times New Roman" w:hAnsi="Times New Roman"/>
          <w:kern w:val="0"/>
          <w:sz w:val="24"/>
          <w:szCs w:val="24"/>
          <w:highlight w:val="none"/>
        </w:rPr>
        <w:t>级及以下和无法查询其信用等级的企业中随机选择</w:t>
      </w:r>
      <w:r>
        <w:rPr>
          <w:rFonts w:ascii="Times New Roman" w:hAnsi="Times New Roman"/>
          <w:kern w:val="0"/>
          <w:sz w:val="24"/>
          <w:szCs w:val="24"/>
          <w:highlight w:val="none"/>
        </w:rPr>
        <w:t>c1</w:t>
      </w:r>
      <w:r>
        <w:rPr>
          <w:rFonts w:hint="eastAsia" w:ascii="Times New Roman" w:hAnsi="Times New Roman"/>
          <w:kern w:val="0"/>
          <w:sz w:val="24"/>
          <w:szCs w:val="24"/>
          <w:highlight w:val="none"/>
        </w:rPr>
        <w:t>家投标人为评审区间入围单位；（</w:t>
      </w:r>
      <w:r>
        <w:rPr>
          <w:rFonts w:ascii="Times New Roman" w:hAnsi="Times New Roman"/>
          <w:kern w:val="0"/>
          <w:sz w:val="24"/>
          <w:szCs w:val="24"/>
          <w:highlight w:val="none"/>
        </w:rPr>
        <w:t>c1</w:t>
      </w:r>
      <w:r>
        <w:rPr>
          <w:rFonts w:hint="eastAsia" w:ascii="Times New Roman" w:hAnsi="Times New Roman"/>
          <w:kern w:val="0"/>
          <w:sz w:val="24"/>
          <w:szCs w:val="24"/>
          <w:highlight w:val="none"/>
        </w:rPr>
        <w:t>为全部参与评审的投标人中信用等级</w:t>
      </w:r>
      <w:r>
        <w:rPr>
          <w:rFonts w:ascii="Times New Roman" w:hAnsi="Times New Roman"/>
          <w:kern w:val="0"/>
          <w:sz w:val="24"/>
          <w:szCs w:val="24"/>
          <w:highlight w:val="none"/>
        </w:rPr>
        <w:t>C</w:t>
      </w:r>
      <w:r>
        <w:rPr>
          <w:rFonts w:hint="eastAsia" w:ascii="Times New Roman" w:hAnsi="Times New Roman"/>
          <w:kern w:val="0"/>
          <w:sz w:val="24"/>
          <w:szCs w:val="24"/>
          <w:highlight w:val="none"/>
        </w:rPr>
        <w:t>级及以下和无法查询其信用等级企业数量的</w:t>
      </w:r>
      <w:r>
        <w:rPr>
          <w:rFonts w:ascii="Times New Roman" w:hAnsi="Times New Roman"/>
          <w:kern w:val="0"/>
          <w:sz w:val="24"/>
          <w:szCs w:val="24"/>
          <w:highlight w:val="none"/>
        </w:rPr>
        <w:t>5%</w:t>
      </w:r>
      <w:r>
        <w:rPr>
          <w:rFonts w:hint="eastAsia" w:ascii="Times New Roman" w:hAnsi="Times New Roman"/>
          <w:kern w:val="0"/>
          <w:sz w:val="24"/>
          <w:szCs w:val="24"/>
          <w:highlight w:val="none"/>
        </w:rPr>
        <w:t>且不超过</w:t>
      </w:r>
      <w:r>
        <w:rPr>
          <w:rFonts w:ascii="Times New Roman" w:hAnsi="Times New Roman"/>
          <w:kern w:val="0"/>
          <w:sz w:val="24"/>
          <w:szCs w:val="24"/>
          <w:highlight w:val="none"/>
        </w:rPr>
        <w:t>6</w:t>
      </w:r>
      <w:r>
        <w:rPr>
          <w:rFonts w:hint="eastAsia" w:ascii="Times New Roman" w:hAnsi="Times New Roman"/>
          <w:kern w:val="0"/>
          <w:sz w:val="24"/>
          <w:szCs w:val="24"/>
          <w:highlight w:val="none"/>
        </w:rPr>
        <w:t>家）</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在信用等级</w:t>
      </w:r>
      <w:r>
        <w:rPr>
          <w:rFonts w:ascii="Times New Roman" w:hAnsi="Times New Roman"/>
          <w:kern w:val="0"/>
          <w:sz w:val="24"/>
          <w:szCs w:val="24"/>
          <w:highlight w:val="none"/>
        </w:rPr>
        <w:t xml:space="preserve">B </w:t>
      </w:r>
      <w:r>
        <w:rPr>
          <w:rFonts w:hint="eastAsia" w:ascii="Times New Roman" w:hAnsi="Times New Roman"/>
          <w:kern w:val="0"/>
          <w:sz w:val="24"/>
          <w:szCs w:val="24"/>
          <w:highlight w:val="none"/>
        </w:rPr>
        <w:t>级的企业中随机选择</w:t>
      </w:r>
      <w:r>
        <w:rPr>
          <w:rFonts w:ascii="Times New Roman" w:hAnsi="Times New Roman"/>
          <w:kern w:val="0"/>
          <w:sz w:val="24"/>
          <w:szCs w:val="24"/>
          <w:highlight w:val="none"/>
        </w:rPr>
        <w:t>b1</w:t>
      </w:r>
      <w:r>
        <w:rPr>
          <w:rFonts w:hint="eastAsia" w:ascii="Times New Roman" w:hAnsi="Times New Roman"/>
          <w:kern w:val="0"/>
          <w:sz w:val="24"/>
          <w:szCs w:val="24"/>
          <w:highlight w:val="none"/>
        </w:rPr>
        <w:t>家投标人为评审区间入围单位；（</w:t>
      </w:r>
      <w:r>
        <w:rPr>
          <w:rFonts w:ascii="Times New Roman" w:hAnsi="Times New Roman"/>
          <w:kern w:val="0"/>
          <w:sz w:val="24"/>
          <w:szCs w:val="24"/>
          <w:highlight w:val="none"/>
        </w:rPr>
        <w:t>b1</w:t>
      </w:r>
      <w:r>
        <w:rPr>
          <w:rFonts w:hint="eastAsia" w:ascii="Times New Roman" w:hAnsi="Times New Roman"/>
          <w:kern w:val="0"/>
          <w:sz w:val="24"/>
          <w:szCs w:val="24"/>
          <w:highlight w:val="none"/>
        </w:rPr>
        <w:t>为全部参与评审的投标人中信用等级</w:t>
      </w:r>
      <w:r>
        <w:rPr>
          <w:rFonts w:ascii="Times New Roman" w:hAnsi="Times New Roman"/>
          <w:kern w:val="0"/>
          <w:sz w:val="24"/>
          <w:szCs w:val="24"/>
          <w:highlight w:val="none"/>
        </w:rPr>
        <w:t xml:space="preserve">B </w:t>
      </w:r>
      <w:r>
        <w:rPr>
          <w:rFonts w:hint="eastAsia" w:ascii="Times New Roman" w:hAnsi="Times New Roman"/>
          <w:kern w:val="0"/>
          <w:sz w:val="24"/>
          <w:szCs w:val="24"/>
          <w:highlight w:val="none"/>
        </w:rPr>
        <w:t>级企业数量的</w:t>
      </w:r>
      <w:r>
        <w:rPr>
          <w:rFonts w:ascii="Times New Roman" w:hAnsi="Times New Roman"/>
          <w:kern w:val="0"/>
          <w:sz w:val="24"/>
          <w:szCs w:val="24"/>
          <w:highlight w:val="none"/>
        </w:rPr>
        <w:t>15%</w:t>
      </w:r>
      <w:r>
        <w:rPr>
          <w:rFonts w:hint="eastAsia" w:ascii="Times New Roman" w:hAnsi="Times New Roman"/>
          <w:kern w:val="0"/>
          <w:sz w:val="24"/>
          <w:szCs w:val="24"/>
          <w:highlight w:val="none"/>
        </w:rPr>
        <w:t>且不超过</w:t>
      </w:r>
      <w:r>
        <w:rPr>
          <w:rFonts w:ascii="Times New Roman" w:hAnsi="Times New Roman"/>
          <w:kern w:val="0"/>
          <w:sz w:val="24"/>
          <w:szCs w:val="24"/>
          <w:highlight w:val="none"/>
        </w:rPr>
        <w:t>9</w:t>
      </w:r>
      <w:r>
        <w:rPr>
          <w:rFonts w:hint="eastAsia" w:ascii="Times New Roman" w:hAnsi="Times New Roman"/>
          <w:kern w:val="0"/>
          <w:sz w:val="24"/>
          <w:szCs w:val="24"/>
          <w:highlight w:val="none"/>
        </w:rPr>
        <w:t>家）</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在信用等级</w:t>
      </w:r>
      <w:r>
        <w:rPr>
          <w:rFonts w:ascii="Times New Roman" w:hAnsi="Times New Roman"/>
          <w:kern w:val="0"/>
          <w:sz w:val="24"/>
          <w:szCs w:val="24"/>
          <w:highlight w:val="none"/>
        </w:rPr>
        <w:t xml:space="preserve">A </w:t>
      </w:r>
      <w:r>
        <w:rPr>
          <w:rFonts w:hint="eastAsia" w:ascii="Times New Roman" w:hAnsi="Times New Roman"/>
          <w:kern w:val="0"/>
          <w:sz w:val="24"/>
          <w:szCs w:val="24"/>
          <w:highlight w:val="none"/>
        </w:rPr>
        <w:t>级的企业中随机选择</w:t>
      </w:r>
      <w:r>
        <w:rPr>
          <w:rFonts w:ascii="Times New Roman" w:hAnsi="Times New Roman"/>
          <w:kern w:val="0"/>
          <w:sz w:val="24"/>
          <w:szCs w:val="24"/>
          <w:highlight w:val="none"/>
        </w:rPr>
        <w:t>a1</w:t>
      </w:r>
      <w:r>
        <w:rPr>
          <w:rFonts w:hint="eastAsia" w:ascii="Times New Roman" w:hAnsi="Times New Roman"/>
          <w:kern w:val="0"/>
          <w:sz w:val="24"/>
          <w:szCs w:val="24"/>
          <w:highlight w:val="none"/>
        </w:rPr>
        <w:t>家投标人为评审区间入围单位（</w:t>
      </w:r>
      <w:r>
        <w:rPr>
          <w:rFonts w:ascii="Times New Roman" w:hAnsi="Times New Roman"/>
          <w:kern w:val="0"/>
          <w:sz w:val="24"/>
          <w:szCs w:val="24"/>
          <w:highlight w:val="none"/>
        </w:rPr>
        <w:t>a1=3</w:t>
      </w:r>
      <w:r>
        <w:rPr>
          <w:rFonts w:hint="eastAsia" w:ascii="Times New Roman" w:hAnsi="Times New Roman"/>
          <w:kern w:val="0"/>
          <w:sz w:val="24"/>
          <w:szCs w:val="24"/>
          <w:highlight w:val="none"/>
          <w:lang w:val="en-US" w:eastAsia="zh-CN"/>
        </w:rPr>
        <w:t>5</w:t>
      </w:r>
      <w:r>
        <w:rPr>
          <w:rFonts w:ascii="Times New Roman" w:hAnsi="Times New Roman"/>
          <w:kern w:val="0"/>
          <w:sz w:val="24"/>
          <w:szCs w:val="24"/>
          <w:highlight w:val="none"/>
        </w:rPr>
        <w:t>-b1-c1</w:t>
      </w:r>
      <w:r>
        <w:rPr>
          <w:rFonts w:hint="eastAsia" w:ascii="Times New Roman" w:hAnsi="Times New Roman"/>
          <w:kern w:val="0"/>
          <w:sz w:val="24"/>
          <w:szCs w:val="24"/>
          <w:highlight w:val="none"/>
        </w:rPr>
        <w:t>）；如果</w:t>
      </w:r>
      <w:r>
        <w:rPr>
          <w:rFonts w:ascii="Times New Roman" w:hAnsi="Times New Roman"/>
          <w:kern w:val="0"/>
          <w:sz w:val="24"/>
          <w:szCs w:val="24"/>
          <w:highlight w:val="none"/>
        </w:rPr>
        <w:t>a1</w:t>
      </w:r>
      <w:r>
        <w:rPr>
          <w:rFonts w:hint="eastAsia" w:ascii="Times New Roman" w:hAnsi="Times New Roman"/>
          <w:kern w:val="0"/>
          <w:sz w:val="24"/>
          <w:szCs w:val="24"/>
          <w:highlight w:val="none"/>
        </w:rPr>
        <w:t>大于全部参与评审的投标人中信用等级</w:t>
      </w:r>
      <w:r>
        <w:rPr>
          <w:rFonts w:ascii="Times New Roman" w:hAnsi="Times New Roman"/>
          <w:kern w:val="0"/>
          <w:sz w:val="24"/>
          <w:szCs w:val="24"/>
          <w:highlight w:val="none"/>
        </w:rPr>
        <w:t>A</w:t>
      </w:r>
      <w:r>
        <w:rPr>
          <w:rFonts w:hint="eastAsia" w:ascii="Times New Roman" w:hAnsi="Times New Roman"/>
          <w:kern w:val="0"/>
          <w:sz w:val="24"/>
          <w:szCs w:val="24"/>
          <w:highlight w:val="none"/>
        </w:rPr>
        <w:t>级企业的数量，则信用等级</w:t>
      </w:r>
      <w:r>
        <w:rPr>
          <w:rFonts w:ascii="Times New Roman" w:hAnsi="Times New Roman"/>
          <w:kern w:val="0"/>
          <w:sz w:val="24"/>
          <w:szCs w:val="24"/>
          <w:highlight w:val="none"/>
        </w:rPr>
        <w:t>A</w:t>
      </w:r>
      <w:r>
        <w:rPr>
          <w:rFonts w:hint="eastAsia" w:ascii="Times New Roman" w:hAnsi="Times New Roman"/>
          <w:kern w:val="0"/>
          <w:sz w:val="24"/>
          <w:szCs w:val="24"/>
          <w:highlight w:val="none"/>
        </w:rPr>
        <w:t>级的企业全部入围，剩余入围名额不再补抽。</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在评审区间入围家数计算过程中，非整数时，四舍五入。</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未进入评审区间的投标人的投标文件不再参与后续评审。</w:t>
      </w:r>
    </w:p>
    <w:p>
      <w:pPr>
        <w:snapToGrid w:val="0"/>
        <w:spacing w:line="360" w:lineRule="auto"/>
        <w:ind w:firstLine="482" w:firstLineChars="200"/>
        <w:outlineLvl w:val="2"/>
        <w:rPr>
          <w:rFonts w:ascii="Times New Roman" w:hAnsi="Times New Roman"/>
          <w:b/>
          <w:sz w:val="24"/>
          <w:szCs w:val="24"/>
          <w:highlight w:val="none"/>
        </w:rPr>
      </w:pPr>
      <w:r>
        <w:rPr>
          <w:rFonts w:hint="eastAsia" w:ascii="Times New Roman" w:hAnsi="Times New Roman"/>
          <w:b/>
          <w:sz w:val="24"/>
          <w:szCs w:val="24"/>
          <w:highlight w:val="none"/>
        </w:rPr>
        <w:t>四、商务标第一部分评审</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评标委员会商务专家组对进入评审区间的投标人的商务标第一部分进行审查，投标人存在投标须知前附表</w:t>
      </w:r>
      <w:r>
        <w:rPr>
          <w:rFonts w:ascii="Times New Roman" w:hAnsi="Times New Roman"/>
          <w:kern w:val="0"/>
          <w:sz w:val="24"/>
          <w:szCs w:val="24"/>
          <w:highlight w:val="none"/>
        </w:rPr>
        <w:t>10.5</w:t>
      </w:r>
      <w:r>
        <w:rPr>
          <w:rFonts w:hint="eastAsia" w:ascii="Times New Roman" w:hAnsi="Times New Roman"/>
          <w:kern w:val="0"/>
          <w:sz w:val="24"/>
          <w:szCs w:val="24"/>
          <w:highlight w:val="none"/>
        </w:rPr>
        <w:t>情形</w:t>
      </w:r>
      <w:r>
        <w:rPr>
          <w:rFonts w:ascii="Times New Roman" w:hAnsi="Times New Roman"/>
          <w:kern w:val="0"/>
          <w:sz w:val="24"/>
          <w:szCs w:val="24"/>
          <w:highlight w:val="none"/>
        </w:rPr>
        <w:t>(</w:t>
      </w:r>
      <w:r>
        <w:rPr>
          <w:rFonts w:hint="eastAsia" w:ascii="Times New Roman" w:hAnsi="Times New Roman"/>
          <w:kern w:val="0"/>
          <w:sz w:val="24"/>
          <w:szCs w:val="24"/>
          <w:highlight w:val="none"/>
        </w:rPr>
        <w:t>商务标第一部分评审内容）的，评标委员会组织投标人询问核实后，情况属实的，商务标第一部分审查不予通过，否决其投标。</w:t>
      </w:r>
    </w:p>
    <w:p>
      <w:pPr>
        <w:snapToGrid w:val="0"/>
        <w:spacing w:line="360" w:lineRule="auto"/>
        <w:ind w:firstLine="482" w:firstLineChars="200"/>
        <w:outlineLvl w:val="2"/>
        <w:rPr>
          <w:rFonts w:hint="eastAsia" w:ascii="Times New Roman" w:hAnsi="Times New Roman" w:eastAsia="宋体"/>
          <w:b/>
          <w:sz w:val="24"/>
          <w:szCs w:val="24"/>
          <w:highlight w:val="none"/>
          <w:lang w:eastAsia="zh-CN"/>
        </w:rPr>
      </w:pPr>
      <w:r>
        <w:rPr>
          <w:rFonts w:hint="eastAsia" w:ascii="Times New Roman" w:hAnsi="Times New Roman"/>
          <w:b/>
          <w:sz w:val="24"/>
          <w:szCs w:val="24"/>
          <w:highlight w:val="none"/>
        </w:rPr>
        <w:t>五、商务标第二部分评审</w:t>
      </w:r>
      <w:r>
        <w:rPr>
          <w:rFonts w:hint="eastAsia" w:ascii="Times New Roman" w:hAnsi="Times New Roman"/>
          <w:b/>
          <w:color w:val="0000FF"/>
          <w:sz w:val="24"/>
          <w:szCs w:val="24"/>
          <w:highlight w:val="none"/>
          <w:lang w:eastAsia="zh-CN"/>
        </w:rPr>
        <w:t>（</w:t>
      </w:r>
      <w:r>
        <w:rPr>
          <w:rFonts w:hint="eastAsia" w:ascii="Times New Roman" w:hAnsi="Times New Roman"/>
          <w:b/>
          <w:color w:val="0000FF"/>
          <w:sz w:val="24"/>
          <w:szCs w:val="24"/>
          <w:highlight w:val="none"/>
          <w:u w:val="single"/>
          <w:lang w:val="en-US" w:eastAsia="zh-CN"/>
        </w:rPr>
        <w:t xml:space="preserve">    </w:t>
      </w:r>
      <w:r>
        <w:rPr>
          <w:rFonts w:hint="eastAsia" w:ascii="Times New Roman" w:hAnsi="Times New Roman"/>
          <w:b/>
          <w:color w:val="0000FF"/>
          <w:sz w:val="24"/>
          <w:szCs w:val="24"/>
          <w:highlight w:val="none"/>
          <w:lang w:eastAsia="zh-CN"/>
        </w:rPr>
        <w:t>分）</w:t>
      </w:r>
    </w:p>
    <w:p>
      <w:pPr>
        <w:widowControl/>
        <w:tabs>
          <w:tab w:val="left" w:pos="9360"/>
        </w:tabs>
        <w:spacing w:line="360" w:lineRule="auto"/>
        <w:ind w:firstLine="480" w:firstLineChars="200"/>
        <w:rPr>
          <w:rFonts w:ascii="Times New Roman" w:hAnsi="Times New Roman"/>
          <w:kern w:val="0"/>
          <w:sz w:val="24"/>
          <w:szCs w:val="24"/>
          <w:highlight w:val="none"/>
        </w:rPr>
      </w:pPr>
      <w:r>
        <w:rPr>
          <w:rFonts w:ascii="Times New Roman" w:hAnsi="Times New Roman"/>
          <w:kern w:val="0"/>
          <w:sz w:val="24"/>
          <w:szCs w:val="24"/>
          <w:highlight w:val="none"/>
        </w:rPr>
        <w:t>1</w:t>
      </w:r>
      <w:r>
        <w:rPr>
          <w:rFonts w:hint="eastAsia" w:ascii="Times New Roman" w:hAnsi="Times New Roman"/>
          <w:kern w:val="0"/>
          <w:sz w:val="24"/>
          <w:szCs w:val="24"/>
          <w:highlight w:val="none"/>
        </w:rPr>
        <w:t>、商务标第二部分实行暗标评审，综合单价评审结束前，只有在</w:t>
      </w:r>
      <w:r>
        <w:rPr>
          <w:rFonts w:hint="eastAsia" w:ascii="Times New Roman" w:hAnsi="Times New Roman"/>
          <w:b/>
          <w:bCs/>
          <w:kern w:val="0"/>
          <w:sz w:val="24"/>
          <w:szCs w:val="24"/>
          <w:highlight w:val="none"/>
        </w:rPr>
        <w:t>评标委员会商务专家组</w:t>
      </w:r>
      <w:r>
        <w:rPr>
          <w:rFonts w:hint="eastAsia" w:ascii="Times New Roman" w:hAnsi="Times New Roman"/>
          <w:kern w:val="0"/>
          <w:sz w:val="24"/>
          <w:szCs w:val="24"/>
          <w:highlight w:val="none"/>
        </w:rPr>
        <w:t>确定需要询标时才能通过系统确认需要询标的投标人，其余未被列入询标的投标人名称评审过程中只体现该投标人的编号，投标人名称在其综合单价评审得分计算完成后由系统统一显示。</w:t>
      </w:r>
      <w:r>
        <w:rPr>
          <w:rFonts w:hint="eastAsia" w:ascii="Times New Roman" w:hAnsi="Times New Roman"/>
          <w:b/>
          <w:bCs/>
          <w:kern w:val="0"/>
          <w:sz w:val="24"/>
          <w:szCs w:val="24"/>
          <w:highlight w:val="none"/>
        </w:rPr>
        <w:t>评标委员会商务专家组</w:t>
      </w:r>
      <w:r>
        <w:rPr>
          <w:rFonts w:hint="eastAsia" w:ascii="Times New Roman" w:hAnsi="Times New Roman"/>
          <w:kern w:val="0"/>
          <w:sz w:val="24"/>
          <w:szCs w:val="24"/>
          <w:highlight w:val="none"/>
        </w:rPr>
        <w:t>首先对进入商务标第二部分评审的投标文件进行初步评审，存在投标须知前附表</w:t>
      </w:r>
      <w:r>
        <w:rPr>
          <w:rFonts w:ascii="Times New Roman" w:hAnsi="Times New Roman"/>
          <w:kern w:val="0"/>
          <w:sz w:val="24"/>
          <w:szCs w:val="24"/>
          <w:highlight w:val="none"/>
        </w:rPr>
        <w:t>10.5</w:t>
      </w:r>
      <w:r>
        <w:rPr>
          <w:rFonts w:hint="eastAsia" w:ascii="Times New Roman" w:hAnsi="Times New Roman"/>
          <w:kern w:val="0"/>
          <w:sz w:val="24"/>
          <w:szCs w:val="24"/>
          <w:highlight w:val="none"/>
        </w:rPr>
        <w:t>情形</w:t>
      </w:r>
      <w:r>
        <w:rPr>
          <w:rFonts w:ascii="Times New Roman" w:hAnsi="Times New Roman"/>
          <w:kern w:val="0"/>
          <w:sz w:val="24"/>
          <w:szCs w:val="24"/>
          <w:highlight w:val="none"/>
        </w:rPr>
        <w:t>(</w:t>
      </w:r>
      <w:r>
        <w:rPr>
          <w:rFonts w:hint="eastAsia" w:ascii="Times New Roman" w:hAnsi="Times New Roman"/>
          <w:kern w:val="0"/>
          <w:sz w:val="24"/>
          <w:szCs w:val="24"/>
          <w:highlight w:val="none"/>
        </w:rPr>
        <w:t>商务标第二部分评审内容）的，评标委员会组织投标人询问核实后，情况属实的，商务标第二部分评审不予通过，否决其投标。</w:t>
      </w:r>
    </w:p>
    <w:p>
      <w:pPr>
        <w:widowControl/>
        <w:tabs>
          <w:tab w:val="left" w:pos="9360"/>
        </w:tabs>
        <w:spacing w:line="360" w:lineRule="auto"/>
        <w:ind w:firstLine="480" w:firstLineChars="200"/>
        <w:rPr>
          <w:rFonts w:ascii="Times New Roman" w:hAnsi="Times New Roman"/>
          <w:kern w:val="0"/>
          <w:sz w:val="24"/>
          <w:szCs w:val="24"/>
          <w:highlight w:val="none"/>
        </w:rPr>
      </w:pPr>
      <w:r>
        <w:rPr>
          <w:rFonts w:ascii="Times New Roman" w:hAnsi="Times New Roman"/>
          <w:kern w:val="0"/>
          <w:sz w:val="24"/>
          <w:szCs w:val="24"/>
          <w:highlight w:val="none"/>
        </w:rPr>
        <w:t>2</w:t>
      </w:r>
      <w:r>
        <w:rPr>
          <w:rFonts w:hint="eastAsia" w:ascii="Times New Roman" w:hAnsi="Times New Roman"/>
          <w:kern w:val="0"/>
          <w:sz w:val="24"/>
          <w:szCs w:val="24"/>
          <w:highlight w:val="none"/>
        </w:rPr>
        <w:t>、确定各投标人的最终投标报价：</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投标报价评审应在各投标人投标报价内容和口径一致的基础上进行。因招标文件叙述不清楚引起各投标人投标报价内容和口径不一致时，应按有关规定统一调整投标报价的内容和口径后计算出各投标人的投标报价，但因投标人失误造成的报价差错、遗漏，不属于调整范围。评标专家组将对确定为实质上响应招标文件要求的投标文件进行校核，看其是否有计算上、累计上或表达上的错误，修正错误的原则如下：</w:t>
      </w:r>
    </w:p>
    <w:p>
      <w:pPr>
        <w:widowControl/>
        <w:tabs>
          <w:tab w:val="left" w:pos="9360"/>
        </w:tabs>
        <w:spacing w:line="360" w:lineRule="auto"/>
        <w:ind w:firstLine="480" w:firstLineChars="200"/>
        <w:rPr>
          <w:rFonts w:ascii="Times New Roman" w:hAnsi="Times New Roman"/>
          <w:kern w:val="0"/>
          <w:sz w:val="24"/>
          <w:szCs w:val="24"/>
          <w:highlight w:val="none"/>
        </w:rPr>
      </w:pPr>
      <w:r>
        <w:rPr>
          <w:rFonts w:ascii="Times New Roman" w:hAnsi="Times New Roman"/>
          <w:kern w:val="0"/>
          <w:sz w:val="24"/>
          <w:szCs w:val="24"/>
          <w:highlight w:val="none"/>
        </w:rPr>
        <w:t>2.1</w:t>
      </w:r>
      <w:r>
        <w:rPr>
          <w:rFonts w:hint="eastAsia" w:ascii="Times New Roman" w:hAnsi="Times New Roman"/>
          <w:kern w:val="0"/>
          <w:sz w:val="24"/>
          <w:szCs w:val="24"/>
          <w:highlight w:val="none"/>
        </w:rPr>
        <w:t>用数字表示的金额和用文字表示的金额不一致时，应以文字表示的金额为准；</w:t>
      </w:r>
    </w:p>
    <w:p>
      <w:pPr>
        <w:widowControl/>
        <w:tabs>
          <w:tab w:val="left" w:pos="9360"/>
        </w:tabs>
        <w:spacing w:line="360" w:lineRule="auto"/>
        <w:ind w:firstLine="480" w:firstLineChars="200"/>
        <w:rPr>
          <w:rFonts w:ascii="Times New Roman" w:hAnsi="Times New Roman"/>
          <w:kern w:val="0"/>
          <w:sz w:val="24"/>
          <w:szCs w:val="24"/>
          <w:highlight w:val="none"/>
        </w:rPr>
      </w:pPr>
      <w:r>
        <w:rPr>
          <w:rFonts w:ascii="Times New Roman" w:hAnsi="Times New Roman"/>
          <w:kern w:val="0"/>
          <w:sz w:val="24"/>
          <w:szCs w:val="24"/>
          <w:highlight w:val="none"/>
        </w:rPr>
        <w:t>2.2</w:t>
      </w:r>
      <w:r>
        <w:rPr>
          <w:rFonts w:hint="eastAsia" w:ascii="Times New Roman" w:hAnsi="Times New Roman"/>
          <w:kern w:val="0"/>
          <w:sz w:val="24"/>
          <w:szCs w:val="24"/>
          <w:highlight w:val="none"/>
        </w:rPr>
        <w:t>当单价与数量的乘积与合价不一致时，以单价为准进行价格调整，除非评标专家组认为单价有明显的小数点错误，此时应以标明的合价为准，并修改单价；</w:t>
      </w:r>
    </w:p>
    <w:p>
      <w:pPr>
        <w:widowControl/>
        <w:tabs>
          <w:tab w:val="left" w:pos="9360"/>
        </w:tabs>
        <w:spacing w:line="360" w:lineRule="auto"/>
        <w:ind w:firstLine="480" w:firstLineChars="200"/>
        <w:rPr>
          <w:rFonts w:ascii="Times New Roman" w:hAnsi="Times New Roman"/>
          <w:kern w:val="0"/>
          <w:sz w:val="24"/>
          <w:szCs w:val="24"/>
          <w:highlight w:val="none"/>
        </w:rPr>
      </w:pPr>
      <w:r>
        <w:rPr>
          <w:rFonts w:ascii="Times New Roman" w:hAnsi="Times New Roman"/>
          <w:kern w:val="0"/>
          <w:sz w:val="24"/>
          <w:szCs w:val="24"/>
          <w:highlight w:val="none"/>
        </w:rPr>
        <w:t>2.3</w:t>
      </w:r>
      <w:r>
        <w:rPr>
          <w:rFonts w:hint="eastAsia" w:ascii="Times New Roman" w:hAnsi="Times New Roman"/>
          <w:kern w:val="0"/>
          <w:sz w:val="24"/>
          <w:szCs w:val="24"/>
          <w:highlight w:val="none"/>
        </w:rPr>
        <w:t>单价漏报，但有单项合价的，按单项合价除以招标文件工程量清单相应栏目的数量所得的商，作为该项的单价；</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按上述修正错误的原则及方法调整或修正投标文件的投标报价，该投标报价作为投标人的最终投标报价（投标总报价调整值小于</w:t>
      </w:r>
      <w:r>
        <w:rPr>
          <w:rFonts w:ascii="Times New Roman" w:hAnsi="Times New Roman"/>
          <w:kern w:val="0"/>
          <w:sz w:val="24"/>
          <w:szCs w:val="24"/>
          <w:highlight w:val="none"/>
        </w:rPr>
        <w:t>100</w:t>
      </w:r>
      <w:r>
        <w:rPr>
          <w:rFonts w:hint="eastAsia" w:ascii="Times New Roman" w:hAnsi="Times New Roman"/>
          <w:kern w:val="0"/>
          <w:sz w:val="24"/>
          <w:szCs w:val="24"/>
          <w:highlight w:val="none"/>
        </w:rPr>
        <w:t>元的，不作调整）。</w:t>
      </w:r>
    </w:p>
    <w:p>
      <w:pPr>
        <w:widowControl/>
        <w:tabs>
          <w:tab w:val="left" w:pos="9360"/>
        </w:tabs>
        <w:spacing w:line="360" w:lineRule="auto"/>
        <w:ind w:firstLine="480" w:firstLineChars="200"/>
        <w:rPr>
          <w:rFonts w:ascii="Times New Roman" w:hAnsi="Times New Roman"/>
          <w:kern w:val="0"/>
          <w:sz w:val="24"/>
          <w:szCs w:val="24"/>
          <w:highlight w:val="none"/>
        </w:rPr>
      </w:pPr>
      <w:r>
        <w:rPr>
          <w:rFonts w:ascii="Times New Roman" w:hAnsi="Times New Roman"/>
          <w:kern w:val="0"/>
          <w:sz w:val="24"/>
          <w:szCs w:val="24"/>
          <w:highlight w:val="none"/>
        </w:rPr>
        <w:t>3</w:t>
      </w:r>
      <w:r>
        <w:rPr>
          <w:rFonts w:hint="eastAsia" w:ascii="Times New Roman" w:hAnsi="Times New Roman"/>
          <w:kern w:val="0"/>
          <w:sz w:val="24"/>
          <w:szCs w:val="24"/>
          <w:highlight w:val="none"/>
        </w:rPr>
        <w:t>、</w:t>
      </w:r>
      <w:r>
        <w:rPr>
          <w:rFonts w:hint="eastAsia" w:ascii="Times New Roman" w:hAnsi="Times New Roman"/>
          <w:kern w:val="0"/>
          <w:sz w:val="24"/>
          <w:szCs w:val="24"/>
          <w:highlight w:val="none"/>
          <w:lang w:val="zh-CN"/>
        </w:rPr>
        <w:t>工程量清单综合单价评审</w:t>
      </w:r>
      <w:r>
        <w:rPr>
          <w:rFonts w:hint="eastAsia" w:ascii="Times New Roman" w:hAnsi="Times New Roman"/>
          <w:kern w:val="0"/>
          <w:sz w:val="24"/>
          <w:szCs w:val="24"/>
          <w:highlight w:val="none"/>
        </w:rPr>
        <w:t>（满分</w:t>
      </w:r>
      <w:r>
        <w:rPr>
          <w:rFonts w:ascii="Times New Roman" w:hAnsi="Times New Roman"/>
          <w:kern w:val="0"/>
          <w:sz w:val="24"/>
          <w:szCs w:val="24"/>
          <w:highlight w:val="none"/>
        </w:rPr>
        <w:t>5</w:t>
      </w:r>
      <w:r>
        <w:rPr>
          <w:rFonts w:hint="eastAsia" w:ascii="Times New Roman" w:hAnsi="Times New Roman"/>
          <w:kern w:val="0"/>
          <w:sz w:val="24"/>
          <w:szCs w:val="24"/>
          <w:highlight w:val="none"/>
        </w:rPr>
        <w:t>分）</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评标专家组对通过以上评审的投标文件进行详细评审，在评审过程中，评标专家应在去除上述评审已确定不列入评审范围的投标报价后再计算投标平均价。各投标人的工程量清单综合评价分公布后，无论任何原因引起有效投标人个数发生变化时，所计算的各项投标平均价也不再进行调整。</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评标专家组在确定各投标人最终投标报价的同时，应对投标人的</w:t>
      </w:r>
      <w:r>
        <w:rPr>
          <w:rFonts w:hint="eastAsia" w:ascii="Times New Roman" w:hAnsi="Times New Roman"/>
          <w:kern w:val="0"/>
          <w:sz w:val="24"/>
          <w:szCs w:val="24"/>
          <w:highlight w:val="none"/>
          <w:lang w:val="zh-CN"/>
        </w:rPr>
        <w:t>工程量清单综合单价</w:t>
      </w:r>
      <w:r>
        <w:rPr>
          <w:rFonts w:hint="eastAsia" w:ascii="Times New Roman" w:hAnsi="Times New Roman"/>
          <w:kern w:val="0"/>
          <w:sz w:val="24"/>
          <w:szCs w:val="24"/>
          <w:highlight w:val="none"/>
        </w:rPr>
        <w:t>进行评审</w:t>
      </w:r>
      <w:r>
        <w:rPr>
          <w:rFonts w:ascii="Times New Roman" w:hAnsi="Times New Roman"/>
          <w:kern w:val="0"/>
          <w:sz w:val="24"/>
          <w:szCs w:val="24"/>
          <w:highlight w:val="none"/>
        </w:rPr>
        <w:t>,</w:t>
      </w:r>
      <w:r>
        <w:rPr>
          <w:rFonts w:hint="eastAsia" w:ascii="Times New Roman" w:hAnsi="Times New Roman"/>
          <w:kern w:val="0"/>
          <w:sz w:val="24"/>
          <w:szCs w:val="24"/>
          <w:highlight w:val="none"/>
          <w:lang w:val="zh-CN"/>
        </w:rPr>
        <w:t>工程量清单综合单价</w:t>
      </w:r>
      <w:r>
        <w:rPr>
          <w:rFonts w:hint="eastAsia" w:ascii="Times New Roman" w:hAnsi="Times New Roman"/>
          <w:kern w:val="0"/>
          <w:sz w:val="24"/>
          <w:szCs w:val="24"/>
          <w:highlight w:val="none"/>
        </w:rPr>
        <w:t>评审的原则和方法如下：</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按工程量清单项目（含措施项目）总数的</w:t>
      </w:r>
      <w:bookmarkStart w:id="24" w:name="EB76cf525eb2544e39a66a847fce5fcd14"/>
      <w:bookmarkEnd w:id="24"/>
      <w:r>
        <w:rPr>
          <w:rFonts w:ascii="Times New Roman" w:hAnsi="Times New Roman"/>
          <w:kern w:val="0"/>
          <w:sz w:val="24"/>
          <w:szCs w:val="24"/>
          <w:highlight w:val="none"/>
        </w:rPr>
        <w:t>%</w:t>
      </w:r>
      <w:r>
        <w:rPr>
          <w:rFonts w:hint="eastAsia" w:ascii="Times New Roman" w:hAnsi="Times New Roman"/>
          <w:kern w:val="0"/>
          <w:sz w:val="24"/>
          <w:szCs w:val="24"/>
          <w:highlight w:val="none"/>
        </w:rPr>
        <w:t>随机选择评审项目（抽取比例不建议为</w:t>
      </w:r>
      <w:r>
        <w:rPr>
          <w:rFonts w:ascii="Times New Roman" w:hAnsi="Times New Roman"/>
          <w:kern w:val="0"/>
          <w:sz w:val="24"/>
          <w:szCs w:val="24"/>
          <w:highlight w:val="none"/>
        </w:rPr>
        <w:t>100%</w:t>
      </w:r>
      <w:r>
        <w:rPr>
          <w:rFonts w:hint="eastAsia" w:ascii="Times New Roman" w:hAnsi="Times New Roman"/>
          <w:kern w:val="0"/>
          <w:sz w:val="24"/>
          <w:szCs w:val="24"/>
          <w:highlight w:val="none"/>
        </w:rPr>
        <w:t>）。</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对投标人列入评审项目的工程量的报价（指每一项目的综合单价与工程量的乘积）进行评审：（</w:t>
      </w:r>
      <w:r>
        <w:rPr>
          <w:rFonts w:ascii="Times New Roman" w:hAnsi="Times New Roman"/>
          <w:kern w:val="0"/>
          <w:sz w:val="24"/>
          <w:szCs w:val="24"/>
          <w:highlight w:val="none"/>
        </w:rPr>
        <w:t>1</w:t>
      </w:r>
      <w:r>
        <w:rPr>
          <w:rFonts w:hint="eastAsia" w:ascii="Times New Roman" w:hAnsi="Times New Roman"/>
          <w:kern w:val="0"/>
          <w:sz w:val="24"/>
          <w:szCs w:val="24"/>
          <w:highlight w:val="none"/>
        </w:rPr>
        <w:t>）在每一评审项目中，如投标人该项目报价与招标控制价离差大于或等于</w:t>
      </w:r>
      <w:r>
        <w:rPr>
          <w:rFonts w:ascii="Times New Roman" w:hAnsi="Times New Roman"/>
          <w:kern w:val="0"/>
          <w:sz w:val="24"/>
          <w:szCs w:val="24"/>
          <w:highlight w:val="none"/>
        </w:rPr>
        <w:t>20%</w:t>
      </w:r>
      <w:r>
        <w:rPr>
          <w:rFonts w:hint="eastAsia" w:ascii="Times New Roman" w:hAnsi="Times New Roman"/>
          <w:kern w:val="0"/>
          <w:sz w:val="24"/>
          <w:szCs w:val="24"/>
          <w:highlight w:val="none"/>
        </w:rPr>
        <w:t>时，该投标人的报价不参与该项目评审基准价的计算（如某项目所有投标人均不满足参与评审基准价计算要求时，该项目不再评审）；（</w:t>
      </w:r>
      <w:r>
        <w:rPr>
          <w:rFonts w:ascii="Times New Roman" w:hAnsi="Times New Roman"/>
          <w:kern w:val="0"/>
          <w:sz w:val="24"/>
          <w:szCs w:val="24"/>
          <w:highlight w:val="none"/>
        </w:rPr>
        <w:t>2</w:t>
      </w:r>
      <w:r>
        <w:rPr>
          <w:rFonts w:hint="eastAsia" w:ascii="Times New Roman" w:hAnsi="Times New Roman"/>
          <w:kern w:val="0"/>
          <w:sz w:val="24"/>
          <w:szCs w:val="24"/>
          <w:highlight w:val="none"/>
        </w:rPr>
        <w:t>）以所有参与评审基准价计算的投标人报价的平均价为该项目评审基准价（评审基准价低于</w:t>
      </w:r>
      <w:r>
        <w:rPr>
          <w:rFonts w:ascii="Times New Roman" w:hAnsi="Times New Roman"/>
          <w:kern w:val="0"/>
          <w:sz w:val="24"/>
          <w:szCs w:val="24"/>
          <w:highlight w:val="none"/>
        </w:rPr>
        <w:t>500</w:t>
      </w:r>
      <w:r>
        <w:rPr>
          <w:rFonts w:hint="eastAsia" w:ascii="Times New Roman" w:hAnsi="Times New Roman"/>
          <w:kern w:val="0"/>
          <w:sz w:val="24"/>
          <w:szCs w:val="24"/>
          <w:highlight w:val="none"/>
        </w:rPr>
        <w:t>元的项目不再进行评审）。</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投标人每个清单项目报价与相同编码项目的评审基准价相比，浮动率超过或等于</w:t>
      </w:r>
      <w:r>
        <w:rPr>
          <w:rFonts w:ascii="Times New Roman" w:hAnsi="Times New Roman"/>
          <w:kern w:val="0"/>
          <w:sz w:val="24"/>
          <w:szCs w:val="24"/>
          <w:highlight w:val="none"/>
        </w:rPr>
        <w:t>±10%</w:t>
      </w:r>
      <w:r>
        <w:rPr>
          <w:rFonts w:hint="eastAsia" w:ascii="Times New Roman" w:hAnsi="Times New Roman"/>
          <w:kern w:val="0"/>
          <w:sz w:val="24"/>
          <w:szCs w:val="24"/>
          <w:highlight w:val="none"/>
        </w:rPr>
        <w:t>时，每项扣</w:t>
      </w:r>
      <w:r>
        <w:rPr>
          <w:rFonts w:ascii="Times New Roman" w:hAnsi="Times New Roman"/>
          <w:kern w:val="0"/>
          <w:sz w:val="24"/>
          <w:szCs w:val="24"/>
          <w:highlight w:val="none"/>
        </w:rPr>
        <w:t>0.05</w:t>
      </w:r>
      <w:r>
        <w:rPr>
          <w:rFonts w:hint="eastAsia" w:ascii="Times New Roman" w:hAnsi="Times New Roman"/>
          <w:kern w:val="0"/>
          <w:sz w:val="24"/>
          <w:szCs w:val="24"/>
          <w:highlight w:val="none"/>
        </w:rPr>
        <w:t>分。</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按上述原则</w:t>
      </w:r>
      <w:r>
        <w:rPr>
          <w:rFonts w:ascii="Times New Roman" w:hAnsi="Times New Roman"/>
          <w:kern w:val="0"/>
          <w:sz w:val="24"/>
          <w:szCs w:val="24"/>
          <w:highlight w:val="none"/>
        </w:rPr>
        <w:t>,</w:t>
      </w:r>
      <w:r>
        <w:rPr>
          <w:rFonts w:hint="eastAsia" w:ascii="Times New Roman" w:hAnsi="Times New Roman"/>
          <w:kern w:val="0"/>
          <w:sz w:val="24"/>
          <w:szCs w:val="24"/>
          <w:highlight w:val="none"/>
        </w:rPr>
        <w:t>评标专家组对各家投标人的报价进行评审，并按以上规定进行扣分，最高扣分</w:t>
      </w:r>
      <w:r>
        <w:rPr>
          <w:rFonts w:ascii="Times New Roman" w:hAnsi="Times New Roman"/>
          <w:kern w:val="0"/>
          <w:sz w:val="24"/>
          <w:szCs w:val="24"/>
          <w:highlight w:val="none"/>
        </w:rPr>
        <w:t>5</w:t>
      </w:r>
      <w:r>
        <w:rPr>
          <w:rFonts w:hint="eastAsia" w:ascii="Times New Roman" w:hAnsi="Times New Roman"/>
          <w:kern w:val="0"/>
          <w:sz w:val="24"/>
          <w:szCs w:val="24"/>
          <w:highlight w:val="none"/>
        </w:rPr>
        <w:t>分，扣完为止。</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投标人的工程量清单综合单价评审得分</w:t>
      </w:r>
      <w:r>
        <w:rPr>
          <w:rFonts w:ascii="Times New Roman" w:hAnsi="Times New Roman"/>
          <w:kern w:val="0"/>
          <w:sz w:val="24"/>
          <w:szCs w:val="24"/>
          <w:highlight w:val="none"/>
        </w:rPr>
        <w:t>=5</w:t>
      </w:r>
      <w:r>
        <w:rPr>
          <w:rFonts w:hint="eastAsia" w:ascii="Times New Roman" w:hAnsi="Times New Roman"/>
          <w:kern w:val="0"/>
          <w:sz w:val="24"/>
          <w:szCs w:val="24"/>
          <w:highlight w:val="none"/>
        </w:rPr>
        <w:t>分</w:t>
      </w:r>
      <w:r>
        <w:rPr>
          <w:rFonts w:ascii="Times New Roman" w:hAnsi="Times New Roman"/>
          <w:kern w:val="0"/>
          <w:sz w:val="24"/>
          <w:szCs w:val="24"/>
          <w:highlight w:val="none"/>
        </w:rPr>
        <w:t>-</w:t>
      </w:r>
      <w:r>
        <w:rPr>
          <w:rFonts w:hint="eastAsia" w:ascii="Times New Roman" w:hAnsi="Times New Roman"/>
          <w:kern w:val="0"/>
          <w:sz w:val="24"/>
          <w:szCs w:val="24"/>
          <w:highlight w:val="none"/>
        </w:rPr>
        <w:t>上述扣分值</w:t>
      </w:r>
    </w:p>
    <w:p>
      <w:pPr>
        <w:widowControl/>
        <w:tabs>
          <w:tab w:val="left" w:pos="9360"/>
        </w:tabs>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hint="eastAsia" w:ascii="Times New Roman" w:hAnsi="Times New Roman"/>
          <w:color w:val="auto"/>
          <w:kern w:val="0"/>
          <w:sz w:val="24"/>
          <w:szCs w:val="24"/>
          <w:highlight w:val="none"/>
        </w:rPr>
        <w:t>、投标人投标报价分</w:t>
      </w:r>
      <w:r>
        <w:rPr>
          <w:rFonts w:hint="eastAsia" w:ascii="Times New Roman" w:hAnsi="Times New Roman"/>
          <w:b/>
          <w:bCs/>
          <w:color w:val="0000FF"/>
          <w:kern w:val="0"/>
          <w:sz w:val="24"/>
          <w:szCs w:val="24"/>
          <w:highlight w:val="none"/>
        </w:rPr>
        <w:t>（</w:t>
      </w:r>
      <w:r>
        <w:rPr>
          <w:rFonts w:hint="eastAsia" w:ascii="Times New Roman" w:hAnsi="Times New Roman"/>
          <w:b/>
          <w:bCs/>
          <w:color w:val="0000FF"/>
          <w:kern w:val="0"/>
          <w:sz w:val="24"/>
          <w:szCs w:val="24"/>
          <w:highlight w:val="none"/>
          <w:u w:val="single"/>
          <w:lang w:val="en-US" w:eastAsia="zh-CN"/>
        </w:rPr>
        <w:t xml:space="preserve">    </w:t>
      </w:r>
      <w:r>
        <w:rPr>
          <w:rFonts w:hint="eastAsia" w:ascii="Times New Roman" w:hAnsi="Times New Roman"/>
          <w:b/>
          <w:bCs/>
          <w:color w:val="0000FF"/>
          <w:kern w:val="0"/>
          <w:sz w:val="24"/>
          <w:szCs w:val="24"/>
          <w:highlight w:val="none"/>
        </w:rPr>
        <w:t>分）</w:t>
      </w:r>
    </w:p>
    <w:p>
      <w:pPr>
        <w:widowControl/>
        <w:tabs>
          <w:tab w:val="left" w:pos="9360"/>
        </w:tabs>
        <w:spacing w:line="360" w:lineRule="auto"/>
        <w:ind w:firstLine="480" w:firstLineChars="200"/>
        <w:rPr>
          <w:rFonts w:ascii="Times New Roman" w:hAnsi="Times New Roman"/>
          <w:kern w:val="0"/>
          <w:sz w:val="24"/>
          <w:szCs w:val="24"/>
          <w:highlight w:val="none"/>
        </w:rPr>
      </w:pPr>
      <w:r>
        <w:rPr>
          <w:rFonts w:ascii="Times New Roman" w:hAnsi="Times New Roman"/>
          <w:kern w:val="0"/>
          <w:sz w:val="24"/>
          <w:szCs w:val="24"/>
          <w:highlight w:val="none"/>
        </w:rPr>
        <w:t xml:space="preserve">4.1 </w:t>
      </w:r>
      <w:r>
        <w:rPr>
          <w:rFonts w:hint="eastAsia" w:ascii="Times New Roman" w:hAnsi="Times New Roman"/>
          <w:kern w:val="0"/>
          <w:sz w:val="24"/>
          <w:szCs w:val="24"/>
          <w:highlight w:val="none"/>
        </w:rPr>
        <w:t>按上述第</w:t>
      </w:r>
      <w:r>
        <w:rPr>
          <w:rFonts w:ascii="Times New Roman" w:hAnsi="Times New Roman"/>
          <w:kern w:val="0"/>
          <w:sz w:val="24"/>
          <w:szCs w:val="24"/>
          <w:highlight w:val="none"/>
        </w:rPr>
        <w:t>2</w:t>
      </w:r>
      <w:r>
        <w:rPr>
          <w:rFonts w:hint="eastAsia" w:ascii="Times New Roman" w:hAnsi="Times New Roman"/>
          <w:kern w:val="0"/>
          <w:sz w:val="24"/>
          <w:szCs w:val="24"/>
          <w:highlight w:val="none"/>
        </w:rPr>
        <w:t>点修正错误的原则及方法调整或修正投标文件的投标报价，该投标报价作为投标人的最终投标报价，经投标人确认同意后，该投标报价对投标人起约束作用，如果投标人不接受该投标报价的，则其投标将被拒绝并且其投标担保也将被没收。</w:t>
      </w:r>
    </w:p>
    <w:p>
      <w:pPr>
        <w:widowControl/>
        <w:tabs>
          <w:tab w:val="left" w:pos="9360"/>
        </w:tabs>
        <w:spacing w:line="360" w:lineRule="auto"/>
        <w:ind w:firstLine="480" w:firstLineChars="200"/>
        <w:rPr>
          <w:rFonts w:ascii="Times New Roman" w:hAnsi="Times New Roman"/>
          <w:kern w:val="0"/>
          <w:sz w:val="24"/>
          <w:szCs w:val="24"/>
          <w:highlight w:val="none"/>
        </w:rPr>
      </w:pPr>
      <w:r>
        <w:rPr>
          <w:rFonts w:ascii="Times New Roman" w:hAnsi="Times New Roman"/>
          <w:kern w:val="0"/>
          <w:sz w:val="24"/>
          <w:szCs w:val="24"/>
          <w:highlight w:val="none"/>
        </w:rPr>
        <w:t>4.2</w:t>
      </w:r>
      <w:r>
        <w:rPr>
          <w:rFonts w:hint="eastAsia" w:ascii="Times New Roman" w:hAnsi="Times New Roman"/>
          <w:kern w:val="0"/>
          <w:sz w:val="24"/>
          <w:szCs w:val="24"/>
          <w:highlight w:val="none"/>
        </w:rPr>
        <w:t>计算评标基准价</w:t>
      </w:r>
    </w:p>
    <w:p>
      <w:pPr>
        <w:widowControl/>
        <w:tabs>
          <w:tab w:val="left" w:pos="9360"/>
        </w:tabs>
        <w:spacing w:line="360" w:lineRule="auto"/>
        <w:ind w:firstLine="480" w:firstLineChars="200"/>
        <w:rPr>
          <w:rFonts w:ascii="Times New Roman" w:hAnsi="Times New Roman"/>
          <w:kern w:val="0"/>
          <w:sz w:val="24"/>
          <w:szCs w:val="24"/>
          <w:highlight w:val="none"/>
        </w:rPr>
      </w:pPr>
      <w:r>
        <w:rPr>
          <w:rFonts w:ascii="Times New Roman" w:hAnsi="Times New Roman"/>
          <w:kern w:val="0"/>
          <w:sz w:val="24"/>
          <w:szCs w:val="24"/>
          <w:highlight w:val="none"/>
        </w:rPr>
        <w:t>4.2.1</w:t>
      </w:r>
      <w:r>
        <w:rPr>
          <w:rFonts w:hint="eastAsia" w:ascii="Times New Roman" w:hAnsi="Times New Roman"/>
          <w:kern w:val="0"/>
          <w:sz w:val="24"/>
          <w:szCs w:val="24"/>
          <w:highlight w:val="none"/>
        </w:rPr>
        <w:t>当参与基准价计算的投标人少于等于</w:t>
      </w:r>
      <w:r>
        <w:rPr>
          <w:rFonts w:ascii="Times New Roman" w:hAnsi="Times New Roman"/>
          <w:kern w:val="0"/>
          <w:sz w:val="24"/>
          <w:szCs w:val="24"/>
          <w:highlight w:val="none"/>
        </w:rPr>
        <w:t>3</w:t>
      </w:r>
      <w:r>
        <w:rPr>
          <w:rFonts w:hint="eastAsia" w:ascii="Times New Roman" w:hAnsi="Times New Roman"/>
          <w:kern w:val="0"/>
          <w:sz w:val="24"/>
          <w:szCs w:val="24"/>
          <w:highlight w:val="none"/>
        </w:rPr>
        <w:t>家时，参与评标基准价的计算的投标人的最低最终投标报价即为评标基准价。</w:t>
      </w:r>
    </w:p>
    <w:p>
      <w:pPr>
        <w:widowControl/>
        <w:tabs>
          <w:tab w:val="left" w:pos="9360"/>
        </w:tabs>
        <w:spacing w:line="360" w:lineRule="auto"/>
        <w:ind w:firstLine="480" w:firstLineChars="200"/>
        <w:rPr>
          <w:rFonts w:ascii="Times New Roman" w:hAnsi="Times New Roman"/>
          <w:kern w:val="0"/>
          <w:sz w:val="24"/>
          <w:szCs w:val="24"/>
          <w:highlight w:val="none"/>
        </w:rPr>
      </w:pPr>
      <w:r>
        <w:rPr>
          <w:rFonts w:ascii="Times New Roman" w:hAnsi="Times New Roman"/>
          <w:kern w:val="0"/>
          <w:sz w:val="24"/>
          <w:szCs w:val="24"/>
          <w:highlight w:val="none"/>
        </w:rPr>
        <w:t xml:space="preserve">4.2.2 </w:t>
      </w:r>
      <w:r>
        <w:rPr>
          <w:rFonts w:hint="eastAsia" w:ascii="Times New Roman" w:hAnsi="Times New Roman"/>
          <w:kern w:val="0"/>
          <w:sz w:val="24"/>
          <w:szCs w:val="24"/>
          <w:highlight w:val="none"/>
        </w:rPr>
        <w:t>当参与基准价计算的投标人多于</w:t>
      </w:r>
      <w:r>
        <w:rPr>
          <w:rFonts w:ascii="Times New Roman" w:hAnsi="Times New Roman"/>
          <w:kern w:val="0"/>
          <w:sz w:val="24"/>
          <w:szCs w:val="24"/>
          <w:highlight w:val="none"/>
        </w:rPr>
        <w:t>3</w:t>
      </w:r>
      <w:r>
        <w:rPr>
          <w:rFonts w:hint="eastAsia" w:ascii="Times New Roman" w:hAnsi="Times New Roman"/>
          <w:kern w:val="0"/>
          <w:sz w:val="24"/>
          <w:szCs w:val="24"/>
          <w:highlight w:val="none"/>
        </w:rPr>
        <w:t>家少于等于</w:t>
      </w:r>
      <w:r>
        <w:rPr>
          <w:rFonts w:ascii="Times New Roman" w:hAnsi="Times New Roman"/>
          <w:kern w:val="0"/>
          <w:sz w:val="24"/>
          <w:szCs w:val="24"/>
          <w:highlight w:val="none"/>
        </w:rPr>
        <w:t>5</w:t>
      </w:r>
      <w:r>
        <w:rPr>
          <w:rFonts w:hint="eastAsia" w:ascii="Times New Roman" w:hAnsi="Times New Roman"/>
          <w:kern w:val="0"/>
          <w:sz w:val="24"/>
          <w:szCs w:val="24"/>
          <w:highlight w:val="none"/>
        </w:rPr>
        <w:t>家时，在参与评标基准价计算的投标人中去掉一个最高报价后的算术平均值即为评标基准价。</w:t>
      </w:r>
    </w:p>
    <w:p>
      <w:pPr>
        <w:widowControl/>
        <w:tabs>
          <w:tab w:val="left" w:pos="9360"/>
        </w:tabs>
        <w:spacing w:line="360" w:lineRule="auto"/>
        <w:ind w:firstLine="480" w:firstLineChars="200"/>
        <w:rPr>
          <w:rFonts w:ascii="Times New Roman" w:hAnsi="Times New Roman"/>
          <w:kern w:val="0"/>
          <w:sz w:val="24"/>
          <w:szCs w:val="24"/>
          <w:highlight w:val="none"/>
        </w:rPr>
      </w:pPr>
      <w:r>
        <w:rPr>
          <w:rFonts w:ascii="Times New Roman" w:hAnsi="Times New Roman"/>
          <w:kern w:val="0"/>
          <w:sz w:val="24"/>
          <w:szCs w:val="24"/>
          <w:highlight w:val="none"/>
        </w:rPr>
        <w:t xml:space="preserve">4.2.3 </w:t>
      </w:r>
      <w:r>
        <w:rPr>
          <w:rFonts w:hint="eastAsia" w:ascii="Times New Roman" w:hAnsi="Times New Roman"/>
          <w:kern w:val="0"/>
          <w:sz w:val="24"/>
          <w:szCs w:val="24"/>
          <w:highlight w:val="none"/>
        </w:rPr>
        <w:t>当参与基准价计算的投标人多于</w:t>
      </w:r>
      <w:r>
        <w:rPr>
          <w:rFonts w:ascii="Times New Roman" w:hAnsi="Times New Roman"/>
          <w:kern w:val="0"/>
          <w:sz w:val="24"/>
          <w:szCs w:val="24"/>
          <w:highlight w:val="none"/>
        </w:rPr>
        <w:t>5</w:t>
      </w:r>
      <w:r>
        <w:rPr>
          <w:rFonts w:hint="eastAsia" w:ascii="Times New Roman" w:hAnsi="Times New Roman"/>
          <w:kern w:val="0"/>
          <w:sz w:val="24"/>
          <w:szCs w:val="24"/>
          <w:highlight w:val="none"/>
        </w:rPr>
        <w:t>家时，评标基准价按如下程序计算确定：</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本评标办法中，评标基准价的计算只进行一次性计算，除计算差错外，评标过程中评标基准价均保持不变。计算差错，仅限于以下两种情况：（</w:t>
      </w:r>
      <w:r>
        <w:rPr>
          <w:rFonts w:ascii="Times New Roman" w:hAnsi="Times New Roman"/>
          <w:kern w:val="0"/>
          <w:sz w:val="24"/>
          <w:szCs w:val="24"/>
          <w:highlight w:val="none"/>
        </w:rPr>
        <w:t>1</w:t>
      </w:r>
      <w:r>
        <w:rPr>
          <w:rFonts w:hint="eastAsia" w:ascii="Times New Roman" w:hAnsi="Times New Roman"/>
          <w:kern w:val="0"/>
          <w:sz w:val="24"/>
          <w:szCs w:val="24"/>
          <w:highlight w:val="none"/>
        </w:rPr>
        <w:t>）纯算术性四则运算差错；（</w:t>
      </w:r>
      <w:r>
        <w:rPr>
          <w:rFonts w:ascii="Times New Roman" w:hAnsi="Times New Roman"/>
          <w:kern w:val="0"/>
          <w:sz w:val="24"/>
          <w:szCs w:val="24"/>
          <w:highlight w:val="none"/>
        </w:rPr>
        <w:t>2</w:t>
      </w:r>
      <w:r>
        <w:rPr>
          <w:rFonts w:hint="eastAsia" w:ascii="Times New Roman" w:hAnsi="Times New Roman"/>
          <w:kern w:val="0"/>
          <w:sz w:val="24"/>
          <w:szCs w:val="24"/>
          <w:highlight w:val="none"/>
        </w:rPr>
        <w:t>）未按约定的计算方法，多计或者少计投标人报价的。由于评标差错，导致否决投标错误，重新评标纠正等其他情况，不属于计算差错。（</w:t>
      </w:r>
      <w:r>
        <w:rPr>
          <w:rFonts w:ascii="Times New Roman" w:hAnsi="Times New Roman"/>
          <w:kern w:val="0"/>
          <w:sz w:val="24"/>
          <w:szCs w:val="24"/>
          <w:highlight w:val="none"/>
        </w:rPr>
        <w:t>3</w:t>
      </w:r>
      <w:r>
        <w:rPr>
          <w:rFonts w:hint="eastAsia" w:ascii="Times New Roman" w:hAnsi="Times New Roman"/>
          <w:kern w:val="0"/>
          <w:sz w:val="24"/>
          <w:szCs w:val="24"/>
          <w:highlight w:val="none"/>
        </w:rPr>
        <w:t>）凡涉及报价金额计算的均以元为单位，保留二位小数，第三位四舍五入。</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由招标人代表从以下</w:t>
      </w:r>
      <w:r>
        <w:rPr>
          <w:rFonts w:ascii="Times New Roman" w:hAnsi="Times New Roman"/>
          <w:kern w:val="0"/>
          <w:sz w:val="24"/>
          <w:szCs w:val="24"/>
          <w:highlight w:val="none"/>
        </w:rPr>
        <w:t>Ⅰ</w:t>
      </w:r>
      <w:r>
        <w:rPr>
          <w:rFonts w:hint="eastAsia" w:ascii="Times New Roman" w:hAnsi="Times New Roman"/>
          <w:kern w:val="0"/>
          <w:sz w:val="24"/>
          <w:szCs w:val="24"/>
          <w:highlight w:val="none"/>
        </w:rPr>
        <w:t>，</w:t>
      </w:r>
      <w:r>
        <w:rPr>
          <w:rFonts w:ascii="Times New Roman" w:hAnsi="Times New Roman"/>
          <w:kern w:val="0"/>
          <w:sz w:val="24"/>
          <w:szCs w:val="24"/>
          <w:highlight w:val="none"/>
        </w:rPr>
        <w:t>Ⅱ</w:t>
      </w:r>
      <w:r>
        <w:rPr>
          <w:rFonts w:hint="eastAsia" w:ascii="Times New Roman" w:hAnsi="Times New Roman"/>
          <w:kern w:val="0"/>
          <w:sz w:val="24"/>
          <w:szCs w:val="24"/>
          <w:highlight w:val="none"/>
        </w:rPr>
        <w:t>，</w:t>
      </w:r>
      <w:r>
        <w:rPr>
          <w:rFonts w:ascii="Times New Roman" w:hAnsi="Times New Roman"/>
          <w:kern w:val="0"/>
          <w:sz w:val="24"/>
          <w:szCs w:val="24"/>
          <w:highlight w:val="none"/>
        </w:rPr>
        <w:t>Ⅲ</w:t>
      </w:r>
      <w:r>
        <w:rPr>
          <w:rFonts w:hint="eastAsia" w:ascii="Times New Roman" w:hAnsi="Times New Roman"/>
          <w:kern w:val="0"/>
          <w:sz w:val="24"/>
          <w:szCs w:val="24"/>
          <w:highlight w:val="none"/>
        </w:rPr>
        <w:t>基准价计算方案，随机抽取一种作为本项目的基准价计算办法。</w:t>
      </w:r>
    </w:p>
    <w:p>
      <w:pPr>
        <w:widowControl/>
        <w:tabs>
          <w:tab w:val="left" w:pos="9360"/>
        </w:tabs>
        <w:spacing w:line="360" w:lineRule="auto"/>
        <w:ind w:firstLine="480" w:firstLineChars="200"/>
        <w:rPr>
          <w:rFonts w:ascii="Times New Roman" w:hAnsi="Times New Roman"/>
          <w:kern w:val="0"/>
          <w:sz w:val="24"/>
          <w:szCs w:val="24"/>
          <w:highlight w:val="none"/>
        </w:rPr>
      </w:pPr>
      <w:r>
        <w:rPr>
          <w:rFonts w:ascii="Times New Roman" w:hAnsi="Times New Roman"/>
          <w:kern w:val="0"/>
          <w:sz w:val="24"/>
          <w:szCs w:val="24"/>
          <w:highlight w:val="none"/>
        </w:rPr>
        <w:t>Ⅰ</w:t>
      </w:r>
      <w:r>
        <w:rPr>
          <w:rFonts w:hint="eastAsia" w:ascii="Times New Roman" w:hAnsi="Times New Roman"/>
          <w:kern w:val="0"/>
          <w:sz w:val="24"/>
          <w:szCs w:val="24"/>
          <w:highlight w:val="none"/>
        </w:rPr>
        <w:t>基准价计算方案：</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评标基准价</w:t>
      </w:r>
      <w:r>
        <w:rPr>
          <w:rFonts w:ascii="Times New Roman" w:hAnsi="Times New Roman"/>
          <w:kern w:val="0"/>
          <w:sz w:val="24"/>
          <w:szCs w:val="24"/>
          <w:highlight w:val="none"/>
        </w:rPr>
        <w:t>:P=k*d</w:t>
      </w:r>
    </w:p>
    <w:p>
      <w:pPr>
        <w:widowControl/>
        <w:tabs>
          <w:tab w:val="left" w:pos="9360"/>
        </w:tabs>
        <w:spacing w:line="360" w:lineRule="auto"/>
        <w:ind w:firstLine="480" w:firstLineChars="200"/>
        <w:rPr>
          <w:rFonts w:ascii="Times New Roman" w:hAnsi="Times New Roman"/>
          <w:kern w:val="0"/>
          <w:sz w:val="24"/>
          <w:szCs w:val="24"/>
          <w:highlight w:val="none"/>
        </w:rPr>
      </w:pPr>
      <w:r>
        <w:rPr>
          <w:rFonts w:ascii="Times New Roman" w:hAnsi="Times New Roman"/>
          <w:kern w:val="0"/>
          <w:sz w:val="24"/>
          <w:szCs w:val="24"/>
          <w:highlight w:val="none"/>
        </w:rPr>
        <w:t>P:</w:t>
      </w:r>
      <w:r>
        <w:rPr>
          <w:rFonts w:hint="eastAsia" w:ascii="Times New Roman" w:hAnsi="Times New Roman"/>
          <w:kern w:val="0"/>
          <w:sz w:val="24"/>
          <w:szCs w:val="24"/>
          <w:highlight w:val="none"/>
        </w:rPr>
        <w:t>评标基准价；</w:t>
      </w:r>
    </w:p>
    <w:p>
      <w:pPr>
        <w:widowControl/>
        <w:tabs>
          <w:tab w:val="left" w:pos="9360"/>
        </w:tabs>
        <w:spacing w:line="360" w:lineRule="auto"/>
        <w:ind w:firstLine="480" w:firstLineChars="200"/>
        <w:rPr>
          <w:rFonts w:ascii="Times New Roman" w:hAnsi="Times New Roman"/>
          <w:kern w:val="0"/>
          <w:sz w:val="24"/>
          <w:szCs w:val="24"/>
          <w:highlight w:val="none"/>
        </w:rPr>
      </w:pPr>
      <w:r>
        <w:rPr>
          <w:rFonts w:ascii="Times New Roman" w:hAnsi="Times New Roman"/>
          <w:kern w:val="0"/>
          <w:sz w:val="24"/>
          <w:szCs w:val="24"/>
          <w:highlight w:val="none"/>
        </w:rPr>
        <w:t>d:</w:t>
      </w:r>
      <w:r>
        <w:rPr>
          <w:rFonts w:hint="eastAsia" w:ascii="Times New Roman" w:hAnsi="Times New Roman"/>
          <w:kern w:val="0"/>
          <w:sz w:val="24"/>
          <w:szCs w:val="24"/>
          <w:highlight w:val="none"/>
        </w:rPr>
        <w:t>在参与基准价计算的所有投标人投标报价的算术平均值。</w:t>
      </w:r>
    </w:p>
    <w:p>
      <w:pPr>
        <w:widowControl/>
        <w:tabs>
          <w:tab w:val="left" w:pos="9360"/>
        </w:tabs>
        <w:spacing w:line="360" w:lineRule="auto"/>
        <w:ind w:firstLine="480" w:firstLineChars="200"/>
        <w:rPr>
          <w:rFonts w:ascii="Times New Roman" w:hAnsi="Times New Roman"/>
          <w:kern w:val="0"/>
          <w:sz w:val="24"/>
          <w:szCs w:val="24"/>
          <w:highlight w:val="none"/>
        </w:rPr>
      </w:pPr>
      <w:r>
        <w:rPr>
          <w:rFonts w:ascii="Times New Roman" w:hAnsi="Times New Roman"/>
          <w:kern w:val="0"/>
          <w:sz w:val="24"/>
          <w:szCs w:val="24"/>
          <w:highlight w:val="none"/>
        </w:rPr>
        <w:t xml:space="preserve"> k:</w:t>
      </w:r>
      <w:r>
        <w:rPr>
          <w:rFonts w:hint="eastAsia" w:ascii="Times New Roman" w:hAnsi="Times New Roman"/>
          <w:kern w:val="0"/>
          <w:sz w:val="24"/>
          <w:szCs w:val="24"/>
          <w:highlight w:val="none"/>
        </w:rPr>
        <w:t>随机系数（由招标人在</w:t>
      </w:r>
      <w:r>
        <w:rPr>
          <w:rFonts w:ascii="Times New Roman" w:hAnsi="Times New Roman"/>
          <w:kern w:val="0"/>
          <w:sz w:val="24"/>
          <w:szCs w:val="24"/>
          <w:highlight w:val="none"/>
        </w:rPr>
        <w:t>0.9900</w:t>
      </w:r>
      <w:r>
        <w:rPr>
          <w:rFonts w:hint="eastAsia" w:ascii="Times New Roman" w:hAnsi="Times New Roman"/>
          <w:kern w:val="0"/>
          <w:sz w:val="24"/>
          <w:szCs w:val="24"/>
          <w:highlight w:val="none"/>
        </w:rPr>
        <w:t>、</w:t>
      </w:r>
      <w:r>
        <w:rPr>
          <w:rFonts w:ascii="Times New Roman" w:hAnsi="Times New Roman"/>
          <w:kern w:val="0"/>
          <w:sz w:val="24"/>
          <w:szCs w:val="24"/>
          <w:highlight w:val="none"/>
        </w:rPr>
        <w:t>0.9925</w:t>
      </w:r>
      <w:r>
        <w:rPr>
          <w:rFonts w:hint="eastAsia" w:ascii="Times New Roman" w:hAnsi="Times New Roman"/>
          <w:kern w:val="0"/>
          <w:sz w:val="24"/>
          <w:szCs w:val="24"/>
          <w:highlight w:val="none"/>
        </w:rPr>
        <w:t>、</w:t>
      </w:r>
      <w:r>
        <w:rPr>
          <w:rFonts w:ascii="Times New Roman" w:hAnsi="Times New Roman"/>
          <w:kern w:val="0"/>
          <w:sz w:val="24"/>
          <w:szCs w:val="24"/>
          <w:highlight w:val="none"/>
        </w:rPr>
        <w:t>0.9950</w:t>
      </w:r>
      <w:r>
        <w:rPr>
          <w:rFonts w:hint="eastAsia" w:ascii="Times New Roman" w:hAnsi="Times New Roman"/>
          <w:kern w:val="0"/>
          <w:sz w:val="24"/>
          <w:szCs w:val="24"/>
          <w:highlight w:val="none"/>
        </w:rPr>
        <w:t>、</w:t>
      </w:r>
      <w:r>
        <w:rPr>
          <w:rFonts w:ascii="Times New Roman" w:hAnsi="Times New Roman"/>
          <w:kern w:val="0"/>
          <w:sz w:val="24"/>
          <w:szCs w:val="24"/>
          <w:highlight w:val="none"/>
        </w:rPr>
        <w:t>0.9975</w:t>
      </w:r>
      <w:r>
        <w:rPr>
          <w:rFonts w:hint="eastAsia" w:ascii="Times New Roman" w:hAnsi="Times New Roman"/>
          <w:kern w:val="0"/>
          <w:sz w:val="24"/>
          <w:szCs w:val="24"/>
          <w:highlight w:val="none"/>
        </w:rPr>
        <w:t>、</w:t>
      </w:r>
      <w:r>
        <w:rPr>
          <w:rFonts w:ascii="Times New Roman" w:hAnsi="Times New Roman"/>
          <w:kern w:val="0"/>
          <w:sz w:val="24"/>
          <w:szCs w:val="24"/>
          <w:highlight w:val="none"/>
        </w:rPr>
        <w:t>1.0000</w:t>
      </w:r>
      <w:r>
        <w:rPr>
          <w:rFonts w:hint="eastAsia" w:ascii="Times New Roman" w:hAnsi="Times New Roman"/>
          <w:kern w:val="0"/>
          <w:sz w:val="24"/>
          <w:szCs w:val="24"/>
          <w:highlight w:val="none"/>
        </w:rPr>
        <w:t>、</w:t>
      </w:r>
      <w:r>
        <w:rPr>
          <w:rFonts w:ascii="Times New Roman" w:hAnsi="Times New Roman"/>
          <w:kern w:val="0"/>
          <w:sz w:val="24"/>
          <w:szCs w:val="24"/>
          <w:highlight w:val="none"/>
        </w:rPr>
        <w:t>1.0025</w:t>
      </w:r>
      <w:r>
        <w:rPr>
          <w:rFonts w:hint="eastAsia" w:ascii="Times New Roman" w:hAnsi="Times New Roman"/>
          <w:kern w:val="0"/>
          <w:sz w:val="24"/>
          <w:szCs w:val="24"/>
          <w:highlight w:val="none"/>
        </w:rPr>
        <w:t>、</w:t>
      </w:r>
      <w:r>
        <w:rPr>
          <w:rFonts w:ascii="Times New Roman" w:hAnsi="Times New Roman"/>
          <w:kern w:val="0"/>
          <w:sz w:val="24"/>
          <w:szCs w:val="24"/>
          <w:highlight w:val="none"/>
        </w:rPr>
        <w:t>1.0050</w:t>
      </w:r>
      <w:r>
        <w:rPr>
          <w:rFonts w:hint="eastAsia" w:ascii="Times New Roman" w:hAnsi="Times New Roman"/>
          <w:kern w:val="0"/>
          <w:sz w:val="24"/>
          <w:szCs w:val="24"/>
          <w:highlight w:val="none"/>
        </w:rPr>
        <w:t>、</w:t>
      </w:r>
      <w:r>
        <w:rPr>
          <w:rFonts w:ascii="Times New Roman" w:hAnsi="Times New Roman"/>
          <w:kern w:val="0"/>
          <w:sz w:val="24"/>
          <w:szCs w:val="24"/>
          <w:highlight w:val="none"/>
        </w:rPr>
        <w:t>1.0075</w:t>
      </w:r>
      <w:r>
        <w:rPr>
          <w:rFonts w:hint="eastAsia" w:ascii="Times New Roman" w:hAnsi="Times New Roman"/>
          <w:kern w:val="0"/>
          <w:sz w:val="24"/>
          <w:szCs w:val="24"/>
          <w:highlight w:val="none"/>
        </w:rPr>
        <w:t>八个数据中随机抽取）</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若计算所得的评标基准价超过评审区间的范围，则以评审区间的上限或者下限作为评标基准价。（若计算所得的评标基准价高于评审区间的上限的，则以评审区间的上限作为评标基准价；若计算所得的评标基准价低于评审区间的下限的，则以评审区间的下限作为评标基准价。评审区间的上限</w:t>
      </w:r>
      <w:r>
        <w:rPr>
          <w:rFonts w:ascii="Times New Roman" w:hAnsi="Times New Roman"/>
          <w:kern w:val="0"/>
          <w:sz w:val="24"/>
          <w:szCs w:val="24"/>
          <w:highlight w:val="none"/>
        </w:rPr>
        <w:t>=</w:t>
      </w:r>
      <w:r>
        <w:rPr>
          <w:rFonts w:hint="eastAsia" w:ascii="Times New Roman" w:hAnsi="Times New Roman"/>
          <w:kern w:val="0"/>
          <w:sz w:val="24"/>
          <w:szCs w:val="24"/>
          <w:highlight w:val="none"/>
        </w:rPr>
        <w:t>招标控制价</w:t>
      </w:r>
      <w:r>
        <w:rPr>
          <w:rFonts w:ascii="Times New Roman" w:hAnsi="Times New Roman"/>
          <w:kern w:val="0"/>
          <w:sz w:val="24"/>
          <w:szCs w:val="24"/>
          <w:highlight w:val="none"/>
        </w:rPr>
        <w:t>*</w:t>
      </w:r>
      <w:r>
        <w:rPr>
          <w:rFonts w:hint="eastAsia" w:ascii="Times New Roman" w:hAnsi="Times New Roman"/>
          <w:kern w:val="0"/>
          <w:sz w:val="24"/>
          <w:szCs w:val="24"/>
          <w:highlight w:val="none"/>
        </w:rPr>
        <w:t>（</w:t>
      </w:r>
      <w:r>
        <w:rPr>
          <w:rFonts w:ascii="Times New Roman" w:hAnsi="Times New Roman"/>
          <w:kern w:val="0"/>
          <w:sz w:val="24"/>
          <w:szCs w:val="24"/>
          <w:highlight w:val="none"/>
        </w:rPr>
        <w:t>1-n%</w:t>
      </w:r>
      <w:r>
        <w:rPr>
          <w:rFonts w:hint="eastAsia" w:ascii="Times New Roman" w:hAnsi="Times New Roman"/>
          <w:kern w:val="0"/>
          <w:sz w:val="24"/>
          <w:szCs w:val="24"/>
          <w:highlight w:val="none"/>
        </w:rPr>
        <w:t>）；评审区间的下限</w:t>
      </w:r>
      <w:r>
        <w:rPr>
          <w:rFonts w:ascii="Times New Roman" w:hAnsi="Times New Roman"/>
          <w:kern w:val="0"/>
          <w:sz w:val="24"/>
          <w:szCs w:val="24"/>
          <w:highlight w:val="none"/>
        </w:rPr>
        <w:t>=</w:t>
      </w:r>
      <w:r>
        <w:rPr>
          <w:rFonts w:hint="eastAsia" w:ascii="Times New Roman" w:hAnsi="Times New Roman"/>
          <w:kern w:val="0"/>
          <w:sz w:val="24"/>
          <w:szCs w:val="24"/>
          <w:highlight w:val="none"/>
        </w:rPr>
        <w:t>招标控制价</w:t>
      </w:r>
      <w:r>
        <w:rPr>
          <w:rFonts w:ascii="Times New Roman" w:hAnsi="Times New Roman"/>
          <w:kern w:val="0"/>
          <w:sz w:val="24"/>
          <w:szCs w:val="24"/>
          <w:highlight w:val="none"/>
        </w:rPr>
        <w:t>*m%</w:t>
      </w:r>
      <w:r>
        <w:rPr>
          <w:rFonts w:hint="eastAsia" w:ascii="Times New Roman" w:hAnsi="Times New Roman"/>
          <w:kern w:val="0"/>
          <w:sz w:val="24"/>
          <w:szCs w:val="24"/>
          <w:highlight w:val="none"/>
        </w:rPr>
        <w:t>）</w:t>
      </w:r>
    </w:p>
    <w:p>
      <w:pPr>
        <w:widowControl/>
        <w:tabs>
          <w:tab w:val="left" w:pos="9360"/>
        </w:tabs>
        <w:spacing w:line="360" w:lineRule="auto"/>
        <w:ind w:firstLine="480" w:firstLineChars="200"/>
        <w:rPr>
          <w:rFonts w:ascii="Times New Roman" w:hAnsi="Times New Roman"/>
          <w:kern w:val="0"/>
          <w:sz w:val="24"/>
          <w:szCs w:val="24"/>
          <w:highlight w:val="none"/>
        </w:rPr>
      </w:pPr>
      <w:r>
        <w:rPr>
          <w:rFonts w:ascii="Times New Roman" w:hAnsi="Times New Roman"/>
          <w:kern w:val="0"/>
          <w:sz w:val="24"/>
          <w:szCs w:val="24"/>
          <w:highlight w:val="none"/>
        </w:rPr>
        <w:t>Ⅱ</w:t>
      </w:r>
      <w:r>
        <w:rPr>
          <w:rFonts w:hint="eastAsia" w:ascii="Times New Roman" w:hAnsi="Times New Roman"/>
          <w:kern w:val="0"/>
          <w:sz w:val="24"/>
          <w:szCs w:val="24"/>
          <w:highlight w:val="none"/>
        </w:rPr>
        <w:t>基准价计算方案：</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在参与基准价评审的投标人中，随机抽取三家单位。</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评标基准价：</w:t>
      </w:r>
      <w:r>
        <w:rPr>
          <w:rFonts w:ascii="Times New Roman" w:hAnsi="Times New Roman"/>
          <w:kern w:val="0"/>
          <w:sz w:val="24"/>
          <w:szCs w:val="24"/>
          <w:highlight w:val="none"/>
        </w:rPr>
        <w:t>P=d</w:t>
      </w:r>
      <w:r>
        <w:rPr>
          <w:rFonts w:hint="eastAsia" w:ascii="Times New Roman" w:hAnsi="Times New Roman"/>
          <w:kern w:val="0"/>
          <w:sz w:val="24"/>
          <w:szCs w:val="24"/>
          <w:highlight w:val="none"/>
        </w:rPr>
        <w:t>。</w:t>
      </w:r>
    </w:p>
    <w:p>
      <w:pPr>
        <w:widowControl/>
        <w:tabs>
          <w:tab w:val="left" w:pos="9360"/>
        </w:tabs>
        <w:spacing w:line="360" w:lineRule="auto"/>
        <w:ind w:firstLine="480" w:firstLineChars="200"/>
        <w:rPr>
          <w:rFonts w:ascii="Times New Roman" w:hAnsi="Times New Roman"/>
          <w:kern w:val="0"/>
          <w:sz w:val="24"/>
          <w:szCs w:val="24"/>
          <w:highlight w:val="none"/>
        </w:rPr>
      </w:pPr>
      <w:r>
        <w:rPr>
          <w:rFonts w:ascii="Times New Roman" w:hAnsi="Times New Roman"/>
          <w:kern w:val="0"/>
          <w:sz w:val="24"/>
          <w:szCs w:val="24"/>
          <w:highlight w:val="none"/>
        </w:rPr>
        <w:t>d:</w:t>
      </w:r>
      <w:r>
        <w:rPr>
          <w:rFonts w:hint="eastAsia" w:ascii="Times New Roman" w:hAnsi="Times New Roman"/>
          <w:kern w:val="0"/>
          <w:sz w:val="24"/>
          <w:szCs w:val="24"/>
          <w:highlight w:val="none"/>
        </w:rPr>
        <w:t>随机抽中三家单位投标报价的算术平均值。</w:t>
      </w:r>
    </w:p>
    <w:p>
      <w:pPr>
        <w:widowControl/>
        <w:tabs>
          <w:tab w:val="left" w:pos="9360"/>
        </w:tabs>
        <w:spacing w:line="360" w:lineRule="auto"/>
        <w:ind w:firstLine="480" w:firstLineChars="200"/>
        <w:rPr>
          <w:rFonts w:ascii="Times New Roman" w:hAnsi="Times New Roman"/>
          <w:kern w:val="0"/>
          <w:sz w:val="24"/>
          <w:szCs w:val="24"/>
          <w:highlight w:val="none"/>
        </w:rPr>
      </w:pPr>
      <w:r>
        <w:rPr>
          <w:rFonts w:ascii="Times New Roman" w:hAnsi="Times New Roman"/>
          <w:kern w:val="0"/>
          <w:sz w:val="24"/>
          <w:szCs w:val="24"/>
          <w:highlight w:val="none"/>
        </w:rPr>
        <w:t>Ⅲ</w:t>
      </w:r>
      <w:r>
        <w:rPr>
          <w:rFonts w:hint="eastAsia" w:ascii="Times New Roman" w:hAnsi="Times New Roman"/>
          <w:kern w:val="0"/>
          <w:sz w:val="24"/>
          <w:szCs w:val="24"/>
          <w:highlight w:val="none"/>
        </w:rPr>
        <w:t>基准价计算方案：</w:t>
      </w:r>
    </w:p>
    <w:p>
      <w:pPr>
        <w:widowControl/>
        <w:tabs>
          <w:tab w:val="left" w:pos="9360"/>
        </w:tabs>
        <w:spacing w:line="360" w:lineRule="auto"/>
        <w:ind w:firstLine="480" w:firstLineChars="200"/>
        <w:rPr>
          <w:rFonts w:ascii="Times New Roman" w:hAnsi="Times New Roman"/>
          <w:kern w:val="0"/>
          <w:sz w:val="24"/>
          <w:szCs w:val="24"/>
          <w:highlight w:val="none"/>
        </w:rPr>
      </w:pPr>
      <w:r>
        <w:rPr>
          <w:rFonts w:ascii="Times New Roman" w:hAnsi="Times New Roman"/>
          <w:kern w:val="0"/>
          <w:sz w:val="24"/>
          <w:szCs w:val="24"/>
          <w:highlight w:val="none"/>
        </w:rPr>
        <w:t>Ⅲ</w:t>
      </w:r>
      <w:r>
        <w:rPr>
          <w:rFonts w:hint="eastAsia" w:ascii="Times New Roman" w:hAnsi="Times New Roman"/>
          <w:kern w:val="0"/>
          <w:sz w:val="24"/>
          <w:szCs w:val="24"/>
          <w:highlight w:val="none"/>
        </w:rPr>
        <w:t>基准价计算方案：</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评标基准价</w:t>
      </w:r>
      <w:r>
        <w:rPr>
          <w:rFonts w:ascii="Times New Roman" w:hAnsi="Times New Roman"/>
          <w:kern w:val="0"/>
          <w:sz w:val="24"/>
          <w:szCs w:val="24"/>
          <w:highlight w:val="none"/>
        </w:rPr>
        <w:t>:P=d*B+Y*</w:t>
      </w:r>
      <w:r>
        <w:rPr>
          <w:rFonts w:hint="eastAsia" w:ascii="Times New Roman" w:hAnsi="Times New Roman"/>
          <w:kern w:val="0"/>
          <w:sz w:val="24"/>
          <w:szCs w:val="24"/>
          <w:highlight w:val="none"/>
        </w:rPr>
        <w:t>（</w:t>
      </w:r>
      <w:r>
        <w:rPr>
          <w:rFonts w:ascii="Times New Roman" w:hAnsi="Times New Roman"/>
          <w:kern w:val="0"/>
          <w:sz w:val="24"/>
          <w:szCs w:val="24"/>
          <w:highlight w:val="none"/>
        </w:rPr>
        <w:t>1-A%</w:t>
      </w:r>
      <w:r>
        <w:rPr>
          <w:rFonts w:hint="eastAsia" w:ascii="Times New Roman" w:hAnsi="Times New Roman"/>
          <w:kern w:val="0"/>
          <w:sz w:val="24"/>
          <w:szCs w:val="24"/>
          <w:highlight w:val="none"/>
        </w:rPr>
        <w:t>）</w:t>
      </w:r>
      <w:r>
        <w:rPr>
          <w:rFonts w:ascii="Times New Roman" w:hAnsi="Times New Roman"/>
          <w:kern w:val="0"/>
          <w:sz w:val="24"/>
          <w:szCs w:val="24"/>
          <w:highlight w:val="none"/>
        </w:rPr>
        <w:t>*</w:t>
      </w:r>
      <w:r>
        <w:rPr>
          <w:rFonts w:hint="eastAsia" w:ascii="Times New Roman" w:hAnsi="Times New Roman"/>
          <w:kern w:val="0"/>
          <w:sz w:val="24"/>
          <w:szCs w:val="24"/>
          <w:highlight w:val="none"/>
        </w:rPr>
        <w:t>（</w:t>
      </w:r>
      <w:r>
        <w:rPr>
          <w:rFonts w:ascii="Times New Roman" w:hAnsi="Times New Roman"/>
          <w:kern w:val="0"/>
          <w:sz w:val="24"/>
          <w:szCs w:val="24"/>
          <w:highlight w:val="none"/>
        </w:rPr>
        <w:t>1-B</w:t>
      </w:r>
      <w:r>
        <w:rPr>
          <w:rFonts w:hint="eastAsia" w:ascii="Times New Roman" w:hAnsi="Times New Roman"/>
          <w:kern w:val="0"/>
          <w:sz w:val="24"/>
          <w:szCs w:val="24"/>
          <w:highlight w:val="none"/>
        </w:rPr>
        <w:t>）</w:t>
      </w:r>
    </w:p>
    <w:p>
      <w:pPr>
        <w:widowControl/>
        <w:tabs>
          <w:tab w:val="left" w:pos="9360"/>
        </w:tabs>
        <w:spacing w:line="360" w:lineRule="auto"/>
        <w:ind w:firstLine="480" w:firstLineChars="200"/>
        <w:rPr>
          <w:rFonts w:ascii="Times New Roman" w:hAnsi="Times New Roman"/>
          <w:kern w:val="0"/>
          <w:sz w:val="24"/>
          <w:szCs w:val="24"/>
          <w:highlight w:val="none"/>
        </w:rPr>
      </w:pPr>
      <w:r>
        <w:rPr>
          <w:rFonts w:ascii="Times New Roman" w:hAnsi="Times New Roman"/>
          <w:kern w:val="0"/>
          <w:sz w:val="24"/>
          <w:szCs w:val="24"/>
          <w:highlight w:val="none"/>
        </w:rPr>
        <w:t>d:</w:t>
      </w:r>
      <w:r>
        <w:rPr>
          <w:rFonts w:hint="eastAsia" w:ascii="Times New Roman" w:hAnsi="Times New Roman"/>
          <w:kern w:val="0"/>
          <w:sz w:val="24"/>
          <w:szCs w:val="24"/>
          <w:highlight w:val="none"/>
        </w:rPr>
        <w:t>在参与基准价计算的所有投标人投标报价的算术平均值。</w:t>
      </w:r>
    </w:p>
    <w:p>
      <w:pPr>
        <w:widowControl/>
        <w:tabs>
          <w:tab w:val="left" w:pos="9360"/>
        </w:tabs>
        <w:spacing w:line="360" w:lineRule="auto"/>
        <w:ind w:firstLine="480" w:firstLineChars="200"/>
        <w:rPr>
          <w:rFonts w:ascii="Times New Roman" w:hAnsi="Times New Roman"/>
          <w:kern w:val="0"/>
          <w:sz w:val="24"/>
          <w:szCs w:val="24"/>
          <w:highlight w:val="none"/>
        </w:rPr>
      </w:pPr>
      <w:r>
        <w:rPr>
          <w:rFonts w:ascii="Times New Roman" w:hAnsi="Times New Roman"/>
          <w:kern w:val="0"/>
          <w:sz w:val="24"/>
          <w:szCs w:val="24"/>
          <w:highlight w:val="none"/>
        </w:rPr>
        <w:t>Y:</w:t>
      </w:r>
      <w:r>
        <w:rPr>
          <w:rFonts w:hint="eastAsia" w:ascii="Times New Roman" w:hAnsi="Times New Roman"/>
          <w:kern w:val="0"/>
          <w:sz w:val="24"/>
          <w:szCs w:val="24"/>
          <w:highlight w:val="none"/>
        </w:rPr>
        <w:t>招标控制价</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权重</w:t>
      </w:r>
      <w:r>
        <w:rPr>
          <w:rFonts w:ascii="Times New Roman" w:hAnsi="Times New Roman"/>
          <w:kern w:val="0"/>
          <w:sz w:val="24"/>
          <w:szCs w:val="24"/>
          <w:highlight w:val="none"/>
        </w:rPr>
        <w:t>B</w:t>
      </w:r>
      <w:r>
        <w:rPr>
          <w:rFonts w:hint="eastAsia" w:ascii="Times New Roman" w:hAnsi="Times New Roman"/>
          <w:kern w:val="0"/>
          <w:sz w:val="24"/>
          <w:szCs w:val="24"/>
          <w:highlight w:val="none"/>
        </w:rPr>
        <w:t>：在（</w:t>
      </w:r>
      <w:r>
        <w:rPr>
          <w:rFonts w:ascii="Times New Roman" w:hAnsi="Times New Roman"/>
          <w:kern w:val="0"/>
          <w:sz w:val="24"/>
          <w:szCs w:val="24"/>
          <w:highlight w:val="none"/>
        </w:rPr>
        <w:t>40%</w:t>
      </w:r>
      <w:r>
        <w:rPr>
          <w:rFonts w:hint="eastAsia" w:ascii="Times New Roman" w:hAnsi="Times New Roman"/>
          <w:kern w:val="0"/>
          <w:sz w:val="24"/>
          <w:szCs w:val="24"/>
          <w:highlight w:val="none"/>
        </w:rPr>
        <w:t>、</w:t>
      </w:r>
      <w:r>
        <w:rPr>
          <w:rFonts w:ascii="Times New Roman" w:hAnsi="Times New Roman"/>
          <w:kern w:val="0"/>
          <w:sz w:val="24"/>
          <w:szCs w:val="24"/>
          <w:highlight w:val="none"/>
        </w:rPr>
        <w:t>42%</w:t>
      </w:r>
      <w:r>
        <w:rPr>
          <w:rFonts w:hint="eastAsia" w:ascii="Times New Roman" w:hAnsi="Times New Roman"/>
          <w:kern w:val="0"/>
          <w:sz w:val="24"/>
          <w:szCs w:val="24"/>
          <w:highlight w:val="none"/>
        </w:rPr>
        <w:t>、</w:t>
      </w:r>
      <w:r>
        <w:rPr>
          <w:rFonts w:ascii="Times New Roman" w:hAnsi="Times New Roman"/>
          <w:kern w:val="0"/>
          <w:sz w:val="24"/>
          <w:szCs w:val="24"/>
          <w:highlight w:val="none"/>
        </w:rPr>
        <w:t>44%</w:t>
      </w:r>
      <w:r>
        <w:rPr>
          <w:rFonts w:hint="eastAsia" w:ascii="Times New Roman" w:hAnsi="Times New Roman"/>
          <w:kern w:val="0"/>
          <w:sz w:val="24"/>
          <w:szCs w:val="24"/>
          <w:highlight w:val="none"/>
        </w:rPr>
        <w:t>、</w:t>
      </w:r>
      <w:r>
        <w:rPr>
          <w:rFonts w:ascii="Times New Roman" w:hAnsi="Times New Roman"/>
          <w:kern w:val="0"/>
          <w:sz w:val="24"/>
          <w:szCs w:val="24"/>
          <w:highlight w:val="none"/>
        </w:rPr>
        <w:t>46%</w:t>
      </w:r>
      <w:r>
        <w:rPr>
          <w:rFonts w:hint="eastAsia" w:ascii="Times New Roman" w:hAnsi="Times New Roman"/>
          <w:kern w:val="0"/>
          <w:sz w:val="24"/>
          <w:szCs w:val="24"/>
          <w:highlight w:val="none"/>
        </w:rPr>
        <w:t>、</w:t>
      </w:r>
      <w:r>
        <w:rPr>
          <w:rFonts w:ascii="Times New Roman" w:hAnsi="Times New Roman"/>
          <w:kern w:val="0"/>
          <w:sz w:val="24"/>
          <w:szCs w:val="24"/>
          <w:highlight w:val="none"/>
        </w:rPr>
        <w:t>48%</w:t>
      </w:r>
      <w:r>
        <w:rPr>
          <w:rFonts w:hint="eastAsia" w:ascii="Times New Roman" w:hAnsi="Times New Roman"/>
          <w:kern w:val="0"/>
          <w:sz w:val="24"/>
          <w:szCs w:val="24"/>
          <w:highlight w:val="none"/>
        </w:rPr>
        <w:t>、</w:t>
      </w:r>
      <w:r>
        <w:rPr>
          <w:rFonts w:ascii="Times New Roman" w:hAnsi="Times New Roman"/>
          <w:kern w:val="0"/>
          <w:sz w:val="24"/>
          <w:szCs w:val="24"/>
          <w:highlight w:val="none"/>
        </w:rPr>
        <w:t>50%</w:t>
      </w:r>
      <w:r>
        <w:rPr>
          <w:rFonts w:hint="eastAsia" w:ascii="Times New Roman" w:hAnsi="Times New Roman"/>
          <w:kern w:val="0"/>
          <w:sz w:val="24"/>
          <w:szCs w:val="24"/>
          <w:highlight w:val="none"/>
        </w:rPr>
        <w:t>、</w:t>
      </w:r>
      <w:r>
        <w:rPr>
          <w:rFonts w:ascii="Times New Roman" w:hAnsi="Times New Roman"/>
          <w:kern w:val="0"/>
          <w:sz w:val="24"/>
          <w:szCs w:val="24"/>
          <w:highlight w:val="none"/>
        </w:rPr>
        <w:t>52%</w:t>
      </w:r>
      <w:r>
        <w:rPr>
          <w:rFonts w:hint="eastAsia" w:ascii="Times New Roman" w:hAnsi="Times New Roman"/>
          <w:kern w:val="0"/>
          <w:sz w:val="24"/>
          <w:szCs w:val="24"/>
          <w:highlight w:val="none"/>
        </w:rPr>
        <w:t>、</w:t>
      </w:r>
      <w:r>
        <w:rPr>
          <w:rFonts w:ascii="Times New Roman" w:hAnsi="Times New Roman"/>
          <w:kern w:val="0"/>
          <w:sz w:val="24"/>
          <w:szCs w:val="24"/>
          <w:highlight w:val="none"/>
        </w:rPr>
        <w:t>54%</w:t>
      </w:r>
      <w:r>
        <w:rPr>
          <w:rFonts w:hint="eastAsia" w:ascii="Times New Roman" w:hAnsi="Times New Roman"/>
          <w:kern w:val="0"/>
          <w:sz w:val="24"/>
          <w:szCs w:val="24"/>
          <w:highlight w:val="none"/>
        </w:rPr>
        <w:t>、</w:t>
      </w:r>
      <w:r>
        <w:rPr>
          <w:rFonts w:ascii="Times New Roman" w:hAnsi="Times New Roman"/>
          <w:kern w:val="0"/>
          <w:sz w:val="24"/>
          <w:szCs w:val="24"/>
          <w:highlight w:val="none"/>
        </w:rPr>
        <w:t>56%</w:t>
      </w:r>
      <w:r>
        <w:rPr>
          <w:rFonts w:hint="eastAsia" w:ascii="Times New Roman" w:hAnsi="Times New Roman"/>
          <w:kern w:val="0"/>
          <w:sz w:val="24"/>
          <w:szCs w:val="24"/>
          <w:highlight w:val="none"/>
        </w:rPr>
        <w:t>、</w:t>
      </w:r>
      <w:r>
        <w:rPr>
          <w:rFonts w:ascii="Times New Roman" w:hAnsi="Times New Roman"/>
          <w:kern w:val="0"/>
          <w:sz w:val="24"/>
          <w:szCs w:val="24"/>
          <w:highlight w:val="none"/>
        </w:rPr>
        <w:t>58%</w:t>
      </w:r>
      <w:r>
        <w:rPr>
          <w:rFonts w:hint="eastAsia" w:ascii="Times New Roman" w:hAnsi="Times New Roman"/>
          <w:kern w:val="0"/>
          <w:sz w:val="24"/>
          <w:szCs w:val="24"/>
          <w:highlight w:val="none"/>
        </w:rPr>
        <w:t>、</w:t>
      </w:r>
      <w:r>
        <w:rPr>
          <w:rFonts w:ascii="Times New Roman" w:hAnsi="Times New Roman"/>
          <w:kern w:val="0"/>
          <w:sz w:val="24"/>
          <w:szCs w:val="24"/>
          <w:highlight w:val="none"/>
        </w:rPr>
        <w:t>60%</w:t>
      </w:r>
      <w:r>
        <w:rPr>
          <w:rFonts w:hint="eastAsia" w:ascii="Times New Roman" w:hAnsi="Times New Roman"/>
          <w:kern w:val="0"/>
          <w:sz w:val="24"/>
          <w:szCs w:val="24"/>
          <w:highlight w:val="none"/>
        </w:rPr>
        <w:t>）十一档数值中抽取。</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浮动率</w:t>
      </w:r>
      <w:r>
        <w:rPr>
          <w:rFonts w:ascii="Times New Roman" w:hAnsi="Times New Roman"/>
          <w:kern w:val="0"/>
          <w:sz w:val="24"/>
          <w:szCs w:val="24"/>
          <w:highlight w:val="none"/>
        </w:rPr>
        <w:t>A%</w:t>
      </w:r>
      <w:r>
        <w:rPr>
          <w:rFonts w:hint="eastAsia" w:ascii="Times New Roman" w:hAnsi="Times New Roman"/>
          <w:kern w:val="0"/>
          <w:sz w:val="24"/>
          <w:szCs w:val="24"/>
          <w:highlight w:val="none"/>
        </w:rPr>
        <w:t>：</w:t>
      </w:r>
      <w:r>
        <w:rPr>
          <w:rFonts w:ascii="Times New Roman" w:hAnsi="Times New Roman"/>
          <w:kern w:val="0"/>
          <w:sz w:val="24"/>
          <w:szCs w:val="24"/>
          <w:highlight w:val="none"/>
        </w:rPr>
        <w:t>A</w:t>
      </w:r>
      <w:r>
        <w:rPr>
          <w:rFonts w:hint="eastAsia" w:ascii="Times New Roman" w:hAnsi="Times New Roman"/>
          <w:kern w:val="0"/>
          <w:sz w:val="24"/>
          <w:szCs w:val="24"/>
          <w:highlight w:val="none"/>
        </w:rPr>
        <w:t>在</w:t>
      </w:r>
      <w:r>
        <w:rPr>
          <w:rFonts w:ascii="Times New Roman" w:hAnsi="Times New Roman"/>
          <w:kern w:val="0"/>
          <w:sz w:val="24"/>
          <w:szCs w:val="24"/>
          <w:highlight w:val="none"/>
        </w:rPr>
        <w:t>n</w:t>
      </w:r>
      <w:r>
        <w:rPr>
          <w:rFonts w:hint="eastAsia" w:ascii="Times New Roman" w:hAnsi="Times New Roman"/>
          <w:kern w:val="0"/>
          <w:sz w:val="24"/>
          <w:szCs w:val="24"/>
          <w:highlight w:val="none"/>
        </w:rPr>
        <w:t>～</w:t>
      </w:r>
      <w:r>
        <w:rPr>
          <w:rFonts w:ascii="Times New Roman" w:hAnsi="Times New Roman"/>
          <w:kern w:val="0"/>
          <w:sz w:val="24"/>
          <w:szCs w:val="24"/>
          <w:highlight w:val="none"/>
        </w:rPr>
        <w:t>(100-m)</w:t>
      </w:r>
      <w:r>
        <w:rPr>
          <w:rFonts w:hint="eastAsia" w:ascii="Times New Roman" w:hAnsi="Times New Roman"/>
          <w:kern w:val="0"/>
          <w:sz w:val="24"/>
          <w:szCs w:val="24"/>
          <w:highlight w:val="none"/>
        </w:rPr>
        <w:t>之间随机抽取（包含</w:t>
      </w:r>
      <w:r>
        <w:rPr>
          <w:rFonts w:hint="eastAsia" w:ascii="思源宋体 CN ExtraLight" w:hAnsi="思源宋体 CN ExtraLight" w:eastAsia="思源宋体 CN ExtraLight" w:cs="思源宋体 CN ExtraLight"/>
          <w:color w:val="000000"/>
          <w:sz w:val="24"/>
          <w:szCs w:val="24"/>
          <w:highlight w:val="none"/>
        </w:rPr>
        <w:t>n,100-m</w:t>
      </w:r>
      <w:r>
        <w:rPr>
          <w:rFonts w:hint="eastAsia" w:ascii="Times New Roman" w:hAnsi="Times New Roman"/>
          <w:kern w:val="0"/>
          <w:sz w:val="24"/>
          <w:szCs w:val="24"/>
          <w:highlight w:val="none"/>
        </w:rPr>
        <w:t>），取整数档，间隔为</w:t>
      </w:r>
      <w:r>
        <w:rPr>
          <w:rFonts w:ascii="Times New Roman" w:hAnsi="Times New Roman"/>
          <w:kern w:val="0"/>
          <w:sz w:val="24"/>
          <w:szCs w:val="24"/>
          <w:highlight w:val="none"/>
        </w:rPr>
        <w:t>1;n,m</w:t>
      </w:r>
      <w:r>
        <w:rPr>
          <w:rFonts w:hint="eastAsia" w:ascii="Times New Roman" w:hAnsi="Times New Roman"/>
          <w:kern w:val="0"/>
          <w:sz w:val="24"/>
          <w:szCs w:val="24"/>
          <w:highlight w:val="none"/>
        </w:rPr>
        <w:t>为异常报价环节招标人确定的值。</w:t>
      </w:r>
    </w:p>
    <w:p>
      <w:pPr>
        <w:widowControl/>
        <w:tabs>
          <w:tab w:val="left" w:pos="9360"/>
        </w:tabs>
        <w:spacing w:line="360" w:lineRule="auto"/>
        <w:ind w:firstLine="480" w:firstLineChars="200"/>
        <w:rPr>
          <w:rFonts w:ascii="Times New Roman" w:hAnsi="Times New Roman"/>
          <w:kern w:val="0"/>
          <w:sz w:val="24"/>
          <w:szCs w:val="24"/>
          <w:highlight w:val="none"/>
        </w:rPr>
      </w:pPr>
      <w:r>
        <w:rPr>
          <w:rFonts w:ascii="Times New Roman" w:hAnsi="Times New Roman"/>
          <w:kern w:val="0"/>
          <w:sz w:val="24"/>
          <w:szCs w:val="24"/>
          <w:highlight w:val="none"/>
        </w:rPr>
        <w:t xml:space="preserve">4.4 </w:t>
      </w:r>
      <w:r>
        <w:rPr>
          <w:rFonts w:hint="eastAsia" w:ascii="Times New Roman" w:hAnsi="Times New Roman"/>
          <w:kern w:val="0"/>
          <w:sz w:val="24"/>
          <w:szCs w:val="24"/>
          <w:highlight w:val="none"/>
        </w:rPr>
        <w:t>计算各投标人投标报价得分</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各投标人的最终投标报价与评标基准价进行比较</w:t>
      </w:r>
      <w:r>
        <w:rPr>
          <w:rFonts w:ascii="Times New Roman" w:hAnsi="Times New Roman"/>
          <w:kern w:val="0"/>
          <w:sz w:val="24"/>
          <w:szCs w:val="24"/>
          <w:highlight w:val="none"/>
        </w:rPr>
        <w:t>,</w:t>
      </w:r>
      <w:r>
        <w:rPr>
          <w:rFonts w:hint="eastAsia" w:ascii="Times New Roman" w:hAnsi="Times New Roman"/>
          <w:kern w:val="0"/>
          <w:sz w:val="24"/>
          <w:szCs w:val="24"/>
          <w:highlight w:val="none"/>
        </w:rPr>
        <w:t>相等时得满分</w:t>
      </w:r>
      <w:r>
        <w:rPr>
          <w:rFonts w:ascii="Times New Roman" w:hAnsi="Times New Roman"/>
          <w:kern w:val="0"/>
          <w:sz w:val="24"/>
          <w:szCs w:val="24"/>
          <w:highlight w:val="none"/>
        </w:rPr>
        <w:t>,</w:t>
      </w:r>
      <w:r>
        <w:rPr>
          <w:rFonts w:hint="eastAsia" w:ascii="Times New Roman" w:hAnsi="Times New Roman"/>
          <w:kern w:val="0"/>
          <w:sz w:val="24"/>
          <w:szCs w:val="24"/>
          <w:highlight w:val="none"/>
        </w:rPr>
        <w:t>每下浮</w:t>
      </w:r>
      <w:r>
        <w:rPr>
          <w:rFonts w:ascii="Times New Roman" w:hAnsi="Times New Roman"/>
          <w:kern w:val="0"/>
          <w:sz w:val="24"/>
          <w:szCs w:val="24"/>
          <w:highlight w:val="none"/>
        </w:rPr>
        <w:t>1</w:t>
      </w:r>
      <w:r>
        <w:rPr>
          <w:rFonts w:hint="eastAsia" w:ascii="Times New Roman" w:hAnsi="Times New Roman"/>
          <w:kern w:val="0"/>
          <w:sz w:val="24"/>
          <w:szCs w:val="24"/>
          <w:highlight w:val="none"/>
        </w:rPr>
        <w:t>％时扣</w:t>
      </w:r>
      <w:r>
        <w:rPr>
          <w:rFonts w:ascii="Times New Roman" w:hAnsi="Times New Roman"/>
          <w:kern w:val="0"/>
          <w:sz w:val="24"/>
          <w:szCs w:val="24"/>
          <w:highlight w:val="none"/>
        </w:rPr>
        <w:t>1.5</w:t>
      </w:r>
      <w:r>
        <w:rPr>
          <w:rFonts w:hint="eastAsia" w:ascii="Times New Roman" w:hAnsi="Times New Roman"/>
          <w:kern w:val="0"/>
          <w:sz w:val="24"/>
          <w:szCs w:val="24"/>
          <w:highlight w:val="none"/>
        </w:rPr>
        <w:t>分</w:t>
      </w:r>
      <w:r>
        <w:rPr>
          <w:rFonts w:ascii="Times New Roman" w:hAnsi="Times New Roman"/>
          <w:kern w:val="0"/>
          <w:sz w:val="24"/>
          <w:szCs w:val="24"/>
          <w:highlight w:val="none"/>
        </w:rPr>
        <w:t>,</w:t>
      </w:r>
      <w:r>
        <w:rPr>
          <w:rFonts w:hint="eastAsia" w:ascii="Times New Roman" w:hAnsi="Times New Roman"/>
          <w:kern w:val="0"/>
          <w:sz w:val="24"/>
          <w:szCs w:val="24"/>
          <w:highlight w:val="none"/>
        </w:rPr>
        <w:t>每上浮</w:t>
      </w:r>
      <w:r>
        <w:rPr>
          <w:rFonts w:ascii="Times New Roman" w:hAnsi="Times New Roman"/>
          <w:kern w:val="0"/>
          <w:sz w:val="24"/>
          <w:szCs w:val="24"/>
          <w:highlight w:val="none"/>
        </w:rPr>
        <w:t>1%</w:t>
      </w:r>
      <w:r>
        <w:rPr>
          <w:rFonts w:hint="eastAsia" w:ascii="Times New Roman" w:hAnsi="Times New Roman"/>
          <w:kern w:val="0"/>
          <w:sz w:val="24"/>
          <w:szCs w:val="24"/>
          <w:highlight w:val="none"/>
        </w:rPr>
        <w:t>时扣</w:t>
      </w:r>
      <w:r>
        <w:rPr>
          <w:rFonts w:ascii="Times New Roman" w:hAnsi="Times New Roman"/>
          <w:kern w:val="0"/>
          <w:sz w:val="24"/>
          <w:szCs w:val="24"/>
          <w:highlight w:val="none"/>
        </w:rPr>
        <w:t>3.0</w:t>
      </w:r>
      <w:r>
        <w:rPr>
          <w:rFonts w:hint="eastAsia" w:ascii="Times New Roman" w:hAnsi="Times New Roman"/>
          <w:kern w:val="0"/>
          <w:sz w:val="24"/>
          <w:szCs w:val="24"/>
          <w:highlight w:val="none"/>
        </w:rPr>
        <w:t>分，分值扣完为止（当出现百分点为非整数时</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保留小数点后二位</w:t>
      </w:r>
      <w:r>
        <w:rPr>
          <w:rFonts w:ascii="Times New Roman" w:hAnsi="Times New Roman"/>
          <w:kern w:val="0"/>
          <w:sz w:val="24"/>
          <w:szCs w:val="24"/>
          <w:highlight w:val="none"/>
        </w:rPr>
        <w:t>,</w:t>
      </w:r>
      <w:r>
        <w:rPr>
          <w:rFonts w:hint="eastAsia" w:ascii="Times New Roman" w:hAnsi="Times New Roman"/>
          <w:kern w:val="0"/>
          <w:sz w:val="24"/>
          <w:szCs w:val="24"/>
          <w:highlight w:val="none"/>
        </w:rPr>
        <w:t>第三位四舍五入，采用直线插入法计算分值；分值计算时保留小数点后二位</w:t>
      </w:r>
      <w:r>
        <w:rPr>
          <w:rFonts w:ascii="Times New Roman" w:hAnsi="Times New Roman"/>
          <w:kern w:val="0"/>
          <w:sz w:val="24"/>
          <w:szCs w:val="24"/>
          <w:highlight w:val="none"/>
        </w:rPr>
        <w:t>,</w:t>
      </w:r>
      <w:r>
        <w:rPr>
          <w:rFonts w:hint="eastAsia" w:ascii="Times New Roman" w:hAnsi="Times New Roman"/>
          <w:kern w:val="0"/>
          <w:sz w:val="24"/>
          <w:szCs w:val="24"/>
          <w:highlight w:val="none"/>
        </w:rPr>
        <w:t>第三位四舍五入。）</w:t>
      </w:r>
    </w:p>
    <w:p>
      <w:pPr>
        <w:widowControl/>
        <w:tabs>
          <w:tab w:val="left" w:pos="9360"/>
        </w:tabs>
        <w:spacing w:line="360" w:lineRule="auto"/>
        <w:ind w:firstLine="480" w:firstLineChars="200"/>
        <w:rPr>
          <w:rFonts w:ascii="Times New Roman" w:hAnsi="Times New Roman"/>
          <w:kern w:val="0"/>
          <w:sz w:val="24"/>
          <w:szCs w:val="24"/>
          <w:highlight w:val="none"/>
        </w:rPr>
      </w:pPr>
      <w:r>
        <w:rPr>
          <w:rFonts w:ascii="Times New Roman" w:hAnsi="Times New Roman"/>
          <w:kern w:val="0"/>
          <w:sz w:val="24"/>
          <w:szCs w:val="24"/>
          <w:highlight w:val="none"/>
        </w:rPr>
        <w:t xml:space="preserve">4.5 </w:t>
      </w:r>
      <w:r>
        <w:rPr>
          <w:rFonts w:hint="eastAsia" w:ascii="Times New Roman" w:hAnsi="Times New Roman"/>
          <w:kern w:val="0"/>
          <w:sz w:val="24"/>
          <w:szCs w:val="24"/>
          <w:highlight w:val="none"/>
        </w:rPr>
        <w:t>计算投标人商务标得分</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商务标得分</w:t>
      </w:r>
      <w:r>
        <w:rPr>
          <w:rFonts w:ascii="Times New Roman" w:hAnsi="Times New Roman"/>
          <w:kern w:val="0"/>
          <w:sz w:val="24"/>
          <w:szCs w:val="24"/>
          <w:highlight w:val="none"/>
        </w:rPr>
        <w:t>=</w:t>
      </w:r>
      <w:r>
        <w:rPr>
          <w:rFonts w:hint="eastAsia" w:ascii="Times New Roman" w:hAnsi="Times New Roman"/>
          <w:kern w:val="0"/>
          <w:sz w:val="24"/>
          <w:szCs w:val="24"/>
          <w:highlight w:val="none"/>
        </w:rPr>
        <w:t>投标报价得分</w:t>
      </w:r>
      <w:r>
        <w:rPr>
          <w:rFonts w:ascii="Times New Roman" w:hAnsi="Times New Roman"/>
          <w:kern w:val="0"/>
          <w:sz w:val="24"/>
          <w:szCs w:val="24"/>
          <w:highlight w:val="none"/>
        </w:rPr>
        <w:t>+</w:t>
      </w:r>
      <w:r>
        <w:rPr>
          <w:rFonts w:hint="eastAsia" w:ascii="Times New Roman" w:hAnsi="Times New Roman"/>
          <w:kern w:val="0"/>
          <w:sz w:val="24"/>
          <w:szCs w:val="24"/>
          <w:highlight w:val="none"/>
          <w:lang w:val="zh-CN"/>
        </w:rPr>
        <w:t>工程量清单综合单价评审</w:t>
      </w:r>
      <w:r>
        <w:rPr>
          <w:rFonts w:hint="eastAsia" w:ascii="Times New Roman" w:hAnsi="Times New Roman"/>
          <w:kern w:val="0"/>
          <w:sz w:val="24"/>
          <w:szCs w:val="24"/>
          <w:highlight w:val="none"/>
        </w:rPr>
        <w:t>得分</w:t>
      </w:r>
    </w:p>
    <w:p>
      <w:pPr>
        <w:snapToGrid w:val="0"/>
        <w:spacing w:line="360" w:lineRule="auto"/>
        <w:ind w:firstLine="482" w:firstLineChars="200"/>
        <w:outlineLvl w:val="2"/>
        <w:rPr>
          <w:rFonts w:ascii="Times New Roman" w:hAnsi="Times New Roman"/>
          <w:b/>
          <w:sz w:val="24"/>
          <w:szCs w:val="24"/>
          <w:highlight w:val="none"/>
          <w:lang w:val="zh-CN"/>
        </w:rPr>
      </w:pPr>
      <w:r>
        <w:rPr>
          <w:rFonts w:hint="eastAsia" w:ascii="Times New Roman" w:hAnsi="Times New Roman"/>
          <w:b/>
          <w:sz w:val="24"/>
          <w:szCs w:val="24"/>
          <w:highlight w:val="none"/>
        </w:rPr>
        <w:t>六、</w:t>
      </w:r>
      <w:r>
        <w:rPr>
          <w:rFonts w:hint="eastAsia" w:ascii="Times New Roman" w:hAnsi="Times New Roman"/>
          <w:b/>
          <w:sz w:val="24"/>
          <w:szCs w:val="24"/>
          <w:highlight w:val="none"/>
          <w:lang w:val="zh-CN"/>
        </w:rPr>
        <w:t>技术标评审</w:t>
      </w:r>
    </w:p>
    <w:p>
      <w:pPr>
        <w:widowControl/>
        <w:tabs>
          <w:tab w:val="left" w:pos="9360"/>
        </w:tabs>
        <w:spacing w:line="360" w:lineRule="auto"/>
        <w:ind w:firstLine="480" w:firstLineChars="200"/>
        <w:rPr>
          <w:rFonts w:ascii="Times New Roman" w:hAnsi="Times New Roman"/>
          <w:kern w:val="0"/>
          <w:sz w:val="24"/>
          <w:szCs w:val="24"/>
          <w:highlight w:val="none"/>
          <w:lang w:val="zh-CN"/>
        </w:rPr>
      </w:pPr>
      <w:r>
        <w:rPr>
          <w:rFonts w:hint="eastAsia" w:ascii="Times New Roman" w:hAnsi="Times New Roman"/>
          <w:kern w:val="0"/>
          <w:sz w:val="24"/>
          <w:szCs w:val="24"/>
          <w:highlight w:val="none"/>
        </w:rPr>
        <w:t>（一）技术标评审由评标委员会技术专家组在上述第三步</w:t>
      </w:r>
      <w:r>
        <w:rPr>
          <w:rFonts w:ascii="Times New Roman" w:hAnsi="Times New Roman"/>
          <w:kern w:val="0"/>
          <w:sz w:val="24"/>
          <w:szCs w:val="24"/>
          <w:highlight w:val="none"/>
        </w:rPr>
        <w:t>“</w:t>
      </w:r>
      <w:r>
        <w:rPr>
          <w:rFonts w:hint="eastAsia" w:ascii="Times New Roman" w:hAnsi="Times New Roman"/>
          <w:kern w:val="0"/>
          <w:sz w:val="24"/>
          <w:szCs w:val="24"/>
          <w:highlight w:val="none"/>
        </w:rPr>
        <w:t>评审区间确定</w:t>
      </w:r>
      <w:r>
        <w:rPr>
          <w:rFonts w:ascii="Times New Roman" w:hAnsi="Times New Roman"/>
          <w:kern w:val="0"/>
          <w:sz w:val="24"/>
          <w:szCs w:val="24"/>
          <w:highlight w:val="none"/>
        </w:rPr>
        <w:t>”</w:t>
      </w:r>
      <w:r>
        <w:rPr>
          <w:rFonts w:hint="eastAsia" w:ascii="Times New Roman" w:hAnsi="Times New Roman"/>
          <w:kern w:val="0"/>
          <w:sz w:val="24"/>
          <w:szCs w:val="24"/>
          <w:highlight w:val="none"/>
        </w:rPr>
        <w:t>完成后对进入评审区间的投标人的技术标进行评审，技术标评审和商务标评审同步独立进行（技术标与商务标评审在结果汇总前互不影响），技术标实行暗标评审，投标人存在投标须知前附表</w:t>
      </w:r>
      <w:r>
        <w:rPr>
          <w:rFonts w:ascii="Times New Roman" w:hAnsi="Times New Roman"/>
          <w:kern w:val="0"/>
          <w:sz w:val="24"/>
          <w:szCs w:val="24"/>
          <w:highlight w:val="none"/>
        </w:rPr>
        <w:t>10.5</w:t>
      </w:r>
      <w:r>
        <w:rPr>
          <w:rFonts w:hint="eastAsia" w:ascii="Times New Roman" w:hAnsi="Times New Roman"/>
          <w:kern w:val="0"/>
          <w:sz w:val="24"/>
          <w:szCs w:val="24"/>
          <w:highlight w:val="none"/>
        </w:rPr>
        <w:t>情形之</w:t>
      </w:r>
      <w:r>
        <w:rPr>
          <w:rFonts w:ascii="Times New Roman" w:hAnsi="Times New Roman"/>
          <w:kern w:val="0"/>
          <w:sz w:val="24"/>
          <w:szCs w:val="24"/>
          <w:highlight w:val="none"/>
        </w:rPr>
        <w:t>(</w:t>
      </w:r>
      <w:r>
        <w:rPr>
          <w:rFonts w:hint="eastAsia" w:ascii="Times New Roman" w:hAnsi="Times New Roman"/>
          <w:kern w:val="0"/>
          <w:sz w:val="24"/>
          <w:szCs w:val="24"/>
          <w:highlight w:val="none"/>
        </w:rPr>
        <w:t>技术标评审内容</w:t>
      </w:r>
      <w:r>
        <w:rPr>
          <w:rFonts w:ascii="Times New Roman" w:hAnsi="Times New Roman"/>
          <w:kern w:val="0"/>
          <w:sz w:val="24"/>
          <w:szCs w:val="24"/>
          <w:highlight w:val="none"/>
        </w:rPr>
        <w:t>)</w:t>
      </w:r>
      <w:r>
        <w:rPr>
          <w:rFonts w:hint="eastAsia" w:ascii="Times New Roman" w:hAnsi="Times New Roman"/>
          <w:kern w:val="0"/>
          <w:sz w:val="24"/>
          <w:szCs w:val="24"/>
          <w:highlight w:val="none"/>
        </w:rPr>
        <w:t>的，技术标评审不予通过，否决其投标。</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（二）技术标评分</w:t>
      </w:r>
      <w:r>
        <w:rPr>
          <w:rFonts w:hint="eastAsia" w:ascii="Times New Roman" w:hAnsi="Times New Roman"/>
          <w:b/>
          <w:bCs/>
          <w:color w:val="0000FF"/>
          <w:kern w:val="0"/>
          <w:sz w:val="24"/>
          <w:szCs w:val="24"/>
          <w:highlight w:val="none"/>
        </w:rPr>
        <w:t>（总分</w:t>
      </w:r>
      <w:r>
        <w:rPr>
          <w:rFonts w:hint="eastAsia" w:ascii="Times New Roman" w:hAnsi="Times New Roman"/>
          <w:b/>
          <w:bCs/>
          <w:color w:val="0000FF"/>
          <w:kern w:val="0"/>
          <w:sz w:val="24"/>
          <w:szCs w:val="24"/>
          <w:highlight w:val="none"/>
          <w:u w:val="single"/>
          <w:lang w:val="en-US" w:eastAsia="zh-CN"/>
        </w:rPr>
        <w:t xml:space="preserve">    </w:t>
      </w:r>
      <w:r>
        <w:rPr>
          <w:rFonts w:hint="eastAsia" w:ascii="Times New Roman" w:hAnsi="Times New Roman"/>
          <w:b/>
          <w:bCs/>
          <w:color w:val="0000FF"/>
          <w:kern w:val="0"/>
          <w:sz w:val="24"/>
          <w:szCs w:val="24"/>
          <w:highlight w:val="none"/>
        </w:rPr>
        <w:t>分）</w:t>
      </w:r>
    </w:p>
    <w:p>
      <w:pPr>
        <w:widowControl/>
        <w:tabs>
          <w:tab w:val="left" w:pos="9360"/>
        </w:tabs>
        <w:spacing w:line="360" w:lineRule="auto"/>
        <w:ind w:firstLine="480" w:firstLineChars="200"/>
        <w:rPr>
          <w:rFonts w:hint="eastAsia" w:ascii="Times New Roman" w:hAnsi="Times New Roman"/>
          <w:kern w:val="0"/>
          <w:sz w:val="24"/>
          <w:szCs w:val="24"/>
          <w:highlight w:val="none"/>
        </w:rPr>
      </w:pPr>
      <w:r>
        <w:rPr>
          <w:rFonts w:hint="eastAsia" w:ascii="Times New Roman" w:hAnsi="Times New Roman"/>
          <w:kern w:val="0"/>
          <w:sz w:val="24"/>
          <w:szCs w:val="24"/>
          <w:highlight w:val="none"/>
          <w:lang w:eastAsia="zh-CN"/>
        </w:rPr>
        <w:t>1</w:t>
      </w:r>
      <w:r>
        <w:rPr>
          <w:rFonts w:hint="eastAsia" w:ascii="Times New Roman" w:hAnsi="Times New Roman"/>
          <w:kern w:val="0"/>
          <w:sz w:val="24"/>
          <w:szCs w:val="24"/>
          <w:highlight w:val="none"/>
          <w:lang w:val="en-US" w:eastAsia="zh-CN"/>
        </w:rPr>
        <w:t>.</w:t>
      </w:r>
      <w:r>
        <w:rPr>
          <w:rFonts w:hint="eastAsia" w:ascii="Times New Roman" w:hAnsi="Times New Roman"/>
          <w:kern w:val="0"/>
          <w:sz w:val="24"/>
          <w:szCs w:val="24"/>
          <w:highlight w:val="none"/>
        </w:rPr>
        <w:t>由评标委员会各成员按评审因素和评分标准进行独立评分（保留2位小数）并署名。单项评分最大范围在 A 分</w:t>
      </w:r>
      <w:r>
        <w:rPr>
          <w:rFonts w:hint="eastAsia" w:ascii="Times New Roman" w:hAnsi="Times New Roman"/>
          <w:kern w:val="0"/>
          <w:sz w:val="24"/>
          <w:szCs w:val="24"/>
          <w:highlight w:val="none"/>
          <w:lang w:eastAsia="zh-CN"/>
        </w:rPr>
        <w:t>（</w:t>
      </w:r>
      <w:r>
        <w:rPr>
          <w:rFonts w:hint="eastAsia" w:ascii="Times New Roman" w:hAnsi="Times New Roman"/>
          <w:kern w:val="0"/>
          <w:sz w:val="24"/>
          <w:szCs w:val="24"/>
          <w:highlight w:val="none"/>
          <w:lang w:val="en-US" w:eastAsia="zh-CN"/>
        </w:rPr>
        <w:t>A=B</w:t>
      </w:r>
      <w:r>
        <w:rPr>
          <w:rFonts w:hint="default" w:ascii="Times New Roman" w:hAnsi="Times New Roman"/>
          <w:kern w:val="0"/>
          <w:sz w:val="24"/>
          <w:szCs w:val="24"/>
          <w:highlight w:val="none"/>
          <w:lang w:val="en-US" w:eastAsia="zh-CN"/>
        </w:rPr>
        <w:t>×</w:t>
      </w:r>
      <w:r>
        <w:rPr>
          <w:rFonts w:hint="eastAsia" w:ascii="Times New Roman" w:hAnsi="Times New Roman"/>
          <w:kern w:val="0"/>
          <w:sz w:val="24"/>
          <w:szCs w:val="24"/>
          <w:highlight w:val="none"/>
          <w:lang w:val="en-US" w:eastAsia="zh-CN"/>
        </w:rPr>
        <w:t>比值）</w:t>
      </w:r>
      <w:r>
        <w:rPr>
          <w:rFonts w:hint="eastAsia" w:ascii="Times New Roman" w:hAnsi="Times New Roman"/>
          <w:kern w:val="0"/>
          <w:sz w:val="24"/>
          <w:szCs w:val="24"/>
          <w:highlight w:val="none"/>
        </w:rPr>
        <w:t>至 B 分</w:t>
      </w:r>
      <w:r>
        <w:rPr>
          <w:rFonts w:hint="eastAsia" w:ascii="Times New Roman" w:hAnsi="Times New Roman"/>
          <w:kern w:val="0"/>
          <w:sz w:val="24"/>
          <w:szCs w:val="24"/>
          <w:highlight w:val="none"/>
          <w:lang w:eastAsia="zh-CN"/>
        </w:rPr>
        <w:t>（</w:t>
      </w:r>
      <w:r>
        <w:rPr>
          <w:rFonts w:hint="eastAsia" w:ascii="Times New Roman" w:hAnsi="Times New Roman"/>
          <w:kern w:val="0"/>
          <w:sz w:val="24"/>
          <w:szCs w:val="24"/>
          <w:highlight w:val="none"/>
          <w:lang w:val="en-US" w:eastAsia="zh-CN"/>
        </w:rPr>
        <w:t>B=技术分满分</w:t>
      </w:r>
      <w:r>
        <w:rPr>
          <w:rFonts w:hint="default" w:ascii="Times New Roman" w:hAnsi="Times New Roman"/>
          <w:kern w:val="0"/>
          <w:sz w:val="24"/>
          <w:szCs w:val="24"/>
          <w:highlight w:val="none"/>
          <w:lang w:val="en-US" w:eastAsia="zh-CN"/>
        </w:rPr>
        <w:t>×</w:t>
      </w:r>
      <w:r>
        <w:rPr>
          <w:rFonts w:hint="eastAsia" w:ascii="Times New Roman" w:hAnsi="Times New Roman"/>
          <w:kern w:val="0"/>
          <w:sz w:val="24"/>
          <w:szCs w:val="24"/>
          <w:highlight w:val="none"/>
          <w:lang w:val="en-US" w:eastAsia="zh-CN"/>
        </w:rPr>
        <w:t>分值权重）</w:t>
      </w:r>
      <w:r>
        <w:rPr>
          <w:rFonts w:hint="eastAsia" w:ascii="Times New Roman" w:hAnsi="Times New Roman"/>
          <w:kern w:val="0"/>
          <w:sz w:val="24"/>
          <w:szCs w:val="24"/>
          <w:highlight w:val="none"/>
        </w:rPr>
        <w:t>之间（含本数）；对低于 A 分或高于 B 分的评分表作无效处理。（A、B值由招标人确定，其中A值</w:t>
      </w:r>
      <w:r>
        <w:rPr>
          <w:rFonts w:hint="eastAsia" w:ascii="Times New Roman" w:hAnsi="Times New Roman"/>
          <w:kern w:val="0"/>
          <w:sz w:val="24"/>
          <w:szCs w:val="24"/>
          <w:highlight w:val="none"/>
          <w:lang w:val="en-US" w:eastAsia="zh-CN"/>
        </w:rPr>
        <w:t>与</w:t>
      </w:r>
      <w:r>
        <w:rPr>
          <w:rFonts w:hint="eastAsia" w:ascii="Times New Roman" w:hAnsi="Times New Roman"/>
          <w:kern w:val="0"/>
          <w:sz w:val="24"/>
          <w:szCs w:val="24"/>
          <w:highlight w:val="none"/>
        </w:rPr>
        <w:t>B值的</w:t>
      </w:r>
      <w:r>
        <w:rPr>
          <w:rFonts w:hint="eastAsia" w:ascii="Times New Roman" w:hAnsi="Times New Roman"/>
          <w:kern w:val="0"/>
          <w:sz w:val="24"/>
          <w:szCs w:val="24"/>
          <w:highlight w:val="none"/>
          <w:lang w:val="en-US" w:eastAsia="zh-CN"/>
        </w:rPr>
        <w:t>比值详见技术评审因素表</w:t>
      </w:r>
      <w:r>
        <w:rPr>
          <w:rFonts w:hint="eastAsia" w:ascii="Times New Roman" w:hAnsi="Times New Roman"/>
          <w:kern w:val="0"/>
          <w:sz w:val="24"/>
          <w:szCs w:val="24"/>
          <w:highlight w:val="none"/>
        </w:rPr>
        <w:t>，所有技术标评分项的B值之和等于技术标分值）</w:t>
      </w:r>
    </w:p>
    <w:p>
      <w:pPr>
        <w:widowControl/>
        <w:tabs>
          <w:tab w:val="left" w:pos="9360"/>
        </w:tabs>
        <w:spacing w:line="360" w:lineRule="auto"/>
        <w:ind w:firstLine="480" w:firstLineChars="200"/>
        <w:rPr>
          <w:rFonts w:hint="eastAsia" w:ascii="Times New Roman" w:hAnsi="Times New Roman"/>
          <w:kern w:val="0"/>
          <w:sz w:val="24"/>
          <w:szCs w:val="24"/>
          <w:highlight w:val="none"/>
        </w:rPr>
      </w:pPr>
      <w:r>
        <w:rPr>
          <w:rFonts w:hint="eastAsia" w:ascii="Times New Roman" w:hAnsi="Times New Roman"/>
          <w:kern w:val="0"/>
          <w:sz w:val="24"/>
          <w:szCs w:val="24"/>
          <w:highlight w:val="none"/>
        </w:rPr>
        <w:t>此项评分为：从评标专家的有效评分大于等于5个的，扣除一个最高总分和一个最低总分后的算术平均值，有效评分少于5个的，按全部有效评分的算术平均值（保留小数2位）。</w:t>
      </w:r>
    </w:p>
    <w:p>
      <w:pPr>
        <w:widowControl/>
        <w:tabs>
          <w:tab w:val="left" w:pos="9360"/>
        </w:tabs>
        <w:spacing w:line="360" w:lineRule="auto"/>
        <w:ind w:firstLine="480" w:firstLineChars="200"/>
        <w:rPr>
          <w:rFonts w:hint="eastAsia" w:ascii="Times New Roman" w:hAnsi="Times New Roman"/>
          <w:kern w:val="0"/>
          <w:sz w:val="24"/>
          <w:szCs w:val="24"/>
          <w:highlight w:val="none"/>
        </w:rPr>
      </w:pPr>
      <w:r>
        <w:rPr>
          <w:rFonts w:hint="eastAsia" w:ascii="Times New Roman" w:hAnsi="Times New Roman"/>
          <w:kern w:val="0"/>
          <w:sz w:val="24"/>
          <w:szCs w:val="24"/>
          <w:highlight w:val="none"/>
          <w:lang w:eastAsia="zh-CN"/>
        </w:rPr>
        <w:t>2</w:t>
      </w:r>
      <w:r>
        <w:rPr>
          <w:rFonts w:hint="eastAsia" w:ascii="Times New Roman" w:hAnsi="Times New Roman"/>
          <w:kern w:val="0"/>
          <w:sz w:val="24"/>
          <w:szCs w:val="24"/>
          <w:highlight w:val="none"/>
          <w:lang w:val="en-US" w:eastAsia="zh-CN"/>
        </w:rPr>
        <w:t>.</w:t>
      </w:r>
      <w:r>
        <w:rPr>
          <w:rFonts w:hint="eastAsia" w:ascii="Times New Roman" w:hAnsi="Times New Roman"/>
          <w:kern w:val="0"/>
          <w:sz w:val="24"/>
          <w:szCs w:val="24"/>
          <w:highlight w:val="none"/>
        </w:rPr>
        <w:t>技术评审主要因素包括以下内容（技术标打分条款由招标人根据项目实际情况进行设置）。</w:t>
      </w:r>
    </w:p>
    <w:p>
      <w:pPr>
        <w:widowControl/>
        <w:tabs>
          <w:tab w:val="left" w:pos="9360"/>
        </w:tabs>
        <w:spacing w:line="360" w:lineRule="auto"/>
        <w:ind w:firstLine="480" w:firstLineChars="200"/>
        <w:jc w:val="center"/>
        <w:rPr>
          <w:rFonts w:hint="eastAsia" w:ascii="Times New Roman" w:hAnsi="Times New Roman"/>
          <w:kern w:val="0"/>
          <w:sz w:val="24"/>
          <w:szCs w:val="24"/>
          <w:highlight w:val="none"/>
        </w:rPr>
      </w:pPr>
      <w:r>
        <w:rPr>
          <w:rFonts w:hint="eastAsia" w:ascii="Times New Roman" w:hAnsi="Times New Roman"/>
          <w:kern w:val="0"/>
          <w:sz w:val="24"/>
          <w:szCs w:val="24"/>
          <w:highlight w:val="none"/>
        </w:rPr>
        <w:t>技术标一般评审因素</w:t>
      </w:r>
    </w:p>
    <w:tbl>
      <w:tblPr>
        <w:tblStyle w:val="7"/>
        <w:tblW w:w="88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 w:type="dxa"/>
          <w:left w:w="28" w:type="dxa"/>
          <w:bottom w:w="11" w:type="dxa"/>
          <w:right w:w="28" w:type="dxa"/>
        </w:tblCellMar>
      </w:tblPr>
      <w:tblGrid>
        <w:gridCol w:w="798"/>
        <w:gridCol w:w="5936"/>
        <w:gridCol w:w="1018"/>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28" w:type="dxa"/>
            <w:bottom w:w="11" w:type="dxa"/>
            <w:right w:w="28" w:type="dxa"/>
          </w:tblCellMar>
        </w:tblPrEx>
        <w:trPr>
          <w:cantSplit/>
          <w:trHeight w:val="454" w:hRule="atLeast"/>
          <w:jc w:val="center"/>
        </w:trPr>
        <w:tc>
          <w:tcPr>
            <w:tcW w:w="798" w:type="dxa"/>
            <w:noWrap w:val="0"/>
            <w:vAlign w:val="center"/>
          </w:tcPr>
          <w:p>
            <w:pPr>
              <w:jc w:val="center"/>
              <w:rPr>
                <w:rFonts w:hint="default"/>
                <w:sz w:val="24"/>
                <w:szCs w:val="24"/>
                <w:highlight w:val="none"/>
              </w:rPr>
            </w:pPr>
            <w:r>
              <w:rPr>
                <w:rFonts w:hint="default"/>
                <w:sz w:val="24"/>
                <w:szCs w:val="24"/>
                <w:highlight w:val="none"/>
              </w:rPr>
              <w:t>序号</w:t>
            </w:r>
          </w:p>
        </w:tc>
        <w:tc>
          <w:tcPr>
            <w:tcW w:w="5936" w:type="dxa"/>
            <w:noWrap w:val="0"/>
            <w:vAlign w:val="center"/>
          </w:tcPr>
          <w:p>
            <w:pPr>
              <w:jc w:val="center"/>
              <w:rPr>
                <w:sz w:val="24"/>
                <w:szCs w:val="24"/>
                <w:highlight w:val="none"/>
              </w:rPr>
            </w:pPr>
            <w:r>
              <w:rPr>
                <w:rFonts w:hint="default"/>
                <w:sz w:val="24"/>
                <w:szCs w:val="24"/>
                <w:highlight w:val="none"/>
              </w:rPr>
              <w:t>评审因素</w:t>
            </w:r>
          </w:p>
        </w:tc>
        <w:tc>
          <w:tcPr>
            <w:tcW w:w="1018" w:type="dxa"/>
            <w:noWrap w:val="0"/>
            <w:vAlign w:val="center"/>
          </w:tcPr>
          <w:p>
            <w:pPr>
              <w:jc w:val="center"/>
              <w:rPr>
                <w:rFonts w:hint="eastAsia"/>
                <w:sz w:val="24"/>
                <w:szCs w:val="24"/>
                <w:highlight w:val="none"/>
                <w:lang w:val="en-US" w:eastAsia="zh-CN"/>
              </w:rPr>
            </w:pPr>
            <w:r>
              <w:rPr>
                <w:rFonts w:hint="eastAsia"/>
                <w:sz w:val="24"/>
                <w:szCs w:val="24"/>
                <w:highlight w:val="none"/>
                <w:lang w:val="en-US" w:eastAsia="zh-CN"/>
              </w:rPr>
              <w:t>分值权重</w:t>
            </w:r>
          </w:p>
        </w:tc>
        <w:tc>
          <w:tcPr>
            <w:tcW w:w="1062" w:type="dxa"/>
            <w:noWrap w:val="0"/>
            <w:vAlign w:val="center"/>
          </w:tcPr>
          <w:p>
            <w:pPr>
              <w:jc w:val="center"/>
              <w:rPr>
                <w:sz w:val="24"/>
                <w:szCs w:val="24"/>
                <w:highlight w:val="none"/>
              </w:rPr>
            </w:pPr>
            <w:r>
              <w:rPr>
                <w:rFonts w:hint="eastAsia"/>
                <w:sz w:val="24"/>
                <w:szCs w:val="24"/>
                <w:highlight w:val="none"/>
                <w:lang w:val="en-US" w:eastAsia="zh-CN"/>
              </w:rPr>
              <w:t>比值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28" w:type="dxa"/>
            <w:bottom w:w="11" w:type="dxa"/>
            <w:right w:w="28" w:type="dxa"/>
          </w:tblCellMar>
        </w:tblPrEx>
        <w:trPr>
          <w:cantSplit/>
          <w:trHeight w:val="454" w:hRule="atLeast"/>
          <w:jc w:val="center"/>
        </w:trPr>
        <w:tc>
          <w:tcPr>
            <w:tcW w:w="798" w:type="dxa"/>
            <w:noWrap w:val="0"/>
            <w:vAlign w:val="center"/>
          </w:tcPr>
          <w:p>
            <w:pPr>
              <w:jc w:val="center"/>
              <w:rPr>
                <w:sz w:val="24"/>
                <w:szCs w:val="24"/>
                <w:highlight w:val="none"/>
              </w:rPr>
            </w:pPr>
            <w:r>
              <w:rPr>
                <w:sz w:val="24"/>
                <w:szCs w:val="24"/>
                <w:highlight w:val="none"/>
              </w:rPr>
              <w:t>1</w:t>
            </w:r>
          </w:p>
        </w:tc>
        <w:tc>
          <w:tcPr>
            <w:tcW w:w="5936" w:type="dxa"/>
            <w:noWrap w:val="0"/>
            <w:vAlign w:val="center"/>
          </w:tcPr>
          <w:p>
            <w:pPr>
              <w:rPr>
                <w:i/>
                <w:iCs/>
                <w:sz w:val="24"/>
                <w:szCs w:val="24"/>
                <w:highlight w:val="none"/>
              </w:rPr>
            </w:pPr>
            <w:r>
              <w:rPr>
                <w:rFonts w:hint="default"/>
                <w:i/>
                <w:iCs/>
                <w:sz w:val="24"/>
                <w:szCs w:val="24"/>
                <w:highlight w:val="none"/>
              </w:rPr>
              <w:t>总体施工部署、场地平面布置及说明</w:t>
            </w:r>
          </w:p>
        </w:tc>
        <w:tc>
          <w:tcPr>
            <w:tcW w:w="1018" w:type="dxa"/>
            <w:noWrap w:val="0"/>
            <w:vAlign w:val="center"/>
          </w:tcPr>
          <w:p>
            <w:pPr>
              <w:jc w:val="center"/>
              <w:rPr>
                <w:rFonts w:hint="eastAsia"/>
                <w:sz w:val="24"/>
                <w:szCs w:val="24"/>
                <w:highlight w:val="none"/>
              </w:rPr>
            </w:pPr>
            <w:r>
              <w:rPr>
                <w:rFonts w:hint="eastAsia"/>
                <w:sz w:val="24"/>
                <w:szCs w:val="24"/>
                <w:highlight w:val="none"/>
              </w:rPr>
              <w:t>≤</w:t>
            </w:r>
            <w:r>
              <w:rPr>
                <w:rFonts w:hint="eastAsia"/>
                <w:sz w:val="24"/>
                <w:szCs w:val="24"/>
                <w:highlight w:val="none"/>
                <w:lang w:val="en-US" w:eastAsia="zh-CN"/>
              </w:rPr>
              <w:t>15%</w:t>
            </w:r>
          </w:p>
        </w:tc>
        <w:tc>
          <w:tcPr>
            <w:tcW w:w="1062" w:type="dxa"/>
            <w:noWrap w:val="0"/>
            <w:vAlign w:val="center"/>
          </w:tcPr>
          <w:p>
            <w:pPr>
              <w:jc w:val="center"/>
              <w:rPr>
                <w:sz w:val="24"/>
                <w:szCs w:val="24"/>
                <w:highlight w:val="none"/>
              </w:rPr>
            </w:pPr>
            <w:r>
              <w:rPr>
                <w:rFonts w:hint="eastAsia"/>
                <w:sz w:val="24"/>
                <w:szCs w:val="24"/>
                <w:highlight w:val="none"/>
              </w:rPr>
              <w:t>≥</w:t>
            </w:r>
            <w:r>
              <w:rPr>
                <w:rFonts w:hint="eastAsia"/>
                <w:sz w:val="24"/>
                <w:szCs w:val="24"/>
                <w:highlight w:val="none"/>
                <w:lang w:val="en-US" w:eastAsia="zh-CN"/>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28" w:type="dxa"/>
            <w:bottom w:w="11" w:type="dxa"/>
            <w:right w:w="28" w:type="dxa"/>
          </w:tblCellMar>
        </w:tblPrEx>
        <w:trPr>
          <w:cantSplit/>
          <w:trHeight w:val="454" w:hRule="atLeast"/>
          <w:jc w:val="center"/>
        </w:trPr>
        <w:tc>
          <w:tcPr>
            <w:tcW w:w="798" w:type="dxa"/>
            <w:noWrap w:val="0"/>
            <w:vAlign w:val="center"/>
          </w:tcPr>
          <w:p>
            <w:pPr>
              <w:jc w:val="center"/>
              <w:rPr>
                <w:sz w:val="24"/>
                <w:szCs w:val="24"/>
                <w:highlight w:val="none"/>
              </w:rPr>
            </w:pPr>
            <w:r>
              <w:rPr>
                <w:sz w:val="24"/>
                <w:szCs w:val="24"/>
                <w:highlight w:val="none"/>
              </w:rPr>
              <w:t>2</w:t>
            </w:r>
          </w:p>
        </w:tc>
        <w:tc>
          <w:tcPr>
            <w:tcW w:w="5936" w:type="dxa"/>
            <w:noWrap w:val="0"/>
            <w:vAlign w:val="center"/>
          </w:tcPr>
          <w:p>
            <w:pPr>
              <w:rPr>
                <w:i/>
                <w:iCs/>
                <w:sz w:val="24"/>
                <w:szCs w:val="24"/>
                <w:highlight w:val="none"/>
              </w:rPr>
            </w:pPr>
            <w:r>
              <w:rPr>
                <w:rFonts w:hint="default"/>
                <w:i/>
                <w:iCs/>
                <w:sz w:val="24"/>
                <w:szCs w:val="24"/>
                <w:highlight w:val="none"/>
              </w:rPr>
              <w:t>主要施工方案</w:t>
            </w:r>
          </w:p>
        </w:tc>
        <w:tc>
          <w:tcPr>
            <w:tcW w:w="1018" w:type="dxa"/>
            <w:noWrap w:val="0"/>
            <w:vAlign w:val="center"/>
          </w:tcPr>
          <w:p>
            <w:pPr>
              <w:jc w:val="center"/>
              <w:rPr>
                <w:rFonts w:hint="eastAsia"/>
                <w:sz w:val="24"/>
                <w:szCs w:val="24"/>
                <w:highlight w:val="none"/>
              </w:rPr>
            </w:pPr>
            <w:r>
              <w:rPr>
                <w:rFonts w:hint="eastAsia"/>
                <w:sz w:val="24"/>
                <w:szCs w:val="24"/>
                <w:highlight w:val="none"/>
              </w:rPr>
              <w:t>≤</w:t>
            </w:r>
            <w:r>
              <w:rPr>
                <w:rFonts w:hint="eastAsia"/>
                <w:sz w:val="24"/>
                <w:szCs w:val="24"/>
                <w:highlight w:val="none"/>
                <w:lang w:val="en-US" w:eastAsia="zh-CN"/>
              </w:rPr>
              <w:t>15%</w:t>
            </w:r>
          </w:p>
        </w:tc>
        <w:tc>
          <w:tcPr>
            <w:tcW w:w="1062" w:type="dxa"/>
            <w:noWrap w:val="0"/>
            <w:vAlign w:val="center"/>
          </w:tcPr>
          <w:p>
            <w:pPr>
              <w:jc w:val="center"/>
              <w:rPr>
                <w:sz w:val="24"/>
                <w:szCs w:val="24"/>
                <w:highlight w:val="none"/>
              </w:rPr>
            </w:pPr>
            <w:r>
              <w:rPr>
                <w:rFonts w:hint="eastAsia"/>
                <w:sz w:val="24"/>
                <w:szCs w:val="24"/>
                <w:highlight w:val="none"/>
              </w:rPr>
              <w:t>≥</w:t>
            </w:r>
            <w:r>
              <w:rPr>
                <w:rFonts w:hint="eastAsia"/>
                <w:sz w:val="24"/>
                <w:szCs w:val="24"/>
                <w:highlight w:val="none"/>
                <w:lang w:val="en-US" w:eastAsia="zh-CN"/>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28" w:type="dxa"/>
            <w:bottom w:w="11" w:type="dxa"/>
            <w:right w:w="28" w:type="dxa"/>
          </w:tblCellMar>
        </w:tblPrEx>
        <w:trPr>
          <w:cantSplit/>
          <w:trHeight w:val="454" w:hRule="atLeast"/>
          <w:jc w:val="center"/>
        </w:trPr>
        <w:tc>
          <w:tcPr>
            <w:tcW w:w="798" w:type="dxa"/>
            <w:noWrap w:val="0"/>
            <w:vAlign w:val="center"/>
          </w:tcPr>
          <w:p>
            <w:pPr>
              <w:jc w:val="center"/>
              <w:rPr>
                <w:sz w:val="24"/>
                <w:szCs w:val="24"/>
                <w:highlight w:val="none"/>
              </w:rPr>
            </w:pPr>
            <w:r>
              <w:rPr>
                <w:sz w:val="24"/>
                <w:szCs w:val="24"/>
                <w:highlight w:val="none"/>
              </w:rPr>
              <w:t>3</w:t>
            </w:r>
          </w:p>
        </w:tc>
        <w:tc>
          <w:tcPr>
            <w:tcW w:w="5936" w:type="dxa"/>
            <w:noWrap w:val="0"/>
            <w:vAlign w:val="center"/>
          </w:tcPr>
          <w:p>
            <w:pPr>
              <w:rPr>
                <w:i/>
                <w:iCs/>
                <w:sz w:val="24"/>
                <w:szCs w:val="24"/>
                <w:highlight w:val="none"/>
              </w:rPr>
            </w:pPr>
            <w:r>
              <w:rPr>
                <w:rFonts w:hint="default"/>
                <w:i/>
                <w:iCs/>
                <w:sz w:val="24"/>
                <w:szCs w:val="24"/>
                <w:highlight w:val="none"/>
              </w:rPr>
              <w:t>工程质量保障措施</w:t>
            </w:r>
          </w:p>
        </w:tc>
        <w:tc>
          <w:tcPr>
            <w:tcW w:w="1018" w:type="dxa"/>
            <w:noWrap w:val="0"/>
            <w:vAlign w:val="center"/>
          </w:tcPr>
          <w:p>
            <w:pPr>
              <w:jc w:val="center"/>
              <w:rPr>
                <w:rFonts w:hint="eastAsia"/>
                <w:sz w:val="24"/>
                <w:szCs w:val="24"/>
                <w:highlight w:val="none"/>
              </w:rPr>
            </w:pPr>
            <w:r>
              <w:rPr>
                <w:rFonts w:hint="eastAsia"/>
                <w:sz w:val="24"/>
                <w:szCs w:val="24"/>
                <w:highlight w:val="none"/>
              </w:rPr>
              <w:t>≤</w:t>
            </w:r>
            <w:r>
              <w:rPr>
                <w:rFonts w:hint="eastAsia"/>
                <w:sz w:val="24"/>
                <w:szCs w:val="24"/>
                <w:highlight w:val="none"/>
                <w:lang w:val="en-US" w:eastAsia="zh-CN"/>
              </w:rPr>
              <w:t>10%</w:t>
            </w:r>
          </w:p>
        </w:tc>
        <w:tc>
          <w:tcPr>
            <w:tcW w:w="1062" w:type="dxa"/>
            <w:noWrap w:val="0"/>
            <w:vAlign w:val="center"/>
          </w:tcPr>
          <w:p>
            <w:pPr>
              <w:jc w:val="center"/>
              <w:rPr>
                <w:sz w:val="24"/>
                <w:szCs w:val="24"/>
                <w:highlight w:val="none"/>
              </w:rPr>
            </w:pPr>
            <w:r>
              <w:rPr>
                <w:rFonts w:hint="eastAsia"/>
                <w:sz w:val="24"/>
                <w:szCs w:val="24"/>
                <w:highlight w:val="none"/>
              </w:rPr>
              <w:t>≥</w:t>
            </w:r>
            <w:r>
              <w:rPr>
                <w:rFonts w:hint="eastAsia"/>
                <w:sz w:val="24"/>
                <w:szCs w:val="24"/>
                <w:highlight w:val="none"/>
                <w:lang w:val="en-US" w:eastAsia="zh-CN"/>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28" w:type="dxa"/>
            <w:bottom w:w="11" w:type="dxa"/>
            <w:right w:w="28" w:type="dxa"/>
          </w:tblCellMar>
        </w:tblPrEx>
        <w:trPr>
          <w:cantSplit/>
          <w:trHeight w:val="454" w:hRule="atLeast"/>
          <w:jc w:val="center"/>
        </w:trPr>
        <w:tc>
          <w:tcPr>
            <w:tcW w:w="798" w:type="dxa"/>
            <w:noWrap w:val="0"/>
            <w:vAlign w:val="center"/>
          </w:tcPr>
          <w:p>
            <w:pPr>
              <w:jc w:val="center"/>
              <w:rPr>
                <w:sz w:val="24"/>
                <w:szCs w:val="24"/>
                <w:highlight w:val="none"/>
              </w:rPr>
            </w:pPr>
            <w:r>
              <w:rPr>
                <w:sz w:val="24"/>
                <w:szCs w:val="24"/>
                <w:highlight w:val="none"/>
              </w:rPr>
              <w:t>4</w:t>
            </w:r>
          </w:p>
        </w:tc>
        <w:tc>
          <w:tcPr>
            <w:tcW w:w="5936" w:type="dxa"/>
            <w:noWrap w:val="0"/>
            <w:vAlign w:val="center"/>
          </w:tcPr>
          <w:p>
            <w:pPr>
              <w:rPr>
                <w:i/>
                <w:iCs/>
                <w:sz w:val="24"/>
                <w:szCs w:val="24"/>
                <w:highlight w:val="none"/>
              </w:rPr>
            </w:pPr>
            <w:r>
              <w:rPr>
                <w:rFonts w:hint="default"/>
                <w:i/>
                <w:iCs/>
                <w:sz w:val="24"/>
                <w:szCs w:val="24"/>
                <w:highlight w:val="none"/>
              </w:rPr>
              <w:t>施工进度计划和保障措施</w:t>
            </w:r>
          </w:p>
        </w:tc>
        <w:tc>
          <w:tcPr>
            <w:tcW w:w="1018" w:type="dxa"/>
            <w:noWrap w:val="0"/>
            <w:vAlign w:val="center"/>
          </w:tcPr>
          <w:p>
            <w:pPr>
              <w:jc w:val="center"/>
              <w:rPr>
                <w:rFonts w:hint="eastAsia"/>
                <w:sz w:val="24"/>
                <w:szCs w:val="24"/>
                <w:highlight w:val="none"/>
              </w:rPr>
            </w:pPr>
            <w:r>
              <w:rPr>
                <w:rFonts w:hint="eastAsia"/>
                <w:sz w:val="24"/>
                <w:szCs w:val="24"/>
                <w:highlight w:val="none"/>
              </w:rPr>
              <w:t>≤</w:t>
            </w:r>
            <w:r>
              <w:rPr>
                <w:rFonts w:hint="eastAsia"/>
                <w:sz w:val="24"/>
                <w:szCs w:val="24"/>
                <w:highlight w:val="none"/>
                <w:lang w:val="en-US" w:eastAsia="zh-CN"/>
              </w:rPr>
              <w:t>10%</w:t>
            </w:r>
          </w:p>
        </w:tc>
        <w:tc>
          <w:tcPr>
            <w:tcW w:w="1062" w:type="dxa"/>
            <w:noWrap w:val="0"/>
            <w:vAlign w:val="center"/>
          </w:tcPr>
          <w:p>
            <w:pPr>
              <w:jc w:val="center"/>
              <w:rPr>
                <w:sz w:val="24"/>
                <w:szCs w:val="24"/>
                <w:highlight w:val="none"/>
              </w:rPr>
            </w:pPr>
            <w:r>
              <w:rPr>
                <w:rFonts w:hint="eastAsia"/>
                <w:sz w:val="24"/>
                <w:szCs w:val="24"/>
                <w:highlight w:val="none"/>
              </w:rPr>
              <w:t>≥</w:t>
            </w:r>
            <w:r>
              <w:rPr>
                <w:rFonts w:hint="eastAsia"/>
                <w:sz w:val="24"/>
                <w:szCs w:val="24"/>
                <w:highlight w:val="none"/>
                <w:lang w:val="en-US" w:eastAsia="zh-CN"/>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28" w:type="dxa"/>
            <w:bottom w:w="11" w:type="dxa"/>
            <w:right w:w="28" w:type="dxa"/>
          </w:tblCellMar>
        </w:tblPrEx>
        <w:trPr>
          <w:cantSplit/>
          <w:trHeight w:val="454" w:hRule="atLeast"/>
          <w:jc w:val="center"/>
        </w:trPr>
        <w:tc>
          <w:tcPr>
            <w:tcW w:w="798" w:type="dxa"/>
            <w:noWrap w:val="0"/>
            <w:vAlign w:val="center"/>
          </w:tcPr>
          <w:p>
            <w:pPr>
              <w:jc w:val="center"/>
              <w:rPr>
                <w:sz w:val="24"/>
                <w:szCs w:val="24"/>
                <w:highlight w:val="none"/>
              </w:rPr>
            </w:pPr>
            <w:r>
              <w:rPr>
                <w:sz w:val="24"/>
                <w:szCs w:val="24"/>
                <w:highlight w:val="none"/>
              </w:rPr>
              <w:t>5</w:t>
            </w:r>
          </w:p>
        </w:tc>
        <w:tc>
          <w:tcPr>
            <w:tcW w:w="5936" w:type="dxa"/>
            <w:noWrap w:val="0"/>
            <w:vAlign w:val="center"/>
          </w:tcPr>
          <w:p>
            <w:pPr>
              <w:rPr>
                <w:i/>
                <w:iCs/>
                <w:sz w:val="24"/>
                <w:szCs w:val="24"/>
                <w:highlight w:val="none"/>
              </w:rPr>
            </w:pPr>
            <w:r>
              <w:rPr>
                <w:rFonts w:hint="default"/>
                <w:i/>
                <w:iCs/>
                <w:sz w:val="24"/>
                <w:szCs w:val="24"/>
                <w:highlight w:val="none"/>
              </w:rPr>
              <w:t>安全生产、文明施工、环境保护措施</w:t>
            </w:r>
          </w:p>
        </w:tc>
        <w:tc>
          <w:tcPr>
            <w:tcW w:w="1018" w:type="dxa"/>
            <w:noWrap w:val="0"/>
            <w:vAlign w:val="center"/>
          </w:tcPr>
          <w:p>
            <w:pPr>
              <w:jc w:val="center"/>
              <w:rPr>
                <w:rFonts w:hint="eastAsia"/>
                <w:sz w:val="24"/>
                <w:szCs w:val="24"/>
                <w:highlight w:val="none"/>
              </w:rPr>
            </w:pPr>
            <w:r>
              <w:rPr>
                <w:rFonts w:hint="eastAsia"/>
                <w:sz w:val="24"/>
                <w:szCs w:val="24"/>
                <w:highlight w:val="none"/>
              </w:rPr>
              <w:t>≤</w:t>
            </w:r>
            <w:r>
              <w:rPr>
                <w:rFonts w:hint="eastAsia"/>
                <w:sz w:val="24"/>
                <w:szCs w:val="24"/>
                <w:highlight w:val="none"/>
                <w:lang w:val="en-US" w:eastAsia="zh-CN"/>
              </w:rPr>
              <w:t>15%</w:t>
            </w:r>
          </w:p>
        </w:tc>
        <w:tc>
          <w:tcPr>
            <w:tcW w:w="1062" w:type="dxa"/>
            <w:noWrap w:val="0"/>
            <w:vAlign w:val="center"/>
          </w:tcPr>
          <w:p>
            <w:pPr>
              <w:jc w:val="center"/>
              <w:rPr>
                <w:sz w:val="24"/>
                <w:szCs w:val="24"/>
                <w:highlight w:val="none"/>
              </w:rPr>
            </w:pPr>
            <w:r>
              <w:rPr>
                <w:rFonts w:hint="eastAsia"/>
                <w:sz w:val="24"/>
                <w:szCs w:val="24"/>
                <w:highlight w:val="none"/>
              </w:rPr>
              <w:t>≥</w:t>
            </w:r>
            <w:r>
              <w:rPr>
                <w:rFonts w:hint="eastAsia"/>
                <w:sz w:val="24"/>
                <w:szCs w:val="24"/>
                <w:highlight w:val="none"/>
                <w:lang w:val="en-US" w:eastAsia="zh-CN"/>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28" w:type="dxa"/>
            <w:bottom w:w="11" w:type="dxa"/>
            <w:right w:w="28" w:type="dxa"/>
          </w:tblCellMar>
        </w:tblPrEx>
        <w:trPr>
          <w:cantSplit/>
          <w:trHeight w:val="454" w:hRule="atLeast"/>
          <w:jc w:val="center"/>
        </w:trPr>
        <w:tc>
          <w:tcPr>
            <w:tcW w:w="798" w:type="dxa"/>
            <w:noWrap w:val="0"/>
            <w:vAlign w:val="center"/>
          </w:tcPr>
          <w:p>
            <w:pPr>
              <w:jc w:val="center"/>
              <w:rPr>
                <w:sz w:val="24"/>
                <w:szCs w:val="24"/>
                <w:highlight w:val="none"/>
              </w:rPr>
            </w:pPr>
            <w:r>
              <w:rPr>
                <w:sz w:val="24"/>
                <w:szCs w:val="24"/>
                <w:highlight w:val="none"/>
              </w:rPr>
              <w:t>6</w:t>
            </w:r>
          </w:p>
        </w:tc>
        <w:tc>
          <w:tcPr>
            <w:tcW w:w="5936" w:type="dxa"/>
            <w:noWrap w:val="0"/>
            <w:vAlign w:val="center"/>
          </w:tcPr>
          <w:p>
            <w:pPr>
              <w:rPr>
                <w:i/>
                <w:iCs/>
                <w:sz w:val="24"/>
                <w:szCs w:val="24"/>
                <w:highlight w:val="none"/>
              </w:rPr>
            </w:pPr>
            <w:r>
              <w:rPr>
                <w:rFonts w:hint="default"/>
                <w:i/>
                <w:iCs/>
                <w:sz w:val="24"/>
                <w:szCs w:val="24"/>
                <w:highlight w:val="none"/>
              </w:rPr>
              <w:t>项目管理人员配置情况</w:t>
            </w:r>
          </w:p>
        </w:tc>
        <w:tc>
          <w:tcPr>
            <w:tcW w:w="1018" w:type="dxa"/>
            <w:noWrap w:val="0"/>
            <w:vAlign w:val="center"/>
          </w:tcPr>
          <w:p>
            <w:pPr>
              <w:jc w:val="center"/>
              <w:rPr>
                <w:rFonts w:hint="eastAsia"/>
                <w:sz w:val="24"/>
                <w:szCs w:val="24"/>
                <w:highlight w:val="none"/>
              </w:rPr>
            </w:pPr>
            <w:r>
              <w:rPr>
                <w:rFonts w:hint="eastAsia"/>
                <w:sz w:val="24"/>
                <w:szCs w:val="24"/>
                <w:highlight w:val="none"/>
              </w:rPr>
              <w:t>≤</w:t>
            </w:r>
            <w:r>
              <w:rPr>
                <w:rFonts w:hint="eastAsia"/>
                <w:sz w:val="24"/>
                <w:szCs w:val="24"/>
                <w:highlight w:val="none"/>
                <w:lang w:val="en-US" w:eastAsia="zh-CN"/>
              </w:rPr>
              <w:t>10%</w:t>
            </w:r>
          </w:p>
        </w:tc>
        <w:tc>
          <w:tcPr>
            <w:tcW w:w="1062" w:type="dxa"/>
            <w:noWrap w:val="0"/>
            <w:vAlign w:val="center"/>
          </w:tcPr>
          <w:p>
            <w:pPr>
              <w:jc w:val="center"/>
              <w:rPr>
                <w:sz w:val="24"/>
                <w:szCs w:val="24"/>
                <w:highlight w:val="none"/>
              </w:rPr>
            </w:pPr>
            <w:r>
              <w:rPr>
                <w:rFonts w:hint="eastAsia"/>
                <w:sz w:val="24"/>
                <w:szCs w:val="24"/>
                <w:highlight w:val="none"/>
              </w:rPr>
              <w:t>≥</w:t>
            </w:r>
            <w:r>
              <w:rPr>
                <w:rFonts w:hint="eastAsia"/>
                <w:sz w:val="24"/>
                <w:szCs w:val="24"/>
                <w:highlight w:val="none"/>
                <w:lang w:val="en-US" w:eastAsia="zh-CN"/>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28" w:type="dxa"/>
            <w:bottom w:w="11" w:type="dxa"/>
            <w:right w:w="28" w:type="dxa"/>
          </w:tblCellMar>
        </w:tblPrEx>
        <w:trPr>
          <w:cantSplit/>
          <w:trHeight w:val="454" w:hRule="atLeast"/>
          <w:jc w:val="center"/>
        </w:trPr>
        <w:tc>
          <w:tcPr>
            <w:tcW w:w="798" w:type="dxa"/>
            <w:noWrap w:val="0"/>
            <w:vAlign w:val="center"/>
          </w:tcPr>
          <w:p>
            <w:pPr>
              <w:jc w:val="center"/>
              <w:rPr>
                <w:sz w:val="24"/>
                <w:szCs w:val="24"/>
                <w:highlight w:val="none"/>
              </w:rPr>
            </w:pPr>
            <w:r>
              <w:rPr>
                <w:sz w:val="24"/>
                <w:szCs w:val="24"/>
                <w:highlight w:val="none"/>
              </w:rPr>
              <w:t>7</w:t>
            </w:r>
          </w:p>
        </w:tc>
        <w:tc>
          <w:tcPr>
            <w:tcW w:w="5936" w:type="dxa"/>
            <w:noWrap w:val="0"/>
            <w:vAlign w:val="center"/>
          </w:tcPr>
          <w:p>
            <w:pPr>
              <w:rPr>
                <w:i/>
                <w:iCs/>
                <w:sz w:val="24"/>
                <w:szCs w:val="24"/>
                <w:highlight w:val="none"/>
              </w:rPr>
            </w:pPr>
            <w:r>
              <w:rPr>
                <w:rFonts w:hint="default"/>
                <w:i/>
                <w:iCs/>
                <w:sz w:val="24"/>
                <w:szCs w:val="24"/>
                <w:highlight w:val="none"/>
              </w:rPr>
              <w:t>主要施工设备配置情况</w:t>
            </w:r>
          </w:p>
        </w:tc>
        <w:tc>
          <w:tcPr>
            <w:tcW w:w="1018" w:type="dxa"/>
            <w:noWrap w:val="0"/>
            <w:vAlign w:val="center"/>
          </w:tcPr>
          <w:p>
            <w:pPr>
              <w:jc w:val="center"/>
              <w:rPr>
                <w:rFonts w:hint="eastAsia"/>
                <w:sz w:val="24"/>
                <w:szCs w:val="24"/>
                <w:highlight w:val="none"/>
              </w:rPr>
            </w:pPr>
            <w:r>
              <w:rPr>
                <w:rFonts w:hint="eastAsia"/>
                <w:sz w:val="24"/>
                <w:szCs w:val="24"/>
                <w:highlight w:val="none"/>
              </w:rPr>
              <w:t>≤</w:t>
            </w:r>
            <w:r>
              <w:rPr>
                <w:rFonts w:hint="eastAsia"/>
                <w:sz w:val="24"/>
                <w:szCs w:val="24"/>
                <w:highlight w:val="none"/>
                <w:lang w:val="en-US" w:eastAsia="zh-CN"/>
              </w:rPr>
              <w:t>5%</w:t>
            </w:r>
          </w:p>
        </w:tc>
        <w:tc>
          <w:tcPr>
            <w:tcW w:w="1062" w:type="dxa"/>
            <w:noWrap w:val="0"/>
            <w:vAlign w:val="center"/>
          </w:tcPr>
          <w:p>
            <w:pPr>
              <w:jc w:val="center"/>
              <w:rPr>
                <w:sz w:val="24"/>
                <w:szCs w:val="24"/>
                <w:highlight w:val="none"/>
              </w:rPr>
            </w:pPr>
            <w:r>
              <w:rPr>
                <w:rFonts w:hint="eastAsia"/>
                <w:sz w:val="24"/>
                <w:szCs w:val="24"/>
                <w:highlight w:val="none"/>
              </w:rPr>
              <w:t>≥</w:t>
            </w:r>
            <w:r>
              <w:rPr>
                <w:rFonts w:hint="eastAsia"/>
                <w:sz w:val="24"/>
                <w:szCs w:val="24"/>
                <w:highlight w:val="none"/>
                <w:lang w:val="en-US" w:eastAsia="zh-CN"/>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28" w:type="dxa"/>
            <w:bottom w:w="11" w:type="dxa"/>
            <w:right w:w="28" w:type="dxa"/>
          </w:tblCellMar>
        </w:tblPrEx>
        <w:trPr>
          <w:cantSplit/>
          <w:trHeight w:val="454" w:hRule="atLeast"/>
          <w:jc w:val="center"/>
        </w:trPr>
        <w:tc>
          <w:tcPr>
            <w:tcW w:w="798" w:type="dxa"/>
            <w:noWrap w:val="0"/>
            <w:vAlign w:val="center"/>
          </w:tcPr>
          <w:p>
            <w:pPr>
              <w:jc w:val="center"/>
              <w:rPr>
                <w:sz w:val="24"/>
                <w:szCs w:val="24"/>
                <w:highlight w:val="none"/>
              </w:rPr>
            </w:pPr>
            <w:r>
              <w:rPr>
                <w:sz w:val="24"/>
                <w:szCs w:val="24"/>
                <w:highlight w:val="none"/>
              </w:rPr>
              <w:t>8</w:t>
            </w:r>
          </w:p>
        </w:tc>
        <w:tc>
          <w:tcPr>
            <w:tcW w:w="5936" w:type="dxa"/>
            <w:noWrap w:val="0"/>
            <w:vAlign w:val="center"/>
          </w:tcPr>
          <w:p>
            <w:pPr>
              <w:rPr>
                <w:i/>
                <w:iCs/>
                <w:sz w:val="24"/>
                <w:szCs w:val="24"/>
                <w:highlight w:val="none"/>
              </w:rPr>
            </w:pPr>
            <w:r>
              <w:rPr>
                <w:rFonts w:hint="default"/>
                <w:i/>
                <w:iCs/>
                <w:sz w:val="24"/>
                <w:szCs w:val="24"/>
                <w:highlight w:val="none"/>
              </w:rPr>
              <w:t>针对本工程的重点、难点和关键部分进行分析并阐明可行的施工组织方案</w:t>
            </w:r>
          </w:p>
        </w:tc>
        <w:tc>
          <w:tcPr>
            <w:tcW w:w="1018" w:type="dxa"/>
            <w:noWrap w:val="0"/>
            <w:vAlign w:val="center"/>
          </w:tcPr>
          <w:p>
            <w:pPr>
              <w:jc w:val="center"/>
              <w:rPr>
                <w:rFonts w:hint="default"/>
                <w:sz w:val="24"/>
                <w:szCs w:val="24"/>
                <w:highlight w:val="none"/>
              </w:rPr>
            </w:pPr>
            <w:r>
              <w:rPr>
                <w:rFonts w:hint="eastAsia"/>
                <w:b/>
                <w:bCs/>
                <w:sz w:val="24"/>
                <w:szCs w:val="24"/>
                <w:highlight w:val="none"/>
                <w:lang w:val="en-US" w:eastAsia="zh-CN"/>
              </w:rPr>
              <w:t>20%-40%</w:t>
            </w:r>
          </w:p>
        </w:tc>
        <w:tc>
          <w:tcPr>
            <w:tcW w:w="1062" w:type="dxa"/>
            <w:noWrap w:val="0"/>
            <w:vAlign w:val="center"/>
          </w:tcPr>
          <w:p>
            <w:pPr>
              <w:jc w:val="center"/>
              <w:rPr>
                <w:sz w:val="24"/>
                <w:szCs w:val="24"/>
                <w:highlight w:val="none"/>
              </w:rPr>
            </w:pPr>
            <w:r>
              <w:rPr>
                <w:rFonts w:hint="eastAsia"/>
                <w:sz w:val="24"/>
                <w:szCs w:val="24"/>
                <w:highlight w:val="none"/>
              </w:rPr>
              <w:t>≥</w:t>
            </w:r>
            <w:r>
              <w:rPr>
                <w:rFonts w:hint="eastAsia"/>
                <w:sz w:val="24"/>
                <w:szCs w:val="24"/>
                <w:highlight w:val="none"/>
                <w:lang w:val="en-US" w:eastAsia="zh-CN"/>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28" w:type="dxa"/>
            <w:bottom w:w="11" w:type="dxa"/>
            <w:right w:w="28" w:type="dxa"/>
          </w:tblCellMar>
        </w:tblPrEx>
        <w:trPr>
          <w:cantSplit/>
          <w:trHeight w:val="454" w:hRule="atLeast"/>
          <w:jc w:val="center"/>
        </w:trPr>
        <w:tc>
          <w:tcPr>
            <w:tcW w:w="798" w:type="dxa"/>
            <w:noWrap w:val="0"/>
            <w:vAlign w:val="center"/>
          </w:tcPr>
          <w:p>
            <w:pPr>
              <w:jc w:val="center"/>
              <w:rPr>
                <w:sz w:val="24"/>
                <w:szCs w:val="24"/>
                <w:highlight w:val="none"/>
              </w:rPr>
            </w:pPr>
            <w:r>
              <w:rPr>
                <w:sz w:val="24"/>
                <w:szCs w:val="24"/>
                <w:highlight w:val="none"/>
              </w:rPr>
              <w:t>9</w:t>
            </w:r>
          </w:p>
        </w:tc>
        <w:tc>
          <w:tcPr>
            <w:tcW w:w="5936" w:type="dxa"/>
            <w:noWrap w:val="0"/>
            <w:vAlign w:val="center"/>
          </w:tcPr>
          <w:p>
            <w:pPr>
              <w:rPr>
                <w:i/>
                <w:iCs/>
                <w:sz w:val="24"/>
                <w:szCs w:val="24"/>
                <w:highlight w:val="none"/>
              </w:rPr>
            </w:pPr>
            <w:r>
              <w:rPr>
                <w:rFonts w:hint="default"/>
                <w:i/>
                <w:iCs/>
                <w:sz w:val="24"/>
                <w:szCs w:val="24"/>
                <w:highlight w:val="none"/>
              </w:rPr>
              <w:t>投标人陈述和答辩（若有）</w:t>
            </w:r>
          </w:p>
        </w:tc>
        <w:tc>
          <w:tcPr>
            <w:tcW w:w="1018" w:type="dxa"/>
            <w:noWrap w:val="0"/>
            <w:vAlign w:val="center"/>
          </w:tcPr>
          <w:p>
            <w:pPr>
              <w:jc w:val="center"/>
              <w:rPr>
                <w:rFonts w:hint="eastAsia"/>
                <w:sz w:val="24"/>
                <w:szCs w:val="24"/>
                <w:highlight w:val="none"/>
              </w:rPr>
            </w:pPr>
            <w:r>
              <w:rPr>
                <w:rFonts w:hint="eastAsia"/>
                <w:sz w:val="24"/>
                <w:szCs w:val="24"/>
                <w:highlight w:val="none"/>
              </w:rPr>
              <w:t>≤</w:t>
            </w:r>
            <w:r>
              <w:rPr>
                <w:rFonts w:hint="eastAsia"/>
                <w:sz w:val="24"/>
                <w:szCs w:val="24"/>
                <w:highlight w:val="none"/>
                <w:lang w:val="en-US" w:eastAsia="zh-CN"/>
              </w:rPr>
              <w:t>20%</w:t>
            </w:r>
          </w:p>
        </w:tc>
        <w:tc>
          <w:tcPr>
            <w:tcW w:w="1062" w:type="dxa"/>
            <w:noWrap w:val="0"/>
            <w:vAlign w:val="center"/>
          </w:tcPr>
          <w:p>
            <w:pPr>
              <w:jc w:val="center"/>
              <w:rPr>
                <w:sz w:val="24"/>
                <w:szCs w:val="24"/>
                <w:highlight w:val="none"/>
              </w:rPr>
            </w:pPr>
            <w:r>
              <w:rPr>
                <w:rFonts w:hint="eastAsia"/>
                <w:sz w:val="24"/>
                <w:szCs w:val="24"/>
                <w:highlight w:val="none"/>
              </w:rPr>
              <w:t>≥</w:t>
            </w:r>
            <w:r>
              <w:rPr>
                <w:rFonts w:hint="eastAsia"/>
                <w:sz w:val="24"/>
                <w:szCs w:val="24"/>
                <w:highlight w:val="none"/>
                <w:lang w:val="en-US" w:eastAsia="zh-CN"/>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28" w:type="dxa"/>
            <w:bottom w:w="11" w:type="dxa"/>
            <w:right w:w="28" w:type="dxa"/>
          </w:tblCellMar>
        </w:tblPrEx>
        <w:trPr>
          <w:cantSplit/>
          <w:trHeight w:val="454" w:hRule="atLeast"/>
          <w:jc w:val="center"/>
        </w:trPr>
        <w:tc>
          <w:tcPr>
            <w:tcW w:w="798" w:type="dxa"/>
            <w:noWrap w:val="0"/>
            <w:vAlign w:val="center"/>
          </w:tcPr>
          <w:p>
            <w:pPr>
              <w:jc w:val="center"/>
              <w:rPr>
                <w:rFonts w:hint="default"/>
                <w:sz w:val="24"/>
                <w:szCs w:val="24"/>
                <w:highlight w:val="none"/>
                <w:lang w:val="en-US" w:eastAsia="zh-CN"/>
              </w:rPr>
            </w:pPr>
            <w:r>
              <w:rPr>
                <w:rFonts w:hint="eastAsia"/>
                <w:sz w:val="24"/>
                <w:szCs w:val="24"/>
                <w:highlight w:val="none"/>
                <w:lang w:val="en-US" w:eastAsia="zh-CN"/>
              </w:rPr>
              <w:t>10</w:t>
            </w:r>
          </w:p>
        </w:tc>
        <w:tc>
          <w:tcPr>
            <w:tcW w:w="5936" w:type="dxa"/>
            <w:noWrap w:val="0"/>
            <w:vAlign w:val="center"/>
          </w:tcPr>
          <w:p>
            <w:pPr>
              <w:rPr>
                <w:rFonts w:hint="eastAsia"/>
                <w:i/>
                <w:iCs/>
                <w:sz w:val="24"/>
                <w:szCs w:val="24"/>
                <w:highlight w:val="none"/>
              </w:rPr>
            </w:pPr>
            <w:r>
              <w:rPr>
                <w:rFonts w:hint="eastAsia"/>
                <w:i/>
                <w:iCs/>
                <w:sz w:val="24"/>
                <w:szCs w:val="24"/>
                <w:highlight w:val="none"/>
                <w:lang w:val="en-US" w:eastAsia="zh-CN"/>
              </w:rPr>
              <w:t>其他</w:t>
            </w:r>
          </w:p>
        </w:tc>
        <w:tc>
          <w:tcPr>
            <w:tcW w:w="1018" w:type="dxa"/>
            <w:noWrap w:val="0"/>
            <w:vAlign w:val="center"/>
          </w:tcPr>
          <w:p>
            <w:pPr>
              <w:jc w:val="center"/>
              <w:rPr>
                <w:rFonts w:hint="eastAsia"/>
                <w:sz w:val="24"/>
                <w:szCs w:val="24"/>
                <w:highlight w:val="none"/>
              </w:rPr>
            </w:pPr>
            <w:r>
              <w:rPr>
                <w:rFonts w:hint="eastAsia"/>
                <w:sz w:val="24"/>
                <w:szCs w:val="24"/>
                <w:highlight w:val="none"/>
              </w:rPr>
              <w:t>≤</w:t>
            </w:r>
            <w:r>
              <w:rPr>
                <w:rFonts w:hint="eastAsia"/>
                <w:sz w:val="24"/>
                <w:szCs w:val="24"/>
                <w:highlight w:val="none"/>
                <w:lang w:val="en-US" w:eastAsia="zh-CN"/>
              </w:rPr>
              <w:t>10%</w:t>
            </w:r>
          </w:p>
        </w:tc>
        <w:tc>
          <w:tcPr>
            <w:tcW w:w="1062" w:type="dxa"/>
            <w:noWrap w:val="0"/>
            <w:vAlign w:val="center"/>
          </w:tcPr>
          <w:p>
            <w:pPr>
              <w:jc w:val="center"/>
              <w:rPr>
                <w:rFonts w:hint="eastAsia"/>
                <w:sz w:val="24"/>
                <w:szCs w:val="24"/>
                <w:highlight w:val="none"/>
              </w:rPr>
            </w:pPr>
            <w:r>
              <w:rPr>
                <w:rFonts w:hint="eastAsia"/>
                <w:sz w:val="24"/>
                <w:szCs w:val="24"/>
                <w:highlight w:val="none"/>
              </w:rPr>
              <w:t>≥</w:t>
            </w:r>
            <w:r>
              <w:rPr>
                <w:rFonts w:hint="eastAsia"/>
                <w:sz w:val="24"/>
                <w:szCs w:val="24"/>
                <w:highlight w:val="none"/>
                <w:lang w:val="en-US" w:eastAsia="zh-CN"/>
              </w:rPr>
              <w:t>70%</w:t>
            </w:r>
          </w:p>
        </w:tc>
      </w:tr>
    </w:tbl>
    <w:p>
      <w:pPr>
        <w:rPr>
          <w:rFonts w:hint="default"/>
          <w:sz w:val="24"/>
          <w:szCs w:val="24"/>
          <w:highlight w:val="none"/>
          <w:lang w:val="en-US" w:eastAsia="zh-CN"/>
        </w:rPr>
      </w:pPr>
      <w:r>
        <w:rPr>
          <w:rFonts w:hint="eastAsia"/>
          <w:b/>
          <w:bCs/>
          <w:sz w:val="24"/>
          <w:szCs w:val="24"/>
          <w:highlight w:val="none"/>
          <w:lang w:eastAsia="zh-CN"/>
        </w:rPr>
        <w:t>注：</w:t>
      </w:r>
      <w:r>
        <w:rPr>
          <w:rFonts w:hint="eastAsia"/>
          <w:sz w:val="24"/>
          <w:szCs w:val="24"/>
          <w:highlight w:val="none"/>
        </w:rPr>
        <w:t>技术标评审通过</w:t>
      </w:r>
      <w:r>
        <w:rPr>
          <w:rFonts w:hint="eastAsia"/>
          <w:sz w:val="24"/>
          <w:szCs w:val="24"/>
          <w:highlight w:val="none"/>
          <w:lang w:val="en-US" w:eastAsia="zh-CN"/>
        </w:rPr>
        <w:t>的但技术标</w:t>
      </w:r>
      <w:r>
        <w:rPr>
          <w:rFonts w:hint="eastAsia"/>
          <w:b/>
          <w:bCs/>
          <w:sz w:val="24"/>
          <w:szCs w:val="24"/>
          <w:highlight w:val="none"/>
          <w:lang w:eastAsia="zh-CN"/>
        </w:rPr>
        <w:t>缺项，</w:t>
      </w:r>
      <w:r>
        <w:rPr>
          <w:rFonts w:hint="eastAsia"/>
          <w:b/>
          <w:bCs/>
          <w:sz w:val="24"/>
          <w:szCs w:val="24"/>
          <w:highlight w:val="none"/>
          <w:lang w:val="en-US" w:eastAsia="zh-CN"/>
        </w:rPr>
        <w:t>该项得0分。</w:t>
      </w:r>
    </w:p>
    <w:p>
      <w:pPr>
        <w:numPr>
          <w:ilvl w:val="0"/>
          <w:numId w:val="3"/>
        </w:numPr>
        <w:snapToGrid w:val="0"/>
        <w:spacing w:line="360" w:lineRule="auto"/>
        <w:ind w:firstLine="482" w:firstLineChars="200"/>
        <w:outlineLvl w:val="2"/>
        <w:rPr>
          <w:rFonts w:hint="eastAsia" w:ascii="Times New Roman" w:hAnsi="Times New Roman"/>
          <w:b/>
          <w:color w:val="auto"/>
          <w:sz w:val="24"/>
          <w:szCs w:val="24"/>
          <w:highlight w:val="none"/>
        </w:rPr>
      </w:pPr>
      <w:r>
        <w:rPr>
          <w:rFonts w:hint="eastAsia" w:ascii="Times New Roman" w:hAnsi="Times New Roman"/>
          <w:b/>
          <w:color w:val="auto"/>
          <w:sz w:val="24"/>
          <w:szCs w:val="24"/>
          <w:highlight w:val="none"/>
        </w:rPr>
        <w:t>投标人资信评分</w:t>
      </w:r>
      <w:r>
        <w:rPr>
          <w:rFonts w:hint="eastAsia" w:ascii="Times New Roman" w:hAnsi="Times New Roman" w:eastAsia="宋体"/>
          <w:b/>
          <w:bCs/>
          <w:color w:val="0000FF"/>
          <w:kern w:val="0"/>
          <w:sz w:val="24"/>
          <w:szCs w:val="24"/>
          <w:highlight w:val="none"/>
          <w:lang w:val="en-US" w:eastAsia="zh-CN"/>
        </w:rPr>
        <w:t>（</w:t>
      </w:r>
      <w:r>
        <w:rPr>
          <w:rFonts w:hint="eastAsia" w:ascii="Times New Roman" w:hAnsi="Times New Roman" w:eastAsia="宋体"/>
          <w:b/>
          <w:bCs/>
          <w:color w:val="0000FF"/>
          <w:kern w:val="0"/>
          <w:sz w:val="24"/>
          <w:szCs w:val="24"/>
          <w:highlight w:val="none"/>
          <w:u w:val="single"/>
          <w:lang w:val="en-US" w:eastAsia="zh-CN"/>
        </w:rPr>
        <w:t xml:space="preserve">    </w:t>
      </w:r>
      <w:r>
        <w:rPr>
          <w:rFonts w:hint="eastAsia" w:ascii="Times New Roman" w:hAnsi="Times New Roman" w:eastAsia="宋体"/>
          <w:b/>
          <w:bCs/>
          <w:color w:val="0000FF"/>
          <w:kern w:val="0"/>
          <w:sz w:val="24"/>
          <w:szCs w:val="24"/>
          <w:highlight w:val="none"/>
          <w:lang w:val="en-US" w:eastAsia="zh-CN"/>
        </w:rPr>
        <w:t>分）</w:t>
      </w:r>
    </w:p>
    <w:p>
      <w:pPr>
        <w:numPr>
          <w:ilvl w:val="0"/>
          <w:numId w:val="0"/>
        </w:numPr>
        <w:snapToGrid w:val="0"/>
        <w:spacing w:line="360" w:lineRule="auto"/>
        <w:outlineLvl w:val="2"/>
        <w:rPr>
          <w:rFonts w:hint="eastAsia" w:ascii="Times New Roman" w:hAnsi="Times New Roman"/>
          <w:b/>
          <w:color w:val="0000FF"/>
          <w:highlight w:val="none"/>
        </w:rPr>
      </w:pPr>
    </w:p>
    <w:p>
      <w:pPr>
        <w:keepNext w:val="0"/>
        <w:keepLines w:val="0"/>
        <w:pageBreakBefore w:val="0"/>
        <w:overflowPunct/>
        <w:topLinePunct w:val="0"/>
        <w:bidi w:val="0"/>
        <w:spacing w:line="240" w:lineRule="auto"/>
        <w:jc w:val="center"/>
        <w:rPr>
          <w:rFonts w:ascii="宋体" w:hAnsi="宋体" w:cs="宋体"/>
          <w:b/>
          <w:i w:val="0"/>
          <w:iCs w:val="0"/>
          <w:color w:val="auto"/>
          <w:sz w:val="24"/>
          <w:szCs w:val="24"/>
          <w:highlight w:val="none"/>
        </w:rPr>
      </w:pPr>
      <w:r>
        <w:rPr>
          <w:rFonts w:hint="eastAsia" w:ascii="宋体" w:hAnsi="宋体" w:cs="宋体"/>
          <w:b/>
          <w:i w:val="0"/>
          <w:iCs w:val="0"/>
          <w:color w:val="auto"/>
          <w:sz w:val="24"/>
          <w:szCs w:val="24"/>
          <w:highlight w:val="none"/>
        </w:rPr>
        <w:t>资信评审因素表</w:t>
      </w:r>
    </w:p>
    <w:tbl>
      <w:tblPr>
        <w:tblStyle w:val="7"/>
        <w:tblW w:w="93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6"/>
        <w:gridCol w:w="4132"/>
        <w:gridCol w:w="1950"/>
        <w:gridCol w:w="1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6" w:type="dxa"/>
            <w:noWrap w:val="0"/>
            <w:vAlign w:val="top"/>
          </w:tcPr>
          <w:p>
            <w:pPr>
              <w:keepNext w:val="0"/>
              <w:keepLines w:val="0"/>
              <w:pageBreakBefore w:val="0"/>
              <w:widowControl/>
              <w:overflowPunct/>
              <w:topLinePunct w:val="0"/>
              <w:bidi w:val="0"/>
              <w:spacing w:line="240" w:lineRule="auto"/>
              <w:jc w:val="center"/>
              <w:rPr>
                <w:rFonts w:ascii="宋体" w:hAnsi="宋体"/>
                <w:b/>
                <w:i/>
                <w:iCs/>
                <w:color w:val="auto"/>
                <w:spacing w:val="-12"/>
                <w:sz w:val="24"/>
                <w:szCs w:val="24"/>
                <w:highlight w:val="none"/>
              </w:rPr>
            </w:pPr>
            <w:r>
              <w:rPr>
                <w:rFonts w:hint="eastAsia" w:ascii="宋体" w:hAnsi="宋体"/>
                <w:b/>
                <w:i/>
                <w:iCs/>
                <w:color w:val="auto"/>
                <w:spacing w:val="-12"/>
                <w:sz w:val="24"/>
                <w:szCs w:val="24"/>
                <w:highlight w:val="none"/>
              </w:rPr>
              <w:t>评审因素</w:t>
            </w:r>
          </w:p>
        </w:tc>
        <w:tc>
          <w:tcPr>
            <w:tcW w:w="6082" w:type="dxa"/>
            <w:gridSpan w:val="2"/>
            <w:noWrap w:val="0"/>
            <w:vAlign w:val="top"/>
          </w:tcPr>
          <w:p>
            <w:pPr>
              <w:keepNext w:val="0"/>
              <w:keepLines w:val="0"/>
              <w:pageBreakBefore w:val="0"/>
              <w:widowControl/>
              <w:overflowPunct/>
              <w:topLinePunct w:val="0"/>
              <w:bidi w:val="0"/>
              <w:spacing w:line="240" w:lineRule="auto"/>
              <w:jc w:val="center"/>
              <w:rPr>
                <w:rFonts w:ascii="宋体" w:hAnsi="宋体"/>
                <w:b/>
                <w:i/>
                <w:iCs/>
                <w:color w:val="auto"/>
                <w:spacing w:val="-12"/>
                <w:sz w:val="24"/>
                <w:szCs w:val="24"/>
                <w:highlight w:val="none"/>
              </w:rPr>
            </w:pPr>
            <w:r>
              <w:rPr>
                <w:rFonts w:hint="eastAsia" w:ascii="宋体" w:hAnsi="宋体"/>
                <w:b/>
                <w:i/>
                <w:iCs/>
                <w:color w:val="auto"/>
                <w:spacing w:val="-12"/>
                <w:sz w:val="24"/>
                <w:szCs w:val="24"/>
                <w:highlight w:val="none"/>
              </w:rPr>
              <w:t>内容</w:t>
            </w:r>
          </w:p>
        </w:tc>
        <w:tc>
          <w:tcPr>
            <w:tcW w:w="1236" w:type="dxa"/>
            <w:noWrap w:val="0"/>
            <w:vAlign w:val="top"/>
          </w:tcPr>
          <w:p>
            <w:pPr>
              <w:keepNext w:val="0"/>
              <w:keepLines w:val="0"/>
              <w:pageBreakBefore w:val="0"/>
              <w:widowControl/>
              <w:overflowPunct/>
              <w:topLinePunct w:val="0"/>
              <w:bidi w:val="0"/>
              <w:spacing w:line="240" w:lineRule="auto"/>
              <w:jc w:val="center"/>
              <w:rPr>
                <w:rFonts w:hint="default" w:ascii="宋体" w:hAnsi="宋体" w:eastAsia="宋体"/>
                <w:b/>
                <w:i/>
                <w:iCs/>
                <w:color w:val="auto"/>
                <w:spacing w:val="-12"/>
                <w:sz w:val="24"/>
                <w:szCs w:val="24"/>
                <w:highlight w:val="none"/>
                <w:lang w:val="en-US" w:eastAsia="zh-CN"/>
              </w:rPr>
            </w:pPr>
            <w:r>
              <w:rPr>
                <w:rFonts w:hint="eastAsia" w:ascii="宋体" w:hAnsi="宋体"/>
                <w:b/>
                <w:i/>
                <w:iCs/>
                <w:color w:val="auto"/>
                <w:spacing w:val="-12"/>
                <w:sz w:val="24"/>
                <w:szCs w:val="24"/>
                <w:highlight w:val="none"/>
                <w:lang w:val="en-US" w:eastAsia="zh-CN"/>
              </w:rPr>
              <w:t>分值权重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0" w:hRule="atLeast"/>
          <w:jc w:val="center"/>
        </w:trPr>
        <w:tc>
          <w:tcPr>
            <w:tcW w:w="1986" w:type="dxa"/>
            <w:vMerge w:val="restart"/>
            <w:noWrap w:val="0"/>
            <w:vAlign w:val="center"/>
          </w:tcPr>
          <w:p>
            <w:pPr>
              <w:keepNext w:val="0"/>
              <w:keepLines w:val="0"/>
              <w:pageBreakBefore w:val="0"/>
              <w:widowControl/>
              <w:overflowPunct/>
              <w:topLinePunct w:val="0"/>
              <w:bidi w:val="0"/>
              <w:spacing w:line="240" w:lineRule="auto"/>
              <w:rPr>
                <w:rFonts w:ascii="宋体" w:hAnsi="宋体"/>
                <w:i/>
                <w:iCs/>
                <w:color w:val="auto"/>
                <w:spacing w:val="-12"/>
                <w:sz w:val="24"/>
                <w:szCs w:val="24"/>
                <w:highlight w:val="none"/>
              </w:rPr>
            </w:pPr>
            <w:r>
              <w:rPr>
                <w:rFonts w:hint="eastAsia" w:ascii="宋体" w:hAnsi="宋体"/>
                <w:i w:val="0"/>
                <w:iCs w:val="0"/>
                <w:color w:val="auto"/>
                <w:spacing w:val="-12"/>
                <w:sz w:val="24"/>
                <w:szCs w:val="24"/>
                <w:highlight w:val="none"/>
              </w:rPr>
              <w:t>类似工程业绩</w:t>
            </w:r>
          </w:p>
        </w:tc>
        <w:tc>
          <w:tcPr>
            <w:tcW w:w="4132" w:type="dxa"/>
            <w:noWrap w:val="0"/>
            <w:vAlign w:val="center"/>
          </w:tcPr>
          <w:p>
            <w:pPr>
              <w:tabs>
                <w:tab w:val="left" w:pos="9360"/>
              </w:tabs>
              <w:rPr>
                <w:rFonts w:ascii="Times New Roman" w:hAnsi="Times New Roman"/>
                <w:kern w:val="0"/>
                <w:sz w:val="24"/>
                <w:szCs w:val="24"/>
                <w:highlight w:val="none"/>
              </w:rPr>
            </w:pPr>
            <w:r>
              <w:rPr>
                <w:rFonts w:hint="eastAsia" w:ascii="宋体" w:hAnsi="宋体"/>
                <w:i w:val="0"/>
                <w:iCs w:val="0"/>
                <w:color w:val="auto"/>
                <w:spacing w:val="-12"/>
                <w:sz w:val="24"/>
                <w:szCs w:val="24"/>
                <w:highlight w:val="none"/>
              </w:rPr>
              <w:t>企业业绩</w:t>
            </w:r>
            <w:r>
              <w:rPr>
                <w:rFonts w:hint="eastAsia" w:ascii="宋体" w:hAnsi="宋体"/>
                <w:i w:val="0"/>
                <w:iCs w:val="0"/>
                <w:color w:val="auto"/>
                <w:spacing w:val="-12"/>
                <w:sz w:val="24"/>
                <w:szCs w:val="24"/>
                <w:highlight w:val="none"/>
                <w:lang w:eastAsia="zh-CN"/>
              </w:rPr>
              <w:t>：</w:t>
            </w:r>
            <w:r>
              <w:rPr>
                <w:rFonts w:hint="eastAsia" w:ascii="宋体" w:hAnsi="宋体"/>
                <w:i w:val="0"/>
                <w:iCs w:val="0"/>
                <w:color w:val="0000FF"/>
                <w:spacing w:val="-12"/>
                <w:sz w:val="24"/>
                <w:szCs w:val="24"/>
                <w:highlight w:val="none"/>
                <w:u w:val="single"/>
                <w:lang w:val="en-US" w:eastAsia="zh-CN"/>
              </w:rPr>
              <w:t xml:space="preserve">    年   月   日</w:t>
            </w:r>
            <w:r>
              <w:rPr>
                <w:rFonts w:hint="eastAsia" w:ascii="Times New Roman" w:hAnsi="Times New Roman"/>
                <w:kern w:val="0"/>
                <w:sz w:val="24"/>
                <w:szCs w:val="24"/>
                <w:highlight w:val="none"/>
              </w:rPr>
              <w:t>至今，投标人人完成过类似</w:t>
            </w:r>
            <w:r>
              <w:rPr>
                <w:rFonts w:hint="eastAsia" w:ascii="Times New Roman" w:hAnsi="Times New Roman"/>
                <w:kern w:val="0"/>
                <w:sz w:val="24"/>
                <w:szCs w:val="24"/>
                <w:highlight w:val="none"/>
                <w:lang w:eastAsia="zh-CN"/>
              </w:rPr>
              <w:t>工程</w:t>
            </w:r>
            <w:r>
              <w:rPr>
                <w:rFonts w:hint="eastAsia" w:ascii="Times New Roman" w:hAnsi="Times New Roman"/>
                <w:kern w:val="0"/>
                <w:sz w:val="24"/>
                <w:szCs w:val="24"/>
                <w:highlight w:val="none"/>
              </w:rPr>
              <w:t>。</w:t>
            </w:r>
          </w:p>
          <w:p>
            <w:pPr>
              <w:keepNext w:val="0"/>
              <w:keepLines w:val="0"/>
              <w:pageBreakBefore w:val="0"/>
              <w:widowControl/>
              <w:overflowPunct/>
              <w:topLinePunct w:val="0"/>
              <w:bidi w:val="0"/>
              <w:spacing w:line="240" w:lineRule="auto"/>
              <w:rPr>
                <w:rFonts w:hint="default" w:ascii="宋体" w:hAnsi="宋体" w:eastAsia="宋体"/>
                <w:i/>
                <w:iCs/>
                <w:color w:val="auto"/>
                <w:spacing w:val="-12"/>
                <w:sz w:val="24"/>
                <w:szCs w:val="24"/>
                <w:highlight w:val="none"/>
                <w:u w:val="single"/>
                <w:lang w:val="en-US" w:eastAsia="zh-CN"/>
              </w:rPr>
            </w:pPr>
            <w:r>
              <w:rPr>
                <w:rFonts w:hint="eastAsia" w:ascii="Times New Roman" w:hAnsi="Times New Roman"/>
                <w:kern w:val="0"/>
                <w:sz w:val="24"/>
                <w:szCs w:val="24"/>
                <w:highlight w:val="none"/>
              </w:rPr>
              <w:t>类似</w:t>
            </w:r>
            <w:r>
              <w:rPr>
                <w:rFonts w:hint="eastAsia" w:ascii="Times New Roman" w:hAnsi="Times New Roman"/>
                <w:kern w:val="0"/>
                <w:sz w:val="24"/>
                <w:szCs w:val="24"/>
                <w:highlight w:val="none"/>
                <w:lang w:eastAsia="zh-CN"/>
              </w:rPr>
              <w:t>工程</w:t>
            </w:r>
            <w:r>
              <w:rPr>
                <w:rFonts w:hint="eastAsia" w:ascii="Times New Roman" w:hAnsi="Times New Roman"/>
                <w:kern w:val="0"/>
                <w:sz w:val="24"/>
                <w:szCs w:val="24"/>
                <w:highlight w:val="none"/>
              </w:rPr>
              <w:t>指：</w:t>
            </w:r>
            <w:r>
              <w:rPr>
                <w:rFonts w:hint="eastAsia" w:ascii="Times New Roman" w:hAnsi="Times New Roman"/>
                <w:color w:val="0000FF"/>
                <w:kern w:val="0"/>
                <w:sz w:val="24"/>
                <w:szCs w:val="24"/>
                <w:highlight w:val="none"/>
                <w:u w:val="single"/>
                <w:lang w:val="en-US" w:eastAsia="zh-CN"/>
              </w:rPr>
              <w:t xml:space="preserve">         ；</w:t>
            </w:r>
          </w:p>
        </w:tc>
        <w:tc>
          <w:tcPr>
            <w:tcW w:w="1950" w:type="dxa"/>
            <w:noWrap w:val="0"/>
            <w:vAlign w:val="center"/>
          </w:tcPr>
          <w:p>
            <w:pPr>
              <w:keepNext w:val="0"/>
              <w:keepLines w:val="0"/>
              <w:pageBreakBefore w:val="0"/>
              <w:widowControl/>
              <w:overflowPunct/>
              <w:topLinePunct w:val="0"/>
              <w:bidi w:val="0"/>
              <w:spacing w:line="240" w:lineRule="auto"/>
              <w:rPr>
                <w:rFonts w:hint="eastAsia" w:ascii="Times New Roman" w:hAnsi="Times New Roman"/>
                <w:kern w:val="0"/>
                <w:sz w:val="24"/>
                <w:szCs w:val="24"/>
                <w:highlight w:val="none"/>
              </w:rPr>
            </w:pPr>
            <w:r>
              <w:rPr>
                <w:rFonts w:hint="eastAsia" w:ascii="Times New Roman" w:hAnsi="Times New Roman"/>
                <w:kern w:val="0"/>
                <w:sz w:val="24"/>
                <w:szCs w:val="24"/>
                <w:highlight w:val="none"/>
              </w:rPr>
              <w:t>达到招标项目相应规模</w:t>
            </w:r>
            <w:r>
              <w:rPr>
                <w:rFonts w:ascii="Times New Roman" w:hAnsi="Times New Roman"/>
                <w:kern w:val="0"/>
                <w:sz w:val="24"/>
                <w:szCs w:val="24"/>
                <w:highlight w:val="none"/>
              </w:rPr>
              <w:t>80%</w:t>
            </w:r>
            <w:r>
              <w:rPr>
                <w:rFonts w:hint="eastAsia" w:ascii="Times New Roman" w:hAnsi="Times New Roman"/>
                <w:kern w:val="0"/>
                <w:sz w:val="24"/>
                <w:szCs w:val="24"/>
                <w:highlight w:val="none"/>
              </w:rPr>
              <w:t>，得</w:t>
            </w:r>
            <w:r>
              <w:rPr>
                <w:rFonts w:ascii="Times New Roman" w:hAnsi="Times New Roman"/>
                <w:kern w:val="0"/>
                <w:sz w:val="24"/>
                <w:szCs w:val="24"/>
                <w:highlight w:val="none"/>
              </w:rPr>
              <w:t>2</w:t>
            </w:r>
            <w:r>
              <w:rPr>
                <w:rFonts w:hint="eastAsia" w:ascii="Times New Roman" w:hAnsi="Times New Roman"/>
                <w:kern w:val="0"/>
                <w:sz w:val="24"/>
                <w:szCs w:val="24"/>
                <w:highlight w:val="none"/>
              </w:rPr>
              <w:t>分</w:t>
            </w:r>
          </w:p>
        </w:tc>
        <w:tc>
          <w:tcPr>
            <w:tcW w:w="1236" w:type="dxa"/>
            <w:noWrap w:val="0"/>
            <w:vAlign w:val="center"/>
          </w:tcPr>
          <w:p>
            <w:pPr>
              <w:keepNext w:val="0"/>
              <w:keepLines w:val="0"/>
              <w:pageBreakBefore w:val="0"/>
              <w:widowControl/>
              <w:overflowPunct/>
              <w:topLinePunct w:val="0"/>
              <w:bidi w:val="0"/>
              <w:spacing w:line="240" w:lineRule="auto"/>
              <w:jc w:val="center"/>
              <w:rPr>
                <w:rFonts w:ascii="宋体" w:hAnsi="宋体"/>
                <w:i/>
                <w:iCs/>
                <w:color w:val="auto"/>
                <w:spacing w:val="-12"/>
                <w:sz w:val="24"/>
                <w:szCs w:val="24"/>
                <w:highlight w:val="none"/>
              </w:rPr>
            </w:pPr>
            <w:r>
              <w:rPr>
                <w:rFonts w:hint="eastAsia" w:ascii="宋体" w:hAnsi="宋体" w:cs="Arial"/>
                <w:i/>
                <w:iCs/>
                <w:color w:val="auto"/>
                <w:sz w:val="24"/>
                <w:szCs w:val="24"/>
                <w:highlight w:val="none"/>
                <w:lang w:val="en-US" w:eastAsia="zh-CN"/>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986" w:type="dxa"/>
            <w:vMerge w:val="continue"/>
            <w:noWrap w:val="0"/>
            <w:vAlign w:val="center"/>
          </w:tcPr>
          <w:p>
            <w:pPr>
              <w:keepNext w:val="0"/>
              <w:keepLines w:val="0"/>
              <w:pageBreakBefore w:val="0"/>
              <w:widowControl/>
              <w:overflowPunct/>
              <w:topLinePunct w:val="0"/>
              <w:bidi w:val="0"/>
              <w:spacing w:line="240" w:lineRule="auto"/>
              <w:rPr>
                <w:rFonts w:ascii="宋体" w:hAnsi="宋体"/>
                <w:i/>
                <w:iCs/>
                <w:color w:val="auto"/>
                <w:spacing w:val="-12"/>
                <w:sz w:val="24"/>
                <w:szCs w:val="24"/>
                <w:highlight w:val="none"/>
              </w:rPr>
            </w:pPr>
          </w:p>
        </w:tc>
        <w:tc>
          <w:tcPr>
            <w:tcW w:w="6082" w:type="dxa"/>
            <w:gridSpan w:val="2"/>
            <w:noWrap w:val="0"/>
            <w:vAlign w:val="center"/>
          </w:tcPr>
          <w:p>
            <w:pPr>
              <w:keepNext w:val="0"/>
              <w:keepLines w:val="0"/>
              <w:pageBreakBefore w:val="0"/>
              <w:widowControl/>
              <w:overflowPunct/>
              <w:topLinePunct w:val="0"/>
              <w:bidi w:val="0"/>
              <w:spacing w:line="240" w:lineRule="auto"/>
              <w:rPr>
                <w:rFonts w:hint="eastAsia" w:ascii="宋体" w:hAnsi="宋体" w:eastAsia="宋体"/>
                <w:i/>
                <w:iCs/>
                <w:color w:val="auto"/>
                <w:spacing w:val="-12"/>
                <w:sz w:val="24"/>
                <w:szCs w:val="24"/>
                <w:highlight w:val="none"/>
                <w:lang w:eastAsia="zh-CN"/>
              </w:rPr>
            </w:pPr>
            <w:r>
              <w:rPr>
                <w:rFonts w:hint="eastAsia" w:ascii="宋体" w:hAnsi="宋体"/>
                <w:i/>
                <w:iCs/>
                <w:color w:val="auto"/>
                <w:spacing w:val="-12"/>
                <w:sz w:val="24"/>
                <w:szCs w:val="24"/>
                <w:highlight w:val="none"/>
              </w:rPr>
              <w:t>人员业绩</w:t>
            </w:r>
            <w:r>
              <w:rPr>
                <w:rFonts w:hint="eastAsia" w:ascii="宋体" w:hAnsi="宋体"/>
                <w:i/>
                <w:iCs/>
                <w:color w:val="auto"/>
                <w:spacing w:val="-12"/>
                <w:sz w:val="24"/>
                <w:szCs w:val="24"/>
                <w:highlight w:val="none"/>
                <w:lang w:eastAsia="zh-CN"/>
              </w:rPr>
              <w:t>：</w:t>
            </w:r>
          </w:p>
        </w:tc>
        <w:tc>
          <w:tcPr>
            <w:tcW w:w="1236" w:type="dxa"/>
            <w:noWrap w:val="0"/>
            <w:vAlign w:val="center"/>
          </w:tcPr>
          <w:p>
            <w:pPr>
              <w:keepNext w:val="0"/>
              <w:keepLines w:val="0"/>
              <w:pageBreakBefore w:val="0"/>
              <w:widowControl/>
              <w:overflowPunct/>
              <w:topLinePunct w:val="0"/>
              <w:bidi w:val="0"/>
              <w:spacing w:line="240" w:lineRule="auto"/>
              <w:jc w:val="center"/>
              <w:rPr>
                <w:rFonts w:ascii="宋体" w:hAnsi="宋体"/>
                <w:i/>
                <w:iCs/>
                <w:color w:val="auto"/>
                <w:spacing w:val="-12"/>
                <w:sz w:val="24"/>
                <w:szCs w:val="24"/>
                <w:highlight w:val="none"/>
              </w:rPr>
            </w:pPr>
            <w:r>
              <w:rPr>
                <w:rFonts w:hint="eastAsia" w:ascii="宋体" w:hAnsi="宋体" w:cs="宋体"/>
                <w:b/>
                <w:i/>
                <w:iCs/>
                <w:color w:val="auto"/>
                <w:sz w:val="24"/>
                <w:szCs w:val="24"/>
                <w:highlight w:val="none"/>
              </w:rPr>
              <w:t>≤</w:t>
            </w:r>
            <w:r>
              <w:rPr>
                <w:rFonts w:hint="eastAsia" w:ascii="宋体" w:hAnsi="宋体" w:cs="Arial"/>
                <w:i/>
                <w:iCs/>
                <w:color w:val="auto"/>
                <w:sz w:val="24"/>
                <w:szCs w:val="24"/>
                <w:highlight w:val="none"/>
                <w:lang w:val="en-US" w:eastAsia="zh-CN"/>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jc w:val="center"/>
        </w:trPr>
        <w:tc>
          <w:tcPr>
            <w:tcW w:w="1986" w:type="dxa"/>
            <w:vMerge w:val="restart"/>
            <w:noWrap w:val="0"/>
            <w:vAlign w:val="center"/>
          </w:tcPr>
          <w:p>
            <w:pPr>
              <w:keepNext w:val="0"/>
              <w:keepLines w:val="0"/>
              <w:pageBreakBefore w:val="0"/>
              <w:widowControl/>
              <w:overflowPunct/>
              <w:topLinePunct w:val="0"/>
              <w:bidi w:val="0"/>
              <w:spacing w:line="240" w:lineRule="auto"/>
              <w:jc w:val="center"/>
              <w:rPr>
                <w:rFonts w:hint="eastAsia" w:ascii="宋体" w:hAnsi="宋体"/>
                <w:i w:val="0"/>
                <w:iCs w:val="0"/>
                <w:color w:val="auto"/>
                <w:spacing w:val="-12"/>
                <w:sz w:val="24"/>
                <w:szCs w:val="24"/>
                <w:highlight w:val="none"/>
              </w:rPr>
            </w:pPr>
            <w:r>
              <w:rPr>
                <w:rFonts w:hint="eastAsia" w:ascii="宋体" w:hAnsi="宋体"/>
                <w:i w:val="0"/>
                <w:iCs w:val="0"/>
                <w:color w:val="auto"/>
                <w:spacing w:val="-12"/>
                <w:sz w:val="24"/>
                <w:szCs w:val="24"/>
                <w:highlight w:val="none"/>
              </w:rPr>
              <w:t>信用评分</w:t>
            </w:r>
          </w:p>
          <w:p>
            <w:pPr>
              <w:keepNext w:val="0"/>
              <w:keepLines w:val="0"/>
              <w:pageBreakBefore w:val="0"/>
              <w:widowControl/>
              <w:overflowPunct/>
              <w:topLinePunct w:val="0"/>
              <w:bidi w:val="0"/>
              <w:spacing w:line="240" w:lineRule="auto"/>
              <w:rPr>
                <w:rFonts w:hint="eastAsia" w:ascii="宋体" w:hAnsi="宋体" w:eastAsia="宋体"/>
                <w:i w:val="0"/>
                <w:iCs w:val="0"/>
                <w:color w:val="auto"/>
                <w:spacing w:val="-12"/>
                <w:sz w:val="24"/>
                <w:szCs w:val="24"/>
                <w:highlight w:val="none"/>
                <w:lang w:eastAsia="zh-CN"/>
              </w:rPr>
            </w:pPr>
            <w:r>
              <w:rPr>
                <w:rFonts w:hint="eastAsia" w:ascii="宋体" w:hAnsi="宋体"/>
                <w:i w:val="0"/>
                <w:iCs w:val="0"/>
                <w:color w:val="auto"/>
                <w:spacing w:val="-12"/>
                <w:sz w:val="24"/>
                <w:szCs w:val="24"/>
                <w:highlight w:val="none"/>
                <w:lang w:eastAsia="zh-CN"/>
              </w:rPr>
              <w:t>（</w:t>
            </w:r>
            <w:r>
              <w:rPr>
                <w:rFonts w:hint="eastAsia" w:ascii="Times New Roman" w:hAnsi="Times New Roman"/>
                <w:kern w:val="0"/>
                <w:sz w:val="24"/>
                <w:szCs w:val="24"/>
                <w:highlight w:val="none"/>
              </w:rPr>
              <w:t>评标委员会通过审查投标人投标文件递交的材料对投标人进行信用打分</w:t>
            </w:r>
            <w:r>
              <w:rPr>
                <w:rFonts w:hint="eastAsia" w:ascii="宋体" w:hAnsi="宋体"/>
                <w:i w:val="0"/>
                <w:iCs w:val="0"/>
                <w:color w:val="auto"/>
                <w:spacing w:val="-12"/>
                <w:sz w:val="24"/>
                <w:szCs w:val="24"/>
                <w:highlight w:val="none"/>
                <w:lang w:eastAsia="zh-CN"/>
              </w:rPr>
              <w:t>）</w:t>
            </w:r>
          </w:p>
        </w:tc>
        <w:tc>
          <w:tcPr>
            <w:tcW w:w="6082" w:type="dxa"/>
            <w:gridSpan w:val="2"/>
            <w:noWrap w:val="0"/>
            <w:vAlign w:val="center"/>
          </w:tcPr>
          <w:p>
            <w:pPr>
              <w:keepNext w:val="0"/>
              <w:keepLines w:val="0"/>
              <w:pageBreakBefore w:val="0"/>
              <w:widowControl/>
              <w:overflowPunct/>
              <w:topLinePunct w:val="0"/>
              <w:bidi w:val="0"/>
              <w:spacing w:line="240" w:lineRule="auto"/>
              <w:rPr>
                <w:rFonts w:hint="default" w:ascii="宋体" w:hAnsi="宋体" w:eastAsia="宋体"/>
                <w:i w:val="0"/>
                <w:iCs w:val="0"/>
                <w:color w:val="auto"/>
                <w:spacing w:val="-12"/>
                <w:sz w:val="24"/>
                <w:szCs w:val="24"/>
                <w:highlight w:val="none"/>
                <w:lang w:val="en-US" w:eastAsia="zh-CN"/>
              </w:rPr>
            </w:pPr>
            <w:r>
              <w:rPr>
                <w:rFonts w:hint="eastAsia" w:ascii="Times New Roman" w:hAnsi="Times New Roman"/>
                <w:kern w:val="0"/>
                <w:sz w:val="24"/>
                <w:szCs w:val="24"/>
                <w:highlight w:val="none"/>
              </w:rPr>
              <w:t>（</w:t>
            </w:r>
            <w:r>
              <w:rPr>
                <w:rFonts w:ascii="Times New Roman" w:hAnsi="Times New Roman"/>
                <w:kern w:val="0"/>
                <w:sz w:val="24"/>
                <w:szCs w:val="24"/>
                <w:highlight w:val="none"/>
              </w:rPr>
              <w:t>a</w:t>
            </w:r>
            <w:r>
              <w:rPr>
                <w:rFonts w:hint="eastAsia" w:ascii="Times New Roman" w:hAnsi="Times New Roman"/>
                <w:kern w:val="0"/>
                <w:sz w:val="24"/>
                <w:szCs w:val="24"/>
                <w:highlight w:val="none"/>
              </w:rPr>
              <w:t>）投标人或参与本项目投标的项目负责人在投标截止时间有公布期的建筑市场不良信用信息的扣</w:t>
            </w:r>
            <w:r>
              <w:rPr>
                <w:rFonts w:hint="eastAsia" w:ascii="Times New Roman" w:hAnsi="Times New Roman"/>
                <w:kern w:val="0"/>
                <w:sz w:val="24"/>
                <w:szCs w:val="24"/>
                <w:highlight w:val="none"/>
                <w:lang w:val="en-US" w:eastAsia="zh-CN"/>
              </w:rPr>
              <w:t>3</w:t>
            </w:r>
            <w:r>
              <w:rPr>
                <w:rFonts w:hint="eastAsia" w:ascii="Times New Roman" w:hAnsi="Times New Roman"/>
                <w:kern w:val="0"/>
                <w:sz w:val="24"/>
                <w:szCs w:val="24"/>
                <w:highlight w:val="none"/>
              </w:rPr>
              <w:t>分。（建筑市场不良信用信息以县（区）级及以上建设行政管理部门发布的信息为准）</w:t>
            </w:r>
          </w:p>
        </w:tc>
        <w:tc>
          <w:tcPr>
            <w:tcW w:w="1236" w:type="dxa"/>
            <w:vMerge w:val="restart"/>
            <w:noWrap w:val="0"/>
            <w:vAlign w:val="center"/>
          </w:tcPr>
          <w:p>
            <w:pPr>
              <w:keepNext w:val="0"/>
              <w:keepLines w:val="0"/>
              <w:pageBreakBefore w:val="0"/>
              <w:widowControl/>
              <w:overflowPunct/>
              <w:topLinePunct w:val="0"/>
              <w:bidi w:val="0"/>
              <w:spacing w:line="240" w:lineRule="auto"/>
              <w:jc w:val="center"/>
              <w:rPr>
                <w:rFonts w:hint="default" w:ascii="宋体" w:hAnsi="宋体" w:eastAsia="宋体"/>
                <w:i/>
                <w:iCs/>
                <w:color w:val="auto"/>
                <w:spacing w:val="-12"/>
                <w:sz w:val="24"/>
                <w:szCs w:val="24"/>
                <w:highlight w:val="none"/>
                <w:lang w:val="en-US" w:eastAsia="zh-CN"/>
              </w:rPr>
            </w:pPr>
            <w:r>
              <w:rPr>
                <w:rFonts w:hint="eastAsia" w:ascii="宋体" w:hAnsi="宋体" w:cs="Arial"/>
                <w:i/>
                <w:iCs/>
                <w:color w:val="auto"/>
                <w:sz w:val="24"/>
                <w:szCs w:val="24"/>
                <w:highlight w:val="none"/>
                <w:lang w:val="en-US" w:eastAsia="zh-CN"/>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5" w:hRule="atLeast"/>
          <w:jc w:val="center"/>
        </w:trPr>
        <w:tc>
          <w:tcPr>
            <w:tcW w:w="1986" w:type="dxa"/>
            <w:vMerge w:val="continue"/>
            <w:noWrap w:val="0"/>
            <w:vAlign w:val="center"/>
          </w:tcPr>
          <w:p>
            <w:pPr>
              <w:keepNext w:val="0"/>
              <w:keepLines w:val="0"/>
              <w:pageBreakBefore w:val="0"/>
              <w:widowControl/>
              <w:overflowPunct/>
              <w:topLinePunct w:val="0"/>
              <w:bidi w:val="0"/>
              <w:spacing w:line="240" w:lineRule="auto"/>
              <w:rPr>
                <w:sz w:val="24"/>
                <w:szCs w:val="24"/>
                <w:highlight w:val="none"/>
              </w:rPr>
            </w:pPr>
          </w:p>
        </w:tc>
        <w:tc>
          <w:tcPr>
            <w:tcW w:w="6082" w:type="dxa"/>
            <w:gridSpan w:val="2"/>
            <w:noWrap w:val="0"/>
            <w:vAlign w:val="center"/>
          </w:tcPr>
          <w:p>
            <w:pPr>
              <w:keepNext w:val="0"/>
              <w:keepLines w:val="0"/>
              <w:pageBreakBefore w:val="0"/>
              <w:widowControl/>
              <w:overflowPunct/>
              <w:topLinePunct w:val="0"/>
              <w:bidi w:val="0"/>
              <w:spacing w:line="240" w:lineRule="auto"/>
              <w:rPr>
                <w:rFonts w:hint="eastAsia" w:ascii="Times New Roman" w:hAnsi="Times New Roman"/>
                <w:kern w:val="0"/>
                <w:sz w:val="24"/>
                <w:szCs w:val="24"/>
                <w:highlight w:val="none"/>
              </w:rPr>
            </w:pPr>
            <w:r>
              <w:rPr>
                <w:rFonts w:hint="eastAsia" w:ascii="Times New Roman" w:hAnsi="Times New Roman"/>
                <w:kern w:val="0"/>
                <w:sz w:val="24"/>
                <w:szCs w:val="24"/>
                <w:highlight w:val="none"/>
              </w:rPr>
              <w:t>（b）投标人或参与本项目投标的项目负责人半年内被县（区）级及以上建设行政管理部门行政处罚的扣</w:t>
            </w:r>
            <w:r>
              <w:rPr>
                <w:rFonts w:hint="eastAsia" w:ascii="Times New Roman" w:hAnsi="Times New Roman"/>
                <w:kern w:val="0"/>
                <w:sz w:val="24"/>
                <w:szCs w:val="24"/>
                <w:highlight w:val="none"/>
                <w:lang w:val="en-US" w:eastAsia="zh-CN"/>
              </w:rPr>
              <w:t>3</w:t>
            </w:r>
            <w:r>
              <w:rPr>
                <w:rFonts w:hint="eastAsia" w:ascii="Times New Roman" w:hAnsi="Times New Roman"/>
                <w:kern w:val="0"/>
                <w:sz w:val="24"/>
                <w:szCs w:val="24"/>
                <w:highlight w:val="none"/>
              </w:rPr>
              <w:t>分。（自投标截止日起上溯半年，以处罚文件发文时间为准。同一事件如已被建设行政管理部门列入不良信用信息进行公示的，以不良信用信息公布的公示期限为准）。</w:t>
            </w:r>
          </w:p>
          <w:p>
            <w:pPr>
              <w:keepNext w:val="0"/>
              <w:keepLines w:val="0"/>
              <w:pageBreakBefore w:val="0"/>
              <w:widowControl/>
              <w:overflowPunct/>
              <w:topLinePunct w:val="0"/>
              <w:bidi w:val="0"/>
              <w:spacing w:line="240" w:lineRule="auto"/>
              <w:rPr>
                <w:rFonts w:hint="eastAsia" w:ascii="Times New Roman" w:hAnsi="Times New Roman"/>
                <w:kern w:val="0"/>
                <w:sz w:val="24"/>
                <w:szCs w:val="24"/>
                <w:highlight w:val="none"/>
              </w:rPr>
            </w:pPr>
            <w:r>
              <w:rPr>
                <w:rFonts w:hint="eastAsia" w:ascii="Times New Roman" w:hAnsi="Times New Roman"/>
                <w:kern w:val="0"/>
                <w:sz w:val="24"/>
                <w:szCs w:val="24"/>
                <w:highlight w:val="none"/>
              </w:rPr>
              <w:t>被县（区）级及以上相关管理部门行政处罚的，应按照《舟山市住房和城乡建设局关于 适用&lt;舟山市房屋建筑和市政基础设施施工总承包评标办法&gt;有关条款解释的通知》执行。</w:t>
            </w:r>
          </w:p>
        </w:tc>
        <w:tc>
          <w:tcPr>
            <w:tcW w:w="1236" w:type="dxa"/>
            <w:vMerge w:val="continue"/>
            <w:noWrap w:val="0"/>
            <w:vAlign w:val="center"/>
          </w:tcPr>
          <w:p>
            <w:pPr>
              <w:keepNext w:val="0"/>
              <w:keepLines w:val="0"/>
              <w:pageBreakBefore w:val="0"/>
              <w:widowControl/>
              <w:overflowPunct/>
              <w:topLinePunct w:val="0"/>
              <w:bidi w:val="0"/>
              <w:spacing w:line="240" w:lineRule="auto"/>
              <w:rPr>
                <w:rFonts w:hint="eastAsia" w:ascii="Times New Roman" w:hAnsi="Times New Roman"/>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1986" w:type="dxa"/>
            <w:vMerge w:val="continue"/>
            <w:noWrap w:val="0"/>
            <w:vAlign w:val="center"/>
          </w:tcPr>
          <w:p>
            <w:pPr>
              <w:keepNext w:val="0"/>
              <w:keepLines w:val="0"/>
              <w:pageBreakBefore w:val="0"/>
              <w:widowControl/>
              <w:overflowPunct/>
              <w:topLinePunct w:val="0"/>
              <w:bidi w:val="0"/>
              <w:spacing w:line="240" w:lineRule="auto"/>
              <w:rPr>
                <w:rFonts w:hint="eastAsia" w:ascii="宋体" w:hAnsi="宋体"/>
                <w:i w:val="0"/>
                <w:iCs w:val="0"/>
                <w:color w:val="auto"/>
                <w:spacing w:val="-12"/>
                <w:sz w:val="24"/>
                <w:szCs w:val="24"/>
                <w:highlight w:val="none"/>
              </w:rPr>
            </w:pPr>
          </w:p>
        </w:tc>
        <w:tc>
          <w:tcPr>
            <w:tcW w:w="6082" w:type="dxa"/>
            <w:gridSpan w:val="2"/>
            <w:noWrap w:val="0"/>
            <w:vAlign w:val="center"/>
          </w:tcPr>
          <w:p>
            <w:pPr>
              <w:keepNext w:val="0"/>
              <w:keepLines w:val="0"/>
              <w:pageBreakBefore w:val="0"/>
              <w:widowControl/>
              <w:overflowPunct/>
              <w:topLinePunct w:val="0"/>
              <w:bidi w:val="0"/>
              <w:spacing w:line="240" w:lineRule="auto"/>
              <w:rPr>
                <w:rFonts w:hint="eastAsia" w:ascii="宋体" w:hAnsi="宋体"/>
                <w:i/>
                <w:iCs/>
                <w:color w:val="auto"/>
                <w:sz w:val="24"/>
                <w:szCs w:val="24"/>
                <w:highlight w:val="none"/>
                <w:u w:val="single"/>
              </w:rPr>
            </w:pPr>
            <w:r>
              <w:rPr>
                <w:rFonts w:hint="eastAsia" w:ascii="Times New Roman" w:hAnsi="Times New Roman"/>
                <w:kern w:val="0"/>
                <w:sz w:val="24"/>
                <w:szCs w:val="24"/>
                <w:highlight w:val="none"/>
              </w:rPr>
              <w:t>根据项目负责人的信用等级进行打分（此项待项目负责人信用评价细则出台后实施，未实施前均得满分）</w:t>
            </w:r>
          </w:p>
        </w:tc>
        <w:tc>
          <w:tcPr>
            <w:tcW w:w="1236" w:type="dxa"/>
            <w:noWrap w:val="0"/>
            <w:vAlign w:val="center"/>
          </w:tcPr>
          <w:p>
            <w:pPr>
              <w:keepNext w:val="0"/>
              <w:keepLines w:val="0"/>
              <w:pageBreakBefore w:val="0"/>
              <w:widowControl/>
              <w:overflowPunct/>
              <w:topLinePunct w:val="0"/>
              <w:bidi w:val="0"/>
              <w:spacing w:line="240" w:lineRule="auto"/>
              <w:jc w:val="center"/>
              <w:rPr>
                <w:rFonts w:hint="eastAsia" w:ascii="宋体" w:hAnsi="宋体" w:cs="Arial"/>
                <w:i/>
                <w:iCs/>
                <w:color w:val="auto"/>
                <w:sz w:val="24"/>
                <w:szCs w:val="24"/>
                <w:highlight w:val="none"/>
                <w:lang w:val="en-US" w:eastAsia="zh-CN"/>
              </w:rPr>
            </w:pPr>
            <w:r>
              <w:rPr>
                <w:rFonts w:hint="eastAsia" w:ascii="宋体" w:hAnsi="宋体" w:cs="Arial"/>
                <w:i/>
                <w:iCs/>
                <w:color w:val="auto"/>
                <w:sz w:val="24"/>
                <w:szCs w:val="24"/>
                <w:highlight w:val="none"/>
                <w:lang w:val="en-US" w:eastAsia="zh-CN"/>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6" w:type="dxa"/>
            <w:noWrap w:val="0"/>
            <w:vAlign w:val="center"/>
          </w:tcPr>
          <w:p>
            <w:pPr>
              <w:keepNext w:val="0"/>
              <w:keepLines w:val="0"/>
              <w:pageBreakBefore w:val="0"/>
              <w:widowControl/>
              <w:overflowPunct/>
              <w:topLinePunct w:val="0"/>
              <w:bidi w:val="0"/>
              <w:spacing w:line="240" w:lineRule="auto"/>
              <w:rPr>
                <w:rFonts w:ascii="宋体" w:hAnsi="宋体"/>
                <w:i/>
                <w:iCs/>
                <w:color w:val="auto"/>
                <w:spacing w:val="-12"/>
                <w:sz w:val="24"/>
                <w:szCs w:val="24"/>
                <w:highlight w:val="none"/>
              </w:rPr>
            </w:pPr>
            <w:r>
              <w:rPr>
                <w:rFonts w:hint="eastAsia" w:ascii="宋体" w:hAnsi="宋体"/>
                <w:i/>
                <w:iCs/>
                <w:color w:val="auto"/>
                <w:spacing w:val="-12"/>
                <w:sz w:val="24"/>
                <w:szCs w:val="24"/>
                <w:highlight w:val="none"/>
                <w:lang w:val="en-US" w:eastAsia="zh-CN"/>
              </w:rPr>
              <w:t>拟派</w:t>
            </w:r>
            <w:r>
              <w:rPr>
                <w:rFonts w:hint="eastAsia" w:ascii="宋体" w:hAnsi="宋体"/>
                <w:i/>
                <w:iCs/>
                <w:color w:val="auto"/>
                <w:spacing w:val="-12"/>
                <w:sz w:val="24"/>
                <w:szCs w:val="24"/>
                <w:highlight w:val="none"/>
              </w:rPr>
              <w:t>项目负责人及项目管理班子人员能力</w:t>
            </w:r>
          </w:p>
        </w:tc>
        <w:tc>
          <w:tcPr>
            <w:tcW w:w="6082" w:type="dxa"/>
            <w:gridSpan w:val="2"/>
            <w:noWrap w:val="0"/>
            <w:vAlign w:val="center"/>
          </w:tcPr>
          <w:p>
            <w:pPr>
              <w:keepNext w:val="0"/>
              <w:keepLines w:val="0"/>
              <w:pageBreakBefore w:val="0"/>
              <w:widowControl/>
              <w:overflowPunct/>
              <w:topLinePunct w:val="0"/>
              <w:bidi w:val="0"/>
              <w:spacing w:line="240" w:lineRule="auto"/>
              <w:rPr>
                <w:rFonts w:hint="eastAsia" w:ascii="宋体" w:hAnsi="宋体"/>
                <w:i/>
                <w:iCs/>
                <w:color w:val="auto"/>
                <w:spacing w:val="-12"/>
                <w:sz w:val="24"/>
                <w:szCs w:val="24"/>
                <w:highlight w:val="none"/>
              </w:rPr>
            </w:pPr>
            <w:r>
              <w:rPr>
                <w:rFonts w:hint="eastAsia" w:ascii="宋体" w:hAnsi="宋体"/>
                <w:i/>
                <w:iCs/>
                <w:color w:val="auto"/>
                <w:spacing w:val="-12"/>
                <w:sz w:val="24"/>
                <w:szCs w:val="24"/>
                <w:highlight w:val="none"/>
              </w:rPr>
              <w:t>项目管理班子专业能力配备情况，项目负责人及</w:t>
            </w:r>
            <w:r>
              <w:rPr>
                <w:rFonts w:ascii="宋体" w:hAnsi="宋体"/>
                <w:i/>
                <w:iCs/>
                <w:color w:val="auto"/>
                <w:spacing w:val="-12"/>
                <w:sz w:val="24"/>
                <w:szCs w:val="24"/>
                <w:highlight w:val="none"/>
              </w:rPr>
              <w:t>各专业负责人</w:t>
            </w:r>
            <w:r>
              <w:rPr>
                <w:rFonts w:hint="eastAsia" w:ascii="宋体" w:hAnsi="宋体"/>
                <w:i/>
                <w:iCs/>
                <w:color w:val="auto"/>
                <w:spacing w:val="-12"/>
                <w:sz w:val="24"/>
                <w:szCs w:val="24"/>
                <w:highlight w:val="none"/>
              </w:rPr>
              <w:t>执业资格、</w:t>
            </w:r>
            <w:r>
              <w:rPr>
                <w:rFonts w:hint="eastAsia" w:ascii="宋体" w:hAnsi="宋体"/>
                <w:i/>
                <w:iCs/>
                <w:color w:val="auto"/>
                <w:spacing w:val="-12"/>
                <w:sz w:val="24"/>
                <w:szCs w:val="24"/>
                <w:highlight w:val="none"/>
                <w:lang w:eastAsia="zh-CN"/>
              </w:rPr>
              <w:t>执业</w:t>
            </w:r>
            <w:r>
              <w:rPr>
                <w:rFonts w:hint="eastAsia" w:ascii="宋体" w:hAnsi="宋体"/>
                <w:i/>
                <w:iCs/>
                <w:color w:val="auto"/>
                <w:spacing w:val="-12"/>
                <w:sz w:val="24"/>
                <w:szCs w:val="24"/>
                <w:highlight w:val="none"/>
              </w:rPr>
              <w:t>年限、职称，</w:t>
            </w:r>
            <w:r>
              <w:rPr>
                <w:rFonts w:ascii="宋体" w:hAnsi="宋体"/>
                <w:i/>
                <w:iCs/>
                <w:color w:val="auto"/>
                <w:spacing w:val="-12"/>
                <w:sz w:val="24"/>
                <w:szCs w:val="24"/>
                <w:highlight w:val="none"/>
              </w:rPr>
              <w:t>其他主要人员资格</w:t>
            </w:r>
            <w:r>
              <w:rPr>
                <w:rFonts w:hint="eastAsia" w:ascii="宋体" w:hAnsi="宋体"/>
                <w:i/>
                <w:iCs/>
                <w:color w:val="auto"/>
                <w:spacing w:val="-12"/>
                <w:sz w:val="24"/>
                <w:szCs w:val="24"/>
                <w:highlight w:val="none"/>
              </w:rPr>
              <w:t>等综合情况要求</w:t>
            </w:r>
            <w:r>
              <w:rPr>
                <w:rFonts w:hint="eastAsia" w:ascii="宋体" w:hAnsi="宋体"/>
                <w:i/>
                <w:iCs/>
                <w:color w:val="auto"/>
                <w:spacing w:val="-12"/>
                <w:sz w:val="24"/>
                <w:szCs w:val="24"/>
                <w:highlight w:val="none"/>
                <w:lang w:eastAsia="zh-CN"/>
              </w:rPr>
              <w:t>。</w:t>
            </w:r>
          </w:p>
        </w:tc>
        <w:tc>
          <w:tcPr>
            <w:tcW w:w="1236" w:type="dxa"/>
            <w:noWrap w:val="0"/>
            <w:vAlign w:val="center"/>
          </w:tcPr>
          <w:p>
            <w:pPr>
              <w:keepNext w:val="0"/>
              <w:keepLines w:val="0"/>
              <w:pageBreakBefore w:val="0"/>
              <w:widowControl/>
              <w:overflowPunct/>
              <w:topLinePunct w:val="0"/>
              <w:bidi w:val="0"/>
              <w:spacing w:line="240" w:lineRule="auto"/>
              <w:jc w:val="center"/>
              <w:rPr>
                <w:rFonts w:ascii="宋体" w:hAnsi="宋体"/>
                <w:i/>
                <w:iCs/>
                <w:color w:val="auto"/>
                <w:spacing w:val="-12"/>
                <w:sz w:val="24"/>
                <w:szCs w:val="24"/>
                <w:highlight w:val="none"/>
              </w:rPr>
            </w:pPr>
            <w:r>
              <w:rPr>
                <w:rFonts w:hint="eastAsia" w:ascii="宋体" w:hAnsi="宋体" w:cs="宋体"/>
                <w:b/>
                <w:i/>
                <w:iCs/>
                <w:color w:val="auto"/>
                <w:sz w:val="24"/>
                <w:szCs w:val="24"/>
                <w:highlight w:val="none"/>
              </w:rPr>
              <w:t>≤</w:t>
            </w:r>
            <w:r>
              <w:rPr>
                <w:rFonts w:hint="eastAsia" w:ascii="宋体" w:hAnsi="宋体" w:cs="Arial"/>
                <w:i/>
                <w:iCs/>
                <w:color w:val="auto"/>
                <w:sz w:val="24"/>
                <w:szCs w:val="24"/>
                <w:highlight w:val="none"/>
                <w:lang w:val="en-US" w:eastAsia="zh-CN"/>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6" w:type="dxa"/>
            <w:noWrap w:val="0"/>
            <w:vAlign w:val="center"/>
          </w:tcPr>
          <w:p>
            <w:pPr>
              <w:keepNext w:val="0"/>
              <w:keepLines w:val="0"/>
              <w:pageBreakBefore w:val="0"/>
              <w:widowControl/>
              <w:overflowPunct/>
              <w:topLinePunct w:val="0"/>
              <w:bidi w:val="0"/>
              <w:spacing w:line="240" w:lineRule="auto"/>
              <w:rPr>
                <w:rFonts w:hint="eastAsia" w:ascii="宋体" w:hAnsi="宋体" w:eastAsia="宋体"/>
                <w:i/>
                <w:iCs/>
                <w:color w:val="auto"/>
                <w:spacing w:val="-12"/>
                <w:sz w:val="24"/>
                <w:szCs w:val="24"/>
                <w:highlight w:val="none"/>
                <w:lang w:eastAsia="zh-CN"/>
              </w:rPr>
            </w:pPr>
            <w:r>
              <w:rPr>
                <w:rFonts w:hint="eastAsia" w:ascii="宋体" w:hAnsi="宋体"/>
                <w:i/>
                <w:iCs/>
                <w:color w:val="auto"/>
                <w:spacing w:val="-12"/>
                <w:sz w:val="24"/>
                <w:szCs w:val="24"/>
                <w:highlight w:val="none"/>
              </w:rPr>
              <w:t>企业综合实力</w:t>
            </w:r>
          </w:p>
        </w:tc>
        <w:tc>
          <w:tcPr>
            <w:tcW w:w="6082" w:type="dxa"/>
            <w:gridSpan w:val="2"/>
            <w:noWrap w:val="0"/>
            <w:vAlign w:val="center"/>
          </w:tcPr>
          <w:p>
            <w:pPr>
              <w:keepNext w:val="0"/>
              <w:keepLines w:val="0"/>
              <w:pageBreakBefore w:val="0"/>
              <w:widowControl/>
              <w:overflowPunct/>
              <w:topLinePunct w:val="0"/>
              <w:bidi w:val="0"/>
              <w:spacing w:line="240" w:lineRule="auto"/>
              <w:rPr>
                <w:rFonts w:ascii="宋体" w:hAnsi="宋体"/>
                <w:i/>
                <w:iCs/>
                <w:color w:val="auto"/>
                <w:spacing w:val="-12"/>
                <w:sz w:val="24"/>
                <w:szCs w:val="24"/>
                <w:highlight w:val="none"/>
              </w:rPr>
            </w:pPr>
            <w:r>
              <w:rPr>
                <w:rFonts w:hint="eastAsia" w:ascii="宋体" w:hAnsi="宋体" w:eastAsia="宋体" w:cs="Times New Roman"/>
                <w:i/>
                <w:iCs/>
                <w:color w:val="auto"/>
                <w:spacing w:val="-12"/>
                <w:sz w:val="24"/>
                <w:szCs w:val="24"/>
                <w:highlight w:val="none"/>
                <w:lang w:val="en-US" w:eastAsia="zh-CN"/>
              </w:rPr>
              <w:t>招标人可根据项目实际情况，合理确定企业综合实力相关内容和因素，但不得设置超过项目实际需要</w:t>
            </w:r>
            <w:r>
              <w:rPr>
                <w:rFonts w:hint="eastAsia" w:ascii="宋体" w:hAnsi="宋体" w:cs="Times New Roman"/>
                <w:i/>
                <w:iCs/>
                <w:color w:val="auto"/>
                <w:spacing w:val="-12"/>
                <w:sz w:val="24"/>
                <w:szCs w:val="24"/>
                <w:highlight w:val="none"/>
                <w:lang w:val="en-US" w:eastAsia="zh-CN"/>
              </w:rPr>
              <w:t>的</w:t>
            </w:r>
            <w:r>
              <w:rPr>
                <w:rFonts w:hint="eastAsia" w:ascii="宋体" w:hAnsi="宋体" w:eastAsia="宋体" w:cs="Times New Roman"/>
                <w:i/>
                <w:iCs/>
                <w:color w:val="auto"/>
                <w:spacing w:val="-12"/>
                <w:sz w:val="24"/>
                <w:szCs w:val="24"/>
                <w:highlight w:val="none"/>
                <w:lang w:val="en-US" w:eastAsia="zh-CN"/>
              </w:rPr>
              <w:t>指标。</w:t>
            </w:r>
          </w:p>
        </w:tc>
        <w:tc>
          <w:tcPr>
            <w:tcW w:w="1236" w:type="dxa"/>
            <w:noWrap w:val="0"/>
            <w:vAlign w:val="center"/>
          </w:tcPr>
          <w:p>
            <w:pPr>
              <w:keepNext w:val="0"/>
              <w:keepLines w:val="0"/>
              <w:pageBreakBefore w:val="0"/>
              <w:widowControl/>
              <w:overflowPunct/>
              <w:topLinePunct w:val="0"/>
              <w:bidi w:val="0"/>
              <w:spacing w:line="240" w:lineRule="auto"/>
              <w:jc w:val="center"/>
              <w:rPr>
                <w:rFonts w:hint="default" w:ascii="宋体" w:hAnsi="宋体" w:eastAsia="宋体"/>
                <w:i/>
                <w:iCs/>
                <w:color w:val="auto"/>
                <w:spacing w:val="-12"/>
                <w:sz w:val="24"/>
                <w:szCs w:val="24"/>
                <w:highlight w:val="none"/>
                <w:lang w:val="en-US" w:eastAsia="zh-CN"/>
              </w:rPr>
            </w:pPr>
            <w:r>
              <w:rPr>
                <w:rFonts w:hint="eastAsia" w:ascii="宋体" w:hAnsi="宋体" w:cs="宋体"/>
                <w:b/>
                <w:i/>
                <w:iCs/>
                <w:color w:val="auto"/>
                <w:sz w:val="24"/>
                <w:szCs w:val="24"/>
                <w:highlight w:val="none"/>
              </w:rPr>
              <w:t>≤</w:t>
            </w:r>
            <w:r>
              <w:rPr>
                <w:rFonts w:hint="eastAsia" w:ascii="宋体" w:hAnsi="宋体" w:cs="Arial"/>
                <w:i/>
                <w:iCs/>
                <w:color w:val="auto"/>
                <w:sz w:val="24"/>
                <w:szCs w:val="24"/>
                <w:highlight w:val="none"/>
                <w:lang w:val="en-US" w:eastAsia="zh-CN"/>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1" w:hRule="atLeast"/>
          <w:jc w:val="center"/>
        </w:trPr>
        <w:tc>
          <w:tcPr>
            <w:tcW w:w="1986" w:type="dxa"/>
            <w:noWrap w:val="0"/>
            <w:vAlign w:val="center"/>
          </w:tcPr>
          <w:p>
            <w:pPr>
              <w:keepNext w:val="0"/>
              <w:keepLines w:val="0"/>
              <w:pageBreakBefore w:val="0"/>
              <w:widowControl/>
              <w:overflowPunct/>
              <w:topLinePunct w:val="0"/>
              <w:bidi w:val="0"/>
              <w:spacing w:line="240" w:lineRule="auto"/>
              <w:jc w:val="center"/>
              <w:rPr>
                <w:rFonts w:ascii="宋体" w:hAnsi="宋体"/>
                <w:i/>
                <w:iCs/>
                <w:color w:val="auto"/>
                <w:spacing w:val="-12"/>
                <w:sz w:val="24"/>
                <w:szCs w:val="24"/>
                <w:highlight w:val="none"/>
              </w:rPr>
            </w:pPr>
            <w:r>
              <w:rPr>
                <w:rFonts w:hint="eastAsia" w:ascii="宋体" w:hAnsi="宋体"/>
                <w:i w:val="0"/>
                <w:iCs w:val="0"/>
                <w:color w:val="auto"/>
                <w:spacing w:val="-12"/>
                <w:sz w:val="24"/>
                <w:szCs w:val="24"/>
                <w:highlight w:val="none"/>
              </w:rPr>
              <w:t>其他</w:t>
            </w:r>
          </w:p>
        </w:tc>
        <w:tc>
          <w:tcPr>
            <w:tcW w:w="6082" w:type="dxa"/>
            <w:gridSpan w:val="2"/>
            <w:noWrap w:val="0"/>
            <w:vAlign w:val="center"/>
          </w:tcPr>
          <w:p>
            <w:pPr>
              <w:keepNext w:val="0"/>
              <w:keepLines w:val="0"/>
              <w:pageBreakBefore w:val="0"/>
              <w:widowControl/>
              <w:overflowPunct/>
              <w:topLinePunct w:val="0"/>
              <w:bidi w:val="0"/>
              <w:spacing w:line="240" w:lineRule="auto"/>
              <w:rPr>
                <w:rFonts w:hint="default" w:ascii="Times New Roman" w:hAnsi="Times New Roman"/>
                <w:kern w:val="0"/>
                <w:sz w:val="24"/>
                <w:szCs w:val="24"/>
                <w:highlight w:val="none"/>
                <w:lang w:val="en-US" w:eastAsia="zh-CN"/>
              </w:rPr>
            </w:pPr>
            <w:r>
              <w:rPr>
                <w:rFonts w:hint="eastAsia" w:ascii="Times New Roman" w:hAnsi="Times New Roman"/>
                <w:kern w:val="0"/>
                <w:sz w:val="24"/>
                <w:szCs w:val="24"/>
                <w:highlight w:val="none"/>
              </w:rPr>
              <w:t>评标委员会通过审查投标人投标文件递交的</w:t>
            </w:r>
            <w:r>
              <w:rPr>
                <w:rFonts w:hint="eastAsia" w:ascii="Times New Roman" w:hAnsi="Times New Roman"/>
                <w:kern w:val="0"/>
                <w:sz w:val="24"/>
                <w:szCs w:val="24"/>
                <w:highlight w:val="none"/>
                <w:lang w:val="en-US" w:eastAsia="zh-CN"/>
              </w:rPr>
              <w:t>荣誉企业</w:t>
            </w:r>
            <w:r>
              <w:rPr>
                <w:rFonts w:hint="eastAsia" w:ascii="Times New Roman" w:hAnsi="Times New Roman"/>
                <w:kern w:val="0"/>
                <w:sz w:val="24"/>
                <w:szCs w:val="24"/>
                <w:highlight w:val="none"/>
              </w:rPr>
              <w:t>材料对投标人进行打分</w:t>
            </w:r>
            <w:r>
              <w:rPr>
                <w:rFonts w:hint="eastAsia" w:ascii="Times New Roman" w:hAnsi="Times New Roman"/>
                <w:kern w:val="0"/>
                <w:sz w:val="24"/>
                <w:szCs w:val="24"/>
                <w:highlight w:val="none"/>
                <w:lang w:eastAsia="zh-CN"/>
              </w:rPr>
              <w:t>。符合招标文件荣誉企业要求的投标人得</w:t>
            </w:r>
            <w:r>
              <w:rPr>
                <w:rFonts w:hint="eastAsia" w:ascii="Times New Roman" w:hAnsi="Times New Roman"/>
                <w:kern w:val="0"/>
                <w:sz w:val="24"/>
                <w:szCs w:val="24"/>
                <w:highlight w:val="none"/>
                <w:lang w:val="en-US" w:eastAsia="zh-CN"/>
              </w:rPr>
              <w:t>1分。</w:t>
            </w:r>
          </w:p>
          <w:p>
            <w:pPr>
              <w:keepNext w:val="0"/>
              <w:keepLines w:val="0"/>
              <w:pageBreakBefore w:val="0"/>
              <w:widowControl/>
              <w:overflowPunct/>
              <w:topLinePunct w:val="0"/>
              <w:bidi w:val="0"/>
              <w:spacing w:line="240" w:lineRule="auto"/>
              <w:rPr>
                <w:rFonts w:hint="eastAsia" w:ascii="Times New Roman" w:hAnsi="Times New Roman"/>
                <w:kern w:val="0"/>
                <w:sz w:val="24"/>
                <w:szCs w:val="24"/>
                <w:highlight w:val="none"/>
              </w:rPr>
            </w:pPr>
            <w:r>
              <w:rPr>
                <w:rFonts w:hint="eastAsia" w:ascii="Times New Roman" w:hAnsi="Times New Roman"/>
                <w:kern w:val="0"/>
                <w:sz w:val="24"/>
                <w:szCs w:val="24"/>
                <w:highlight w:val="none"/>
              </w:rPr>
              <w:t>荣誉企业是指：</w:t>
            </w:r>
            <w:r>
              <w:rPr>
                <w:rFonts w:hint="eastAsia" w:ascii="Times New Roman" w:hAnsi="Times New Roman"/>
                <w:color w:val="0000FF"/>
                <w:kern w:val="0"/>
                <w:sz w:val="24"/>
                <w:szCs w:val="24"/>
                <w:highlight w:val="none"/>
                <w:u w:val="single"/>
                <w:lang w:val="en-US" w:eastAsia="zh-CN"/>
              </w:rPr>
              <w:t xml:space="preserve">           </w:t>
            </w:r>
            <w:r>
              <w:rPr>
                <w:rFonts w:hint="eastAsia" w:ascii="Times New Roman" w:hAnsi="Times New Roman"/>
                <w:kern w:val="0"/>
                <w:sz w:val="24"/>
                <w:szCs w:val="24"/>
                <w:highlight w:val="none"/>
              </w:rPr>
              <w:t>（</w:t>
            </w:r>
            <w:r>
              <w:rPr>
                <w:rFonts w:hint="eastAsia" w:ascii="Times New Roman" w:hAnsi="Times New Roman"/>
                <w:color w:val="0000FF"/>
                <w:kern w:val="0"/>
                <w:sz w:val="24"/>
                <w:szCs w:val="24"/>
                <w:highlight w:val="none"/>
                <w:u w:val="single"/>
                <w:lang w:val="en-US" w:eastAsia="zh-CN"/>
              </w:rPr>
              <w:t xml:space="preserve">    </w:t>
            </w:r>
            <w:r>
              <w:rPr>
                <w:rFonts w:hint="eastAsia" w:ascii="Times New Roman" w:hAnsi="Times New Roman"/>
                <w:kern w:val="0"/>
                <w:sz w:val="24"/>
                <w:szCs w:val="24"/>
                <w:highlight w:val="none"/>
                <w:lang w:val="en-US" w:eastAsia="zh-CN"/>
              </w:rPr>
              <w:t>年</w:t>
            </w:r>
            <w:r>
              <w:rPr>
                <w:rFonts w:hint="eastAsia" w:ascii="Times New Roman" w:hAnsi="Times New Roman"/>
                <w:kern w:val="0"/>
                <w:sz w:val="24"/>
                <w:szCs w:val="24"/>
                <w:highlight w:val="none"/>
                <w:u w:val="single"/>
                <w:lang w:val="en-US" w:eastAsia="zh-CN"/>
              </w:rPr>
              <w:t xml:space="preserve">   </w:t>
            </w:r>
            <w:r>
              <w:rPr>
                <w:rFonts w:hint="eastAsia" w:ascii="Times New Roman" w:hAnsi="Times New Roman"/>
                <w:kern w:val="0"/>
                <w:sz w:val="24"/>
                <w:szCs w:val="24"/>
                <w:highlight w:val="none"/>
                <w:lang w:val="en-US" w:eastAsia="zh-CN"/>
              </w:rPr>
              <w:t>月</w:t>
            </w:r>
            <w:r>
              <w:rPr>
                <w:rFonts w:hint="eastAsia" w:ascii="Times New Roman" w:hAnsi="Times New Roman"/>
                <w:kern w:val="0"/>
                <w:sz w:val="24"/>
                <w:szCs w:val="24"/>
                <w:highlight w:val="none"/>
                <w:u w:val="single"/>
                <w:lang w:val="en-US" w:eastAsia="zh-CN"/>
              </w:rPr>
              <w:t xml:space="preserve">    </w:t>
            </w:r>
            <w:r>
              <w:rPr>
                <w:rFonts w:hint="eastAsia" w:ascii="Times New Roman" w:hAnsi="Times New Roman"/>
                <w:kern w:val="0"/>
                <w:sz w:val="24"/>
                <w:szCs w:val="24"/>
                <w:highlight w:val="none"/>
                <w:lang w:val="en-US" w:eastAsia="zh-CN"/>
              </w:rPr>
              <w:t>日以来</w:t>
            </w:r>
            <w:r>
              <w:rPr>
                <w:rFonts w:hint="eastAsia" w:ascii="Times New Roman" w:hAnsi="Times New Roman"/>
                <w:kern w:val="0"/>
                <w:sz w:val="24"/>
                <w:szCs w:val="24"/>
                <w:highlight w:val="none"/>
              </w:rPr>
              <w:t>投标人获得过由设区市级及以上人民政府颁发的建设领域的龙头、骨干企业或相当于的企业荣誉</w:t>
            </w:r>
            <w:r>
              <w:rPr>
                <w:rFonts w:hint="eastAsia" w:ascii="Times New Roman" w:hAnsi="Times New Roman"/>
                <w:kern w:val="0"/>
                <w:sz w:val="24"/>
                <w:szCs w:val="24"/>
                <w:highlight w:val="none"/>
                <w:lang w:val="en-US" w:eastAsia="zh-CN"/>
              </w:rPr>
              <w:t>。具体荣誉企业名称由招标人在招标文件中明确，时限要求近二年内</w:t>
            </w:r>
            <w:r>
              <w:rPr>
                <w:rFonts w:hint="eastAsia" w:ascii="Times New Roman" w:hAnsi="Times New Roman"/>
                <w:kern w:val="0"/>
                <w:sz w:val="24"/>
                <w:szCs w:val="24"/>
                <w:highlight w:val="none"/>
              </w:rPr>
              <w:t>）</w:t>
            </w:r>
          </w:p>
          <w:p>
            <w:pPr>
              <w:keepNext w:val="0"/>
              <w:keepLines w:val="0"/>
              <w:pageBreakBefore w:val="0"/>
              <w:widowControl/>
              <w:numPr>
                <w:ilvl w:val="0"/>
                <w:numId w:val="0"/>
              </w:numPr>
              <w:overflowPunct/>
              <w:topLinePunct w:val="0"/>
              <w:bidi w:val="0"/>
              <w:spacing w:line="240" w:lineRule="auto"/>
              <w:ind w:left="0" w:leftChars="0" w:firstLine="0" w:firstLineChars="0"/>
              <w:rPr>
                <w:rFonts w:hint="default" w:ascii="宋体" w:hAnsi="宋体"/>
                <w:i/>
                <w:iCs/>
                <w:color w:val="auto"/>
                <w:spacing w:val="-12"/>
                <w:sz w:val="24"/>
                <w:szCs w:val="24"/>
                <w:highlight w:val="none"/>
                <w:lang w:val="en-US"/>
              </w:rPr>
            </w:pPr>
          </w:p>
        </w:tc>
        <w:tc>
          <w:tcPr>
            <w:tcW w:w="1236" w:type="dxa"/>
            <w:noWrap w:val="0"/>
            <w:vAlign w:val="center"/>
          </w:tcPr>
          <w:p>
            <w:pPr>
              <w:keepNext w:val="0"/>
              <w:keepLines w:val="0"/>
              <w:pageBreakBefore w:val="0"/>
              <w:widowControl/>
              <w:overflowPunct/>
              <w:topLinePunct w:val="0"/>
              <w:bidi w:val="0"/>
              <w:spacing w:line="240" w:lineRule="auto"/>
              <w:jc w:val="center"/>
              <w:rPr>
                <w:rFonts w:hint="eastAsia" w:ascii="宋体" w:hAnsi="宋体" w:eastAsia="宋体"/>
                <w:i/>
                <w:iCs/>
                <w:color w:val="auto"/>
                <w:spacing w:val="-12"/>
                <w:sz w:val="24"/>
                <w:szCs w:val="24"/>
                <w:highlight w:val="none"/>
                <w:lang w:val="en-US" w:eastAsia="zh-CN"/>
              </w:rPr>
            </w:pPr>
            <w:r>
              <w:rPr>
                <w:rFonts w:hint="eastAsia" w:ascii="宋体" w:hAnsi="宋体"/>
                <w:i/>
                <w:iCs/>
                <w:color w:val="auto"/>
                <w:spacing w:val="-12"/>
                <w:sz w:val="24"/>
                <w:szCs w:val="24"/>
                <w:highlight w:val="none"/>
                <w:lang w:val="en-US" w:eastAsia="zh-CN"/>
              </w:rPr>
              <w:t>1分</w:t>
            </w:r>
          </w:p>
        </w:tc>
      </w:tr>
    </w:tbl>
    <w:p>
      <w:pPr>
        <w:widowControl/>
        <w:tabs>
          <w:tab w:val="left" w:pos="9360"/>
        </w:tabs>
        <w:spacing w:line="360" w:lineRule="auto"/>
        <w:rPr>
          <w:rFonts w:hint="eastAsia" w:ascii="Times New Roman" w:hAnsi="Times New Roman"/>
          <w:kern w:val="0"/>
          <w:sz w:val="24"/>
          <w:szCs w:val="24"/>
          <w:highlight w:val="none"/>
          <w:u w:val="single"/>
          <w:lang w:val="en-US" w:eastAsia="zh-CN"/>
        </w:rPr>
      </w:pPr>
      <w:r>
        <w:rPr>
          <w:rFonts w:hint="eastAsia" w:ascii="Times New Roman" w:hAnsi="Times New Roman"/>
          <w:kern w:val="0"/>
          <w:sz w:val="24"/>
          <w:szCs w:val="24"/>
          <w:highlight w:val="none"/>
        </w:rPr>
        <w:t>注：</w:t>
      </w:r>
      <w:r>
        <w:rPr>
          <w:rFonts w:hint="eastAsia" w:ascii="宋体" w:hAnsi="宋体" w:cs="宋体"/>
          <w:kern w:val="0"/>
          <w:sz w:val="24"/>
          <w:szCs w:val="24"/>
          <w:highlight w:val="none"/>
        </w:rPr>
        <w:t>①</w:t>
      </w:r>
      <w:r>
        <w:rPr>
          <w:rFonts w:hint="eastAsia" w:ascii="Times New Roman" w:hAnsi="Times New Roman"/>
          <w:kern w:val="0"/>
          <w:sz w:val="24"/>
          <w:szCs w:val="24"/>
          <w:highlight w:val="none"/>
        </w:rPr>
        <w:t>类似项目的证明材料：</w:t>
      </w:r>
      <w:bookmarkStart w:id="25" w:name="EBea2803b5412044eb8aad19e5de0cbcf9"/>
      <w:bookmarkEnd w:id="25"/>
      <w:r>
        <w:rPr>
          <w:rFonts w:hint="eastAsia" w:ascii="Times New Roman" w:hAnsi="Times New Roman"/>
          <w:color w:val="0000FF"/>
          <w:kern w:val="0"/>
          <w:sz w:val="24"/>
          <w:szCs w:val="24"/>
          <w:highlight w:val="none"/>
          <w:u w:val="single"/>
          <w:lang w:val="en-US" w:eastAsia="zh-CN"/>
        </w:rPr>
        <w:t xml:space="preserve">              </w:t>
      </w:r>
    </w:p>
    <w:p>
      <w:pPr>
        <w:widowControl/>
        <w:tabs>
          <w:tab w:val="left" w:pos="9360"/>
        </w:tabs>
        <w:spacing w:line="360" w:lineRule="auto"/>
        <w:ind w:firstLine="480" w:firstLineChars="200"/>
        <w:rPr>
          <w:rFonts w:ascii="Times New Roman" w:hAnsi="Times New Roman"/>
          <w:color w:val="0000FF"/>
          <w:kern w:val="0"/>
          <w:sz w:val="24"/>
          <w:szCs w:val="24"/>
          <w:highlight w:val="none"/>
        </w:rPr>
      </w:pPr>
      <w:r>
        <w:rPr>
          <w:rFonts w:hint="eastAsia" w:ascii="宋体" w:hAnsi="宋体" w:cs="宋体"/>
          <w:kern w:val="0"/>
          <w:sz w:val="24"/>
          <w:szCs w:val="24"/>
          <w:highlight w:val="none"/>
        </w:rPr>
        <w:t>②</w:t>
      </w:r>
      <w:r>
        <w:rPr>
          <w:rFonts w:hint="eastAsia" w:ascii="Times New Roman" w:hAnsi="Times New Roman"/>
          <w:kern w:val="0"/>
          <w:sz w:val="24"/>
          <w:szCs w:val="24"/>
          <w:highlight w:val="none"/>
        </w:rPr>
        <w:t>软土地基的认定标准：</w:t>
      </w:r>
      <w:bookmarkStart w:id="26" w:name="EBbd93beea5d4a4d8fa5dde8ba108482e4"/>
      <w:bookmarkEnd w:id="26"/>
      <w:r>
        <w:rPr>
          <w:rFonts w:hint="eastAsia" w:ascii="Times New Roman" w:hAnsi="Times New Roman"/>
          <w:color w:val="0000FF"/>
          <w:kern w:val="0"/>
          <w:sz w:val="24"/>
          <w:szCs w:val="24"/>
          <w:highlight w:val="none"/>
          <w:u w:val="single"/>
          <w:lang w:val="en-US" w:eastAsia="zh-CN"/>
        </w:rPr>
        <w:t xml:space="preserve">              </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宋体" w:hAnsi="宋体" w:cs="宋体"/>
          <w:kern w:val="0"/>
          <w:sz w:val="24"/>
          <w:szCs w:val="24"/>
          <w:highlight w:val="none"/>
        </w:rPr>
        <w:t>③</w:t>
      </w:r>
      <w:r>
        <w:rPr>
          <w:rFonts w:hint="eastAsia" w:ascii="Times New Roman" w:hAnsi="Times New Roman"/>
          <w:kern w:val="0"/>
          <w:sz w:val="24"/>
          <w:szCs w:val="24"/>
          <w:highlight w:val="none"/>
        </w:rPr>
        <w:t>类似项目以全国或浙江省建筑市场监管公共服务平台查询的为准，平台上无法查询的项目业绩不作为评审依据。平台上的资料信息无法证明项目规模指标的，投标人应该在投标文件中主动提供相关资料，否则评审中不予认可。</w:t>
      </w:r>
    </w:p>
    <w:p>
      <w:pPr>
        <w:widowControl/>
        <w:tabs>
          <w:tab w:val="left" w:pos="9360"/>
        </w:tabs>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④招标人应当从招标项目的建设规模（建筑面积或造价）和所处自然环境条件界定类似项目。类似项目年限要求为近5年。（</w:t>
      </w:r>
      <w:r>
        <w:rPr>
          <w:rFonts w:hint="eastAsia" w:ascii="宋体" w:hAnsi="宋体" w:cs="宋体"/>
          <w:kern w:val="0"/>
          <w:sz w:val="24"/>
          <w:szCs w:val="24"/>
          <w:highlight w:val="none"/>
          <w:lang w:val="zh-CN"/>
        </w:rPr>
        <w:t>时间以工程竣工日期或竣工验收日期为准</w:t>
      </w:r>
      <w:r>
        <w:rPr>
          <w:rFonts w:hint="eastAsia" w:ascii="宋体" w:hAnsi="宋体" w:cs="宋体"/>
          <w:kern w:val="0"/>
          <w:sz w:val="24"/>
          <w:szCs w:val="24"/>
          <w:highlight w:val="none"/>
        </w:rPr>
        <w:t>）</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投标人总得</w:t>
      </w:r>
      <w:r>
        <w:rPr>
          <w:rFonts w:hint="eastAsia" w:ascii="Times New Roman" w:hAnsi="Times New Roman"/>
          <w:kern w:val="0"/>
          <w:sz w:val="24"/>
          <w:szCs w:val="24"/>
          <w:highlight w:val="none"/>
          <w:lang w:val="zh-CN"/>
        </w:rPr>
        <w:t>分</w:t>
      </w:r>
      <w:r>
        <w:rPr>
          <w:rFonts w:ascii="Times New Roman" w:hAnsi="Times New Roman"/>
          <w:kern w:val="0"/>
          <w:sz w:val="24"/>
          <w:szCs w:val="24"/>
          <w:highlight w:val="none"/>
          <w:lang w:val="zh-CN"/>
        </w:rPr>
        <w:t>=</w:t>
      </w:r>
      <w:r>
        <w:rPr>
          <w:rFonts w:hint="eastAsia" w:ascii="Times New Roman" w:hAnsi="Times New Roman"/>
          <w:kern w:val="0"/>
          <w:sz w:val="24"/>
          <w:szCs w:val="24"/>
          <w:highlight w:val="none"/>
        </w:rPr>
        <w:t>投标人商务标得分</w:t>
      </w:r>
      <w:r>
        <w:rPr>
          <w:rFonts w:ascii="Times New Roman" w:hAnsi="Times New Roman"/>
          <w:kern w:val="0"/>
          <w:sz w:val="24"/>
          <w:szCs w:val="24"/>
          <w:highlight w:val="none"/>
        </w:rPr>
        <w:t>+</w:t>
      </w:r>
      <w:r>
        <w:rPr>
          <w:rFonts w:hint="eastAsia" w:ascii="Times New Roman" w:hAnsi="Times New Roman"/>
          <w:kern w:val="0"/>
          <w:sz w:val="24"/>
          <w:szCs w:val="24"/>
          <w:highlight w:val="none"/>
        </w:rPr>
        <w:t>投标人资信评分</w:t>
      </w:r>
      <w:r>
        <w:rPr>
          <w:rFonts w:ascii="Times New Roman" w:hAnsi="Times New Roman"/>
          <w:kern w:val="0"/>
          <w:sz w:val="24"/>
          <w:szCs w:val="24"/>
          <w:highlight w:val="none"/>
        </w:rPr>
        <w:t>+</w:t>
      </w:r>
      <w:r>
        <w:rPr>
          <w:rFonts w:hint="eastAsia" w:ascii="Times New Roman" w:hAnsi="Times New Roman"/>
          <w:kern w:val="0"/>
          <w:sz w:val="24"/>
          <w:szCs w:val="24"/>
          <w:highlight w:val="none"/>
        </w:rPr>
        <w:t>投标人技术标得分</w:t>
      </w:r>
    </w:p>
    <w:p>
      <w:pPr>
        <w:spacing w:line="360" w:lineRule="auto"/>
        <w:ind w:firstLine="482" w:firstLineChars="200"/>
        <w:outlineLvl w:val="2"/>
        <w:rPr>
          <w:rFonts w:ascii="Times New Roman" w:hAnsi="Times New Roman"/>
          <w:b/>
          <w:bCs/>
          <w:sz w:val="24"/>
          <w:szCs w:val="24"/>
          <w:highlight w:val="none"/>
        </w:rPr>
      </w:pPr>
      <w:r>
        <w:rPr>
          <w:rFonts w:hint="eastAsia" w:ascii="Times New Roman" w:hAnsi="Times New Roman"/>
          <w:b/>
          <w:sz w:val="24"/>
          <w:szCs w:val="24"/>
          <w:highlight w:val="none"/>
        </w:rPr>
        <w:t>八、</w:t>
      </w:r>
      <w:r>
        <w:rPr>
          <w:rFonts w:hint="eastAsia" w:ascii="Times New Roman" w:hAnsi="Times New Roman"/>
          <w:b/>
          <w:sz w:val="24"/>
          <w:szCs w:val="24"/>
          <w:highlight w:val="none"/>
          <w:lang w:val="zh-CN"/>
        </w:rPr>
        <w:t>综合评审</w:t>
      </w:r>
      <w:r>
        <w:rPr>
          <w:rFonts w:ascii="Times New Roman" w:hAnsi="Times New Roman"/>
          <w:b/>
          <w:sz w:val="24"/>
          <w:szCs w:val="24"/>
          <w:highlight w:val="none"/>
        </w:rPr>
        <w:t xml:space="preserve">  </w:t>
      </w:r>
      <w:r>
        <w:rPr>
          <w:rFonts w:ascii="Times New Roman" w:hAnsi="Times New Roman"/>
          <w:b/>
          <w:bCs/>
          <w:sz w:val="24"/>
          <w:szCs w:val="24"/>
          <w:highlight w:val="none"/>
        </w:rPr>
        <w:t xml:space="preserve">      </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综合评审是对通过资格审查（平台系统核对）、商务标评审、技术标评审和资信评审的拟推荐为中标候选人的投标人进行其他内容的综合评审，投标人存在投标须知前附表</w:t>
      </w:r>
      <w:r>
        <w:rPr>
          <w:rFonts w:ascii="Times New Roman" w:hAnsi="Times New Roman"/>
          <w:kern w:val="0"/>
          <w:sz w:val="24"/>
          <w:szCs w:val="24"/>
          <w:highlight w:val="none"/>
        </w:rPr>
        <w:t>10.5</w:t>
      </w:r>
      <w:r>
        <w:rPr>
          <w:rFonts w:hint="eastAsia" w:ascii="Times New Roman" w:hAnsi="Times New Roman"/>
          <w:kern w:val="0"/>
          <w:sz w:val="24"/>
          <w:szCs w:val="24"/>
          <w:highlight w:val="none"/>
        </w:rPr>
        <w:t>情形（其他）的，评标委员会组织投标人询问核实后，情况属实的，综合评审不予通过，否决其投标。</w:t>
      </w:r>
    </w:p>
    <w:p>
      <w:pPr>
        <w:widowControl/>
        <w:tabs>
          <w:tab w:val="left" w:pos="9360"/>
        </w:tabs>
        <w:spacing w:line="360" w:lineRule="auto"/>
        <w:ind w:firstLine="480" w:firstLineChars="200"/>
        <w:rPr>
          <w:rFonts w:ascii="Times New Roman" w:hAnsi="Times New Roman"/>
          <w:kern w:val="0"/>
          <w:sz w:val="24"/>
          <w:szCs w:val="24"/>
          <w:highlight w:val="none"/>
        </w:rPr>
      </w:pPr>
      <w:r>
        <w:rPr>
          <w:rFonts w:hint="eastAsia" w:ascii="Times New Roman" w:hAnsi="Times New Roman"/>
          <w:kern w:val="0"/>
          <w:sz w:val="24"/>
          <w:szCs w:val="24"/>
          <w:highlight w:val="none"/>
        </w:rPr>
        <w:t>评标委员会对拟推荐中标候选人和其拟派项目负责人在投标文件中所申报的信用信息进行核对，如发现投标人递交投标文件中的信用信息的错、漏可能影响评审结果的，评标委员会应组织投标人核实，情况属实的取消其推荐为中标候选人的资格并书面报告招标人和招投标管理部门。</w:t>
      </w:r>
    </w:p>
    <w:p>
      <w:pPr>
        <w:snapToGrid w:val="0"/>
        <w:spacing w:line="360" w:lineRule="auto"/>
        <w:ind w:firstLine="480" w:firstLineChars="200"/>
        <w:outlineLvl w:val="2"/>
        <w:rPr>
          <w:rFonts w:ascii="Times New Roman" w:hAnsi="Times New Roman"/>
          <w:b/>
          <w:sz w:val="24"/>
          <w:szCs w:val="24"/>
          <w:highlight w:val="none"/>
          <w:lang w:val="zh-CN"/>
        </w:rPr>
      </w:pPr>
      <w:r>
        <w:rPr>
          <w:rFonts w:hint="eastAsia" w:ascii="宋体" w:hAnsi="宋体" w:cs="宋体"/>
          <w:color w:val="auto"/>
          <w:sz w:val="24"/>
          <w:szCs w:val="24"/>
          <w:highlight w:val="none"/>
          <w:lang w:eastAsia="zh-CN"/>
        </w:rPr>
        <w:t>□</w:t>
      </w:r>
      <w:r>
        <w:rPr>
          <w:rFonts w:hint="eastAsia" w:ascii="Times New Roman" w:hAnsi="Times New Roman"/>
          <w:b/>
          <w:sz w:val="24"/>
          <w:szCs w:val="24"/>
          <w:highlight w:val="none"/>
        </w:rPr>
        <w:t>九、</w:t>
      </w:r>
      <w:r>
        <w:rPr>
          <w:rFonts w:hint="eastAsia" w:ascii="Times New Roman" w:hAnsi="Times New Roman"/>
          <w:b/>
          <w:sz w:val="24"/>
          <w:szCs w:val="24"/>
          <w:highlight w:val="none"/>
          <w:lang w:val="zh-CN"/>
        </w:rPr>
        <w:t>推荐中标候选人</w:t>
      </w:r>
    </w:p>
    <w:p>
      <w:pPr>
        <w:spacing w:line="360" w:lineRule="auto"/>
        <w:ind w:firstLine="480" w:firstLineChars="200"/>
        <w:rPr>
          <w:rFonts w:ascii="Times New Roman" w:hAnsi="Times New Roman"/>
          <w:sz w:val="24"/>
          <w:szCs w:val="24"/>
          <w:highlight w:val="none"/>
          <w:lang w:val="zh-CN"/>
        </w:rPr>
      </w:pPr>
      <w:r>
        <w:rPr>
          <w:rFonts w:hint="eastAsia" w:ascii="Times New Roman" w:hAnsi="Times New Roman"/>
          <w:sz w:val="24"/>
          <w:szCs w:val="24"/>
          <w:highlight w:val="none"/>
          <w:lang w:val="zh-CN"/>
        </w:rPr>
        <w:t>评标委员会对投标人按总分从高到低进行排序，并按照排序推荐中标候选人。如总分相同的，以投标报价低的优先；上述均相同的</w:t>
      </w:r>
      <w:bookmarkStart w:id="27" w:name="EB774aef450fb94b5590b51ac2e1df6849"/>
      <w:r>
        <w:rPr>
          <w:rFonts w:hint="eastAsia" w:ascii="Times New Roman" w:hAnsi="Times New Roman"/>
          <w:color w:val="0000FF"/>
          <w:sz w:val="24"/>
          <w:szCs w:val="24"/>
          <w:highlight w:val="none"/>
          <w:u w:val="single"/>
          <w:lang w:val="zh-CN"/>
        </w:rPr>
        <w:t>(在招标文件中明确确定方式)</w:t>
      </w:r>
      <w:bookmarkEnd w:id="27"/>
      <w:r>
        <w:rPr>
          <w:rFonts w:hint="eastAsia" w:ascii="Times New Roman" w:hAnsi="Times New Roman"/>
          <w:sz w:val="24"/>
          <w:szCs w:val="24"/>
          <w:highlight w:val="none"/>
          <w:lang w:val="zh-CN"/>
        </w:rPr>
        <w:t>。</w:t>
      </w:r>
    </w:p>
    <w:p>
      <w:pPr>
        <w:kinsoku w:val="0"/>
        <w:snapToGrid w:val="0"/>
        <w:spacing w:line="360" w:lineRule="auto"/>
        <w:ind w:firstLine="480" w:firstLineChars="200"/>
        <w:rPr>
          <w:rFonts w:hint="eastAsia" w:ascii="Times New Roman" w:hAnsi="Times New Roman"/>
          <w:sz w:val="24"/>
          <w:szCs w:val="24"/>
          <w:highlight w:val="none"/>
          <w:lang w:val="zh-CN"/>
        </w:rPr>
      </w:pPr>
      <w:r>
        <w:rPr>
          <w:rFonts w:hint="eastAsia" w:ascii="Times New Roman" w:hAnsi="Times New Roman"/>
          <w:sz w:val="24"/>
          <w:szCs w:val="24"/>
          <w:highlight w:val="none"/>
          <w:lang w:val="zh-CN"/>
        </w:rPr>
        <w:t>评标委员会对拟确定的推荐中标候选人和其拟派项目负责人，是否列入失信被执行人名单及在本招标文件（招标公告）规定时间范围内是否有贿赂犯罪记录</w:t>
      </w:r>
      <w:r>
        <w:rPr>
          <w:rFonts w:hint="eastAsia" w:ascii="Times New Roman" w:hAnsi="Times New Roman"/>
          <w:sz w:val="24"/>
          <w:szCs w:val="24"/>
          <w:highlight w:val="none"/>
          <w:lang w:val="zh-CN" w:eastAsia="zh-CN"/>
        </w:rPr>
        <w:t>；</w:t>
      </w:r>
      <w:r>
        <w:rPr>
          <w:rFonts w:hint="eastAsia" w:ascii="Times New Roman" w:hAnsi="Times New Roman"/>
          <w:sz w:val="24"/>
          <w:szCs w:val="24"/>
          <w:highlight w:val="none"/>
          <w:lang w:val="en-US" w:eastAsia="zh-CN"/>
        </w:rPr>
        <w:t>是否</w:t>
      </w:r>
      <w:r>
        <w:rPr>
          <w:rFonts w:hint="default" w:ascii="Times New Roman" w:hAnsi="Times New Roman"/>
          <w:sz w:val="24"/>
          <w:szCs w:val="24"/>
          <w:highlight w:val="none"/>
          <w:lang w:val="en-US" w:eastAsia="zh-CN"/>
        </w:rPr>
        <w:t>被列入建筑市场严重失信名单的</w:t>
      </w:r>
      <w:r>
        <w:rPr>
          <w:rFonts w:hint="eastAsia" w:ascii="Times New Roman" w:hAnsi="Times New Roman"/>
          <w:sz w:val="24"/>
          <w:szCs w:val="24"/>
          <w:highlight w:val="none"/>
          <w:lang w:val="en-US" w:eastAsia="zh-CN"/>
        </w:rPr>
        <w:t>、是否被市场监督管理机关在全国企业信用信息公示系统中列入严重违法失信企业名单的、是否被人力资源社会保障行政部门列入失信联合惩戒名单（有效期内）的</w:t>
      </w:r>
      <w:r>
        <w:rPr>
          <w:rFonts w:hint="eastAsia" w:ascii="Times New Roman" w:hAnsi="Times New Roman"/>
          <w:sz w:val="24"/>
          <w:szCs w:val="24"/>
          <w:highlight w:val="none"/>
          <w:lang w:val="zh-CN"/>
        </w:rPr>
        <w:t>情形进行查验。如查实存在的，则取消其中标候选人资格。</w:t>
      </w:r>
    </w:p>
    <w:p>
      <w:pPr>
        <w:kinsoku w:val="0"/>
        <w:snapToGrid w:val="0"/>
        <w:spacing w:line="360" w:lineRule="auto"/>
        <w:ind w:firstLine="480" w:firstLineChars="200"/>
        <w:rPr>
          <w:rFonts w:hint="eastAsia" w:ascii="Times New Roman" w:hAnsi="Times New Roman"/>
          <w:sz w:val="24"/>
          <w:szCs w:val="24"/>
          <w:highlight w:val="none"/>
          <w:lang w:val="zh-CN"/>
        </w:rPr>
      </w:pPr>
      <w:r>
        <w:rPr>
          <w:rFonts w:hint="eastAsia" w:ascii="Times New Roman" w:hAnsi="Times New Roman"/>
          <w:sz w:val="24"/>
          <w:szCs w:val="24"/>
          <w:highlight w:val="none"/>
          <w:lang w:val="zh-CN"/>
        </w:rPr>
        <w:t>当有效投标人＜3个时，评标委员会应判定本次投标是否具有竞争力。若评标委员会认为本次投标明显缺乏竞争的，可以否决全部投标。</w:t>
      </w:r>
    </w:p>
    <w:p>
      <w:pPr>
        <w:snapToGrid w:val="0"/>
        <w:spacing w:line="360" w:lineRule="auto"/>
        <w:ind w:firstLine="480" w:firstLineChars="200"/>
        <w:outlineLvl w:val="2"/>
        <w:rPr>
          <w:rFonts w:hint="eastAsia" w:ascii="Times New Roman" w:hAnsi="Times New Roman"/>
          <w:kern w:val="0"/>
          <w:sz w:val="24"/>
          <w:szCs w:val="24"/>
          <w:highlight w:val="none"/>
        </w:rPr>
      </w:pPr>
      <w:bookmarkStart w:id="28" w:name="EB1dc02e1c83fc4cf687a26c5915fa449d"/>
      <w:r>
        <w:rPr>
          <w:rFonts w:hint="eastAsia" w:ascii="Times New Roman" w:hAnsi="Times New Roman"/>
          <w:color w:val="000080"/>
          <w:sz w:val="24"/>
          <w:szCs w:val="24"/>
          <w:highlight w:val="none"/>
        </w:rPr>
        <w:t xml:space="preserve"> </w:t>
      </w:r>
      <w:bookmarkEnd w:id="28"/>
      <w:r>
        <w:rPr>
          <w:rFonts w:hint="eastAsia" w:ascii="宋体" w:hAnsi="宋体" w:cs="宋体"/>
          <w:color w:val="auto"/>
          <w:sz w:val="24"/>
          <w:szCs w:val="24"/>
          <w:highlight w:val="none"/>
          <w:lang w:eastAsia="zh-CN"/>
        </w:rPr>
        <w:t>□</w:t>
      </w:r>
      <w:r>
        <w:rPr>
          <w:rFonts w:hint="eastAsia" w:ascii="Times New Roman" w:hAnsi="Times New Roman"/>
          <w:b/>
          <w:sz w:val="24"/>
          <w:szCs w:val="24"/>
          <w:highlight w:val="none"/>
        </w:rPr>
        <w:t>九、</w:t>
      </w:r>
      <w:r>
        <w:rPr>
          <w:rFonts w:hint="eastAsia" w:ascii="Times New Roman" w:hAnsi="Times New Roman"/>
          <w:b/>
          <w:sz w:val="24"/>
          <w:szCs w:val="24"/>
          <w:highlight w:val="none"/>
          <w:lang w:val="zh-CN"/>
        </w:rPr>
        <w:t>推荐中标候选人（适用于“评定分离”）</w:t>
      </w:r>
    </w:p>
    <w:p>
      <w:pPr>
        <w:widowControl/>
        <w:tabs>
          <w:tab w:val="left" w:pos="9360"/>
        </w:tabs>
        <w:spacing w:line="360" w:lineRule="auto"/>
        <w:ind w:firstLine="480" w:firstLineChars="200"/>
        <w:rPr>
          <w:rFonts w:hint="eastAsia" w:ascii="Times New Roman" w:hAnsi="Times New Roman"/>
          <w:kern w:val="0"/>
          <w:sz w:val="24"/>
          <w:szCs w:val="24"/>
          <w:highlight w:val="none"/>
        </w:rPr>
      </w:pPr>
      <w:r>
        <w:rPr>
          <w:rFonts w:hint="default" w:ascii="Times New Roman" w:hAnsi="宋体"/>
          <w:color w:val="auto"/>
          <w:sz w:val="24"/>
          <w:szCs w:val="24"/>
          <w:highlight w:val="none"/>
        </w:rPr>
        <w:t>评标委员会对投标人按总分从高到低进行排序，并按照排序推荐中标候选人</w:t>
      </w:r>
      <w:r>
        <w:rPr>
          <w:rFonts w:hint="eastAsia" w:ascii="Times New Roman" w:hAnsi="宋体"/>
          <w:color w:val="auto"/>
          <w:sz w:val="24"/>
          <w:szCs w:val="24"/>
          <w:highlight w:val="none"/>
          <w:lang w:eastAsia="zh-CN"/>
        </w:rPr>
        <w:t>，</w:t>
      </w:r>
      <w:r>
        <w:rPr>
          <w:rFonts w:ascii="Times New Roman" w:hAnsi="宋体"/>
          <w:color w:val="auto"/>
          <w:sz w:val="24"/>
          <w:szCs w:val="24"/>
          <w:highlight w:val="none"/>
        </w:rPr>
        <w:t>如</w:t>
      </w:r>
      <w:r>
        <w:rPr>
          <w:rFonts w:hint="default" w:ascii="Times New Roman" w:hAnsi="宋体"/>
          <w:color w:val="auto"/>
          <w:sz w:val="24"/>
          <w:szCs w:val="24"/>
          <w:highlight w:val="none"/>
        </w:rPr>
        <w:t>总</w:t>
      </w:r>
      <w:r>
        <w:rPr>
          <w:rFonts w:ascii="Times New Roman" w:hAnsi="宋体"/>
          <w:color w:val="auto"/>
          <w:sz w:val="24"/>
          <w:szCs w:val="24"/>
          <w:highlight w:val="none"/>
        </w:rPr>
        <w:t>分相同的，以投标报价低的</w:t>
      </w:r>
      <w:r>
        <w:rPr>
          <w:rFonts w:hint="default" w:ascii="Times New Roman" w:hAnsi="宋体"/>
          <w:color w:val="auto"/>
          <w:sz w:val="24"/>
          <w:szCs w:val="24"/>
          <w:highlight w:val="none"/>
        </w:rPr>
        <w:t>优先</w:t>
      </w:r>
      <w:r>
        <w:rPr>
          <w:rFonts w:ascii="Times New Roman" w:hAnsi="宋体"/>
          <w:color w:val="auto"/>
          <w:sz w:val="24"/>
          <w:szCs w:val="24"/>
          <w:highlight w:val="none"/>
        </w:rPr>
        <w:t>；投标报价仍相同的，以</w:t>
      </w:r>
      <w:r>
        <w:rPr>
          <w:rFonts w:hint="eastAsia" w:ascii="Times New Roman" w:hAnsi="宋体"/>
          <w:color w:val="auto"/>
          <w:sz w:val="24"/>
          <w:szCs w:val="24"/>
          <w:highlight w:val="none"/>
          <w:lang w:eastAsia="zh-CN"/>
        </w:rPr>
        <w:t>信用评价得分</w:t>
      </w:r>
      <w:r>
        <w:rPr>
          <w:rFonts w:ascii="Times New Roman" w:hAnsi="宋体"/>
          <w:color w:val="auto"/>
          <w:sz w:val="24"/>
          <w:szCs w:val="24"/>
          <w:highlight w:val="none"/>
        </w:rPr>
        <w:t>靠前的</w:t>
      </w:r>
      <w:r>
        <w:rPr>
          <w:rFonts w:hint="default" w:ascii="Times New Roman" w:hAnsi="宋体"/>
          <w:color w:val="auto"/>
          <w:sz w:val="24"/>
          <w:szCs w:val="24"/>
          <w:highlight w:val="none"/>
        </w:rPr>
        <w:t>优先</w:t>
      </w:r>
      <w:r>
        <w:rPr>
          <w:rFonts w:ascii="Times New Roman" w:hAnsi="宋体"/>
          <w:color w:val="auto"/>
          <w:sz w:val="24"/>
          <w:szCs w:val="24"/>
          <w:highlight w:val="none"/>
        </w:rPr>
        <w:t>；上述均相同的</w:t>
      </w:r>
      <w:r>
        <w:rPr>
          <w:rFonts w:hint="eastAsia" w:ascii="Times New Roman" w:hAnsi="Times New Roman" w:eastAsia="宋体"/>
          <w:color w:val="0000FF"/>
          <w:sz w:val="24"/>
          <w:szCs w:val="24"/>
          <w:highlight w:val="none"/>
          <w:u w:val="single"/>
          <w:lang w:val="zh-CN"/>
        </w:rPr>
        <w:t xml:space="preserve">  （在招标文件中明确确定方式</w:t>
      </w:r>
      <w:r>
        <w:rPr>
          <w:rFonts w:hint="default" w:ascii="Times New Roman" w:hAnsi="Times New Roman" w:eastAsia="宋体"/>
          <w:color w:val="0000FF"/>
          <w:sz w:val="24"/>
          <w:szCs w:val="24"/>
          <w:highlight w:val="none"/>
          <w:u w:val="single"/>
          <w:lang w:val="zh-CN"/>
        </w:rPr>
        <w:t>）</w:t>
      </w:r>
      <w:r>
        <w:rPr>
          <w:rFonts w:hint="eastAsia" w:ascii="Times New Roman" w:hAnsi="Times New Roman" w:eastAsia="宋体"/>
          <w:color w:val="0000FF"/>
          <w:sz w:val="24"/>
          <w:szCs w:val="24"/>
          <w:highlight w:val="none"/>
          <w:u w:val="single"/>
          <w:lang w:val="zh-CN"/>
        </w:rPr>
        <w:t xml:space="preserve">   </w:t>
      </w:r>
      <w:r>
        <w:rPr>
          <w:rFonts w:ascii="Times New Roman" w:hAnsi="宋体"/>
          <w:color w:val="auto"/>
          <w:sz w:val="24"/>
          <w:szCs w:val="24"/>
          <w:highlight w:val="none"/>
        </w:rPr>
        <w:t>。</w:t>
      </w:r>
      <w:r>
        <w:rPr>
          <w:rFonts w:hint="eastAsia" w:ascii="Times New Roman" w:hAnsi="宋体"/>
          <w:color w:val="auto"/>
          <w:sz w:val="24"/>
          <w:szCs w:val="24"/>
          <w:highlight w:val="none"/>
          <w:lang w:eastAsia="zh-CN"/>
        </w:rPr>
        <w:t>推荐的中标候选人资格</w:t>
      </w:r>
      <w:r>
        <w:rPr>
          <w:rFonts w:hint="eastAsia" w:ascii="Times New Roman" w:hAnsi="宋体"/>
          <w:color w:val="auto"/>
          <w:sz w:val="24"/>
          <w:szCs w:val="24"/>
          <w:highlight w:val="none"/>
          <w:lang w:val="en-US" w:eastAsia="zh-CN"/>
        </w:rPr>
        <w:t>名单不排序。</w:t>
      </w:r>
    </w:p>
    <w:p>
      <w:pPr>
        <w:kinsoku w:val="0"/>
        <w:snapToGrid w:val="0"/>
        <w:spacing w:line="360" w:lineRule="auto"/>
        <w:ind w:firstLine="480" w:firstLineChars="200"/>
        <w:rPr>
          <w:rFonts w:hint="eastAsia" w:ascii="Times New Roman" w:hAnsi="Times New Roman"/>
          <w:sz w:val="24"/>
          <w:szCs w:val="24"/>
          <w:highlight w:val="none"/>
          <w:lang w:val="zh-CN"/>
        </w:rPr>
      </w:pPr>
      <w:r>
        <w:rPr>
          <w:rFonts w:hint="eastAsia" w:ascii="Times New Roman" w:hAnsi="Times New Roman"/>
          <w:sz w:val="24"/>
          <w:szCs w:val="24"/>
          <w:highlight w:val="none"/>
          <w:lang w:val="zh-CN"/>
        </w:rPr>
        <w:t>评标委员会对拟确定的推荐中标候选人和其拟派项目负责人，是否列入失信被执行人名单及在本招标文件（招标公告）规定时间范围内是否有贿赂犯罪记录</w:t>
      </w:r>
      <w:r>
        <w:rPr>
          <w:rFonts w:hint="eastAsia" w:ascii="Times New Roman" w:hAnsi="Times New Roman"/>
          <w:sz w:val="24"/>
          <w:szCs w:val="24"/>
          <w:highlight w:val="none"/>
          <w:lang w:val="zh-CN" w:eastAsia="zh-CN"/>
        </w:rPr>
        <w:t>；</w:t>
      </w:r>
      <w:r>
        <w:rPr>
          <w:rFonts w:hint="eastAsia" w:ascii="Times New Roman" w:hAnsi="Times New Roman"/>
          <w:sz w:val="24"/>
          <w:szCs w:val="24"/>
          <w:highlight w:val="none"/>
          <w:lang w:val="en-US" w:eastAsia="zh-CN"/>
        </w:rPr>
        <w:t>是否</w:t>
      </w:r>
      <w:r>
        <w:rPr>
          <w:rFonts w:hint="default" w:ascii="Times New Roman" w:hAnsi="Times New Roman"/>
          <w:sz w:val="24"/>
          <w:szCs w:val="24"/>
          <w:highlight w:val="none"/>
          <w:lang w:val="en-US" w:eastAsia="zh-CN"/>
        </w:rPr>
        <w:t>被列入建筑市场严重失信名单的</w:t>
      </w:r>
      <w:r>
        <w:rPr>
          <w:rFonts w:hint="eastAsia" w:ascii="Times New Roman" w:hAnsi="Times New Roman"/>
          <w:sz w:val="24"/>
          <w:szCs w:val="24"/>
          <w:highlight w:val="none"/>
          <w:lang w:val="en-US" w:eastAsia="zh-CN"/>
        </w:rPr>
        <w:t>、是否被市场监督管理机关在全国企业信用信息公示系统中列入严重违法失信企业名单的、是否被人力资源社会保障行政部门列入失信联合惩戒名单（有效期内）的</w:t>
      </w:r>
      <w:r>
        <w:rPr>
          <w:rFonts w:hint="eastAsia" w:ascii="Times New Roman" w:hAnsi="Times New Roman"/>
          <w:sz w:val="24"/>
          <w:szCs w:val="24"/>
          <w:highlight w:val="none"/>
          <w:lang w:val="zh-CN"/>
        </w:rPr>
        <w:t>情形进行查验。如查实存在的，则取消其中标候选人资格。</w:t>
      </w:r>
    </w:p>
    <w:p>
      <w:pPr>
        <w:kinsoku w:val="0"/>
        <w:snapToGrid w:val="0"/>
        <w:spacing w:line="360" w:lineRule="auto"/>
        <w:ind w:firstLine="480" w:firstLineChars="200"/>
        <w:rPr>
          <w:rFonts w:hint="eastAsia" w:ascii="Times New Roman" w:hAnsi="Times New Roman"/>
          <w:sz w:val="24"/>
          <w:szCs w:val="24"/>
          <w:highlight w:val="none"/>
          <w:lang w:val="zh-CN"/>
        </w:rPr>
      </w:pPr>
      <w:r>
        <w:rPr>
          <w:rFonts w:hint="eastAsia" w:ascii="Times New Roman" w:hAnsi="Times New Roman"/>
          <w:sz w:val="24"/>
          <w:szCs w:val="24"/>
          <w:highlight w:val="none"/>
          <w:lang w:val="zh-CN"/>
        </w:rPr>
        <w:t>当有效投标人＜3个时，评标委员会应判定本次投标是否具有竞争力。若评标委员会认为本次投标明显缺乏竞争的，可以否决全部投标。</w:t>
      </w:r>
    </w:p>
    <w:p>
      <w:pPr>
        <w:rPr>
          <w:rFonts w:ascii="Times New Roman" w:hAnsi="Times New Roman"/>
          <w:sz w:val="24"/>
          <w:szCs w:val="24"/>
          <w:highlight w:val="none"/>
        </w:rPr>
        <w:sectPr>
          <w:pgSz w:w="11906" w:h="16838"/>
          <w:pgMar w:top="1440" w:right="1800" w:bottom="1440" w:left="1800" w:header="851" w:footer="992" w:gutter="0"/>
          <w:cols w:space="720" w:num="1"/>
          <w:docGrid w:type="lines" w:linePitch="312" w:charSpace="0"/>
        </w:sectPr>
      </w:pPr>
    </w:p>
    <w:p>
      <w:pPr>
        <w:rPr>
          <w:rFonts w:ascii="Times New Roman" w:hAnsi="Times New Roman"/>
          <w:b/>
          <w:bCs/>
          <w:highlight w:val="none"/>
        </w:rPr>
      </w:pPr>
    </w:p>
    <w:p>
      <w:pPr>
        <w:jc w:val="center"/>
        <w:rPr>
          <w:b/>
          <w:bCs/>
          <w:highlight w:val="none"/>
        </w:rPr>
      </w:pPr>
      <w:bookmarkStart w:id="29" w:name="_Toc20545"/>
      <w:bookmarkStart w:id="30" w:name="_Toc493511449"/>
      <w:r>
        <w:rPr>
          <w:rFonts w:hint="eastAsia" w:ascii="Times New Roman" w:hAnsi="宋体" w:eastAsia="宋体" w:cs="Times New Roman"/>
          <w:b/>
          <w:bCs/>
          <w:color w:val="auto"/>
          <w:sz w:val="24"/>
          <w:szCs w:val="24"/>
          <w:highlight w:val="none"/>
          <w:lang w:val="en-US" w:eastAsia="zh-CN" w:bidi="ar-SA"/>
        </w:rPr>
        <w:t>□</w:t>
      </w:r>
      <w:r>
        <w:rPr>
          <w:rFonts w:ascii="宋体" w:hAnsi="宋体"/>
          <w:b/>
          <w:bCs/>
          <w:color w:val="auto"/>
          <w:sz w:val="24"/>
          <w:szCs w:val="24"/>
          <w:highlight w:val="none"/>
        </w:rPr>
        <w:t>第二节 定标办法</w:t>
      </w:r>
      <w:bookmarkEnd w:id="29"/>
      <w:bookmarkEnd w:id="30"/>
      <w:r>
        <w:rPr>
          <w:rFonts w:hint="eastAsia" w:ascii="宋体" w:hAnsi="宋体"/>
          <w:b/>
          <w:bCs/>
          <w:i/>
          <w:iCs/>
          <w:color w:val="auto"/>
          <w:sz w:val="24"/>
          <w:szCs w:val="24"/>
          <w:highlight w:val="none"/>
          <w:lang w:eastAsia="zh-CN"/>
        </w:rPr>
        <w:t>（</w:t>
      </w:r>
      <w:r>
        <w:rPr>
          <w:rFonts w:hint="eastAsia" w:ascii="宋体" w:hAnsi="宋体"/>
          <w:b/>
          <w:bCs/>
          <w:i/>
          <w:iCs/>
          <w:color w:val="auto"/>
          <w:sz w:val="24"/>
          <w:szCs w:val="24"/>
          <w:highlight w:val="none"/>
          <w:lang w:val="en-US" w:eastAsia="zh-CN"/>
        </w:rPr>
        <w:t>适用于“评定分离”项目）</w:t>
      </w:r>
    </w:p>
    <w:p>
      <w:pPr>
        <w:keepNext w:val="0"/>
        <w:keepLines w:val="0"/>
        <w:pageBreakBefore w:val="0"/>
        <w:widowControl w:val="0"/>
        <w:kinsoku/>
        <w:wordWrap/>
        <w:overflowPunct/>
        <w:topLinePunct w:val="0"/>
        <w:bidi w:val="0"/>
        <w:snapToGrid w:val="0"/>
        <w:spacing w:line="240" w:lineRule="auto"/>
        <w:ind w:left="0" w:firstLine="472" w:firstLineChars="196"/>
        <w:textAlignment w:val="auto"/>
        <w:rPr>
          <w:rFonts w:ascii="宋体" w:hAnsi="宋体"/>
          <w:b/>
          <w:color w:val="auto"/>
          <w:kern w:val="0"/>
          <w:sz w:val="24"/>
          <w:highlight w:val="none"/>
        </w:rPr>
      </w:pPr>
    </w:p>
    <w:p>
      <w:pPr>
        <w:kinsoku w:val="0"/>
        <w:snapToGrid w:val="0"/>
        <w:spacing w:line="360" w:lineRule="auto"/>
        <w:ind w:firstLine="482" w:firstLineChars="200"/>
        <w:rPr>
          <w:rFonts w:hint="eastAsia" w:ascii="Times New Roman" w:hAnsi="Times New Roman"/>
          <w:b/>
          <w:bCs/>
          <w:sz w:val="24"/>
          <w:szCs w:val="24"/>
          <w:highlight w:val="none"/>
          <w:lang w:val="en-US" w:eastAsia="zh-CN"/>
        </w:rPr>
      </w:pPr>
      <w:r>
        <w:rPr>
          <w:rFonts w:hint="eastAsia" w:ascii="Times New Roman" w:hAnsi="Times New Roman"/>
          <w:b/>
          <w:bCs/>
          <w:sz w:val="24"/>
          <w:szCs w:val="24"/>
          <w:highlight w:val="none"/>
          <w:lang w:val="en-US" w:eastAsia="zh-CN"/>
        </w:rPr>
        <w:t>一、定标原则</w:t>
      </w:r>
    </w:p>
    <w:p>
      <w:pPr>
        <w:kinsoku w:val="0"/>
        <w:snapToGrid w:val="0"/>
        <w:spacing w:line="360" w:lineRule="auto"/>
        <w:ind w:firstLine="480" w:firstLineChars="200"/>
        <w:rPr>
          <w:rFonts w:hint="eastAsia"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定标应遵循招标人负责制、公开透明、诚信守约的原则。</w:t>
      </w:r>
    </w:p>
    <w:p>
      <w:pPr>
        <w:kinsoku w:val="0"/>
        <w:snapToGrid w:val="0"/>
        <w:spacing w:line="360" w:lineRule="auto"/>
        <w:ind w:firstLine="482" w:firstLineChars="200"/>
        <w:rPr>
          <w:rFonts w:hint="eastAsia" w:ascii="Times New Roman" w:hAnsi="Times New Roman"/>
          <w:b/>
          <w:bCs/>
          <w:sz w:val="24"/>
          <w:szCs w:val="24"/>
          <w:highlight w:val="none"/>
          <w:lang w:val="en-US" w:eastAsia="zh-CN"/>
        </w:rPr>
      </w:pPr>
      <w:r>
        <w:rPr>
          <w:rFonts w:hint="eastAsia" w:ascii="Times New Roman" w:hAnsi="Times New Roman"/>
          <w:b/>
          <w:bCs/>
          <w:sz w:val="24"/>
          <w:szCs w:val="24"/>
          <w:highlight w:val="none"/>
          <w:lang w:val="en-US" w:eastAsia="zh-CN"/>
        </w:rPr>
        <w:t>二、定标组织</w:t>
      </w:r>
    </w:p>
    <w:p>
      <w:pPr>
        <w:kinsoku w:val="0"/>
        <w:snapToGrid w:val="0"/>
        <w:spacing w:line="360" w:lineRule="auto"/>
        <w:ind w:firstLine="480" w:firstLineChars="200"/>
        <w:rPr>
          <w:rFonts w:hint="default"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（一）</w:t>
      </w:r>
      <w:r>
        <w:rPr>
          <w:rFonts w:hint="default" w:ascii="Times New Roman" w:hAnsi="Times New Roman"/>
          <w:sz w:val="24"/>
          <w:szCs w:val="24"/>
          <w:highlight w:val="none"/>
          <w:lang w:val="en-US" w:eastAsia="zh-CN"/>
        </w:rPr>
        <w:t>定标工作由招标人组建的定标委员会负责，定标委员会的组建</w:t>
      </w:r>
      <w:r>
        <w:rPr>
          <w:rFonts w:hint="eastAsia" w:ascii="Times New Roman" w:hAnsi="Times New Roman"/>
          <w:sz w:val="24"/>
          <w:szCs w:val="24"/>
          <w:highlight w:val="none"/>
          <w:lang w:val="en-US" w:eastAsia="zh-CN"/>
        </w:rPr>
        <w:t>：</w:t>
      </w:r>
    </w:p>
    <w:p>
      <w:pPr>
        <w:kinsoku w:val="0"/>
        <w:snapToGrid w:val="0"/>
        <w:spacing w:line="360" w:lineRule="auto"/>
        <w:ind w:firstLine="480" w:firstLineChars="200"/>
        <w:rPr>
          <w:rFonts w:hint="eastAsia"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1.</w:t>
      </w:r>
      <w:r>
        <w:rPr>
          <w:rFonts w:hint="default" w:ascii="Times New Roman" w:hAnsi="Times New Roman"/>
          <w:sz w:val="24"/>
          <w:szCs w:val="24"/>
          <w:highlight w:val="none"/>
          <w:lang w:val="en-US" w:eastAsia="zh-CN"/>
        </w:rPr>
        <w:t>定标委员会</w:t>
      </w:r>
      <w:r>
        <w:rPr>
          <w:rFonts w:hint="eastAsia" w:ascii="Times New Roman" w:hAnsi="Times New Roman"/>
          <w:sz w:val="24"/>
          <w:szCs w:val="24"/>
          <w:highlight w:val="none"/>
          <w:lang w:val="en-US" w:eastAsia="zh-CN"/>
        </w:rPr>
        <w:t>组建人数</w:t>
      </w:r>
      <w:r>
        <w:rPr>
          <w:rFonts w:hint="default" w:ascii="Times New Roman" w:hAnsi="Times New Roman"/>
          <w:sz w:val="24"/>
          <w:szCs w:val="24"/>
          <w:highlight w:val="none"/>
          <w:lang w:val="en-US" w:eastAsia="zh-CN"/>
        </w:rPr>
        <w:t>见投标人须知前附表</w:t>
      </w:r>
      <w:r>
        <w:rPr>
          <w:rFonts w:hint="eastAsia" w:ascii="Times New Roman" w:hAnsi="Times New Roman"/>
          <w:sz w:val="24"/>
          <w:szCs w:val="24"/>
          <w:highlight w:val="none"/>
          <w:lang w:val="en-US" w:eastAsia="zh-CN"/>
        </w:rPr>
        <w:t>。</w:t>
      </w:r>
    </w:p>
    <w:p>
      <w:pPr>
        <w:kinsoku w:val="0"/>
        <w:snapToGrid w:val="0"/>
        <w:spacing w:line="360" w:lineRule="auto"/>
        <w:ind w:firstLine="480" w:firstLineChars="200"/>
        <w:rPr>
          <w:rFonts w:hint="default"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2.</w:t>
      </w:r>
      <w:r>
        <w:rPr>
          <w:rFonts w:hint="default" w:ascii="Times New Roman" w:hAnsi="Times New Roman"/>
          <w:sz w:val="24"/>
          <w:szCs w:val="24"/>
          <w:highlight w:val="none"/>
          <w:lang w:val="en-US" w:eastAsia="zh-CN"/>
        </w:rPr>
        <w:t>定标委员会成员一般由招标人代表、项目业主代表和项目使用单位代表组成。评标委员会成员原则上不得担任定标委员会成员。</w:t>
      </w:r>
    </w:p>
    <w:p>
      <w:pPr>
        <w:kinsoku w:val="0"/>
        <w:snapToGrid w:val="0"/>
        <w:spacing w:line="360" w:lineRule="auto"/>
        <w:ind w:firstLine="480" w:firstLineChars="200"/>
        <w:rPr>
          <w:rFonts w:hint="default"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3.</w:t>
      </w:r>
      <w:r>
        <w:rPr>
          <w:rFonts w:hint="default" w:ascii="Times New Roman" w:hAnsi="Times New Roman"/>
          <w:sz w:val="24"/>
          <w:szCs w:val="24"/>
          <w:highlight w:val="none"/>
          <w:lang w:val="en-US" w:eastAsia="zh-CN"/>
        </w:rPr>
        <w:t>招标人的法定代表人或主要负责人或分管负责人应进入定标委员会，并担任组长，主持定标会议。招标人的法定代表人、主要负责人、分管负责人均进入定标委员会的，或其中两人进入定标委员会的，应从其中推选一人担任组长。</w:t>
      </w:r>
    </w:p>
    <w:p>
      <w:pPr>
        <w:kinsoku w:val="0"/>
        <w:snapToGrid w:val="0"/>
        <w:spacing w:line="360" w:lineRule="auto"/>
        <w:ind w:firstLine="480" w:firstLineChars="200"/>
        <w:rPr>
          <w:rFonts w:hint="default"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4.</w:t>
      </w:r>
      <w:r>
        <w:rPr>
          <w:rFonts w:hint="default" w:ascii="Times New Roman" w:hAnsi="Times New Roman"/>
          <w:sz w:val="24"/>
          <w:szCs w:val="24"/>
          <w:highlight w:val="none"/>
          <w:lang w:val="en-US" w:eastAsia="zh-CN"/>
        </w:rPr>
        <w:t>定标委员会成员与中标候选人有利害关系的应主动说明并申请回避。</w:t>
      </w:r>
    </w:p>
    <w:p>
      <w:pPr>
        <w:kinsoku w:val="0"/>
        <w:snapToGrid w:val="0"/>
        <w:spacing w:line="360" w:lineRule="auto"/>
        <w:ind w:firstLine="480" w:firstLineChars="200"/>
        <w:rPr>
          <w:rFonts w:hint="default"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5.</w:t>
      </w:r>
      <w:r>
        <w:rPr>
          <w:rFonts w:hint="default" w:ascii="Times New Roman" w:hAnsi="Times New Roman"/>
          <w:sz w:val="24"/>
          <w:szCs w:val="24"/>
          <w:highlight w:val="none"/>
          <w:lang w:val="en-US" w:eastAsia="zh-CN"/>
        </w:rPr>
        <w:t>定标委员会名单在中标结果确定前应保密。</w:t>
      </w:r>
    </w:p>
    <w:p>
      <w:pPr>
        <w:kinsoku w:val="0"/>
        <w:snapToGrid w:val="0"/>
        <w:spacing w:line="360" w:lineRule="auto"/>
        <w:ind w:firstLine="480" w:firstLineChars="200"/>
        <w:rPr>
          <w:rFonts w:hint="default"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（二）</w:t>
      </w:r>
      <w:r>
        <w:rPr>
          <w:rFonts w:hint="default" w:ascii="Times New Roman" w:hAnsi="Times New Roman"/>
          <w:sz w:val="24"/>
          <w:szCs w:val="24"/>
          <w:highlight w:val="none"/>
          <w:lang w:val="en-US" w:eastAsia="zh-CN"/>
        </w:rPr>
        <w:t>定标委员会应当按照招标文件确定的定标标准和方法，客观、公正定标，招标文件没有规定的定标标准和方法不得作为定标的依据。</w:t>
      </w:r>
    </w:p>
    <w:p>
      <w:pPr>
        <w:kinsoku w:val="0"/>
        <w:snapToGrid w:val="0"/>
        <w:spacing w:line="360" w:lineRule="auto"/>
        <w:ind w:firstLine="482" w:firstLineChars="200"/>
        <w:rPr>
          <w:rFonts w:hint="eastAsia" w:ascii="Times New Roman" w:hAnsi="Times New Roman"/>
          <w:b/>
          <w:bCs/>
          <w:sz w:val="24"/>
          <w:szCs w:val="24"/>
          <w:highlight w:val="none"/>
          <w:lang w:val="en-US" w:eastAsia="zh-CN"/>
        </w:rPr>
      </w:pPr>
      <w:r>
        <w:rPr>
          <w:rFonts w:hint="eastAsia" w:ascii="Times New Roman" w:hAnsi="Times New Roman"/>
          <w:b/>
          <w:bCs/>
          <w:sz w:val="24"/>
          <w:szCs w:val="24"/>
          <w:highlight w:val="none"/>
          <w:lang w:val="en-US" w:eastAsia="zh-CN"/>
        </w:rPr>
        <w:t>三、定标要素（与前附表须知相对应）</w:t>
      </w:r>
    </w:p>
    <w:p>
      <w:pPr>
        <w:kinsoku w:val="0"/>
        <w:snapToGrid w:val="0"/>
        <w:spacing w:line="360" w:lineRule="auto"/>
        <w:ind w:firstLine="480" w:firstLineChars="200"/>
        <w:rPr>
          <w:rFonts w:hint="eastAsia"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□1.工程保修维护等后续服务便利</w:t>
      </w:r>
      <w:r>
        <w:rPr>
          <w:rFonts w:hint="eastAsia" w:ascii="Times New Roman" w:hAnsi="Times New Roman"/>
          <w:color w:val="0000FF"/>
          <w:sz w:val="24"/>
          <w:szCs w:val="24"/>
          <w:highlight w:val="none"/>
          <w:u w:val="single"/>
          <w:lang w:val="en-US" w:eastAsia="zh-CN"/>
        </w:rPr>
        <w:t xml:space="preserve">：                     </w:t>
      </w:r>
      <w:r>
        <w:rPr>
          <w:rFonts w:hint="eastAsia" w:ascii="Times New Roman" w:hAnsi="Times New Roman"/>
          <w:sz w:val="24"/>
          <w:szCs w:val="24"/>
          <w:highlight w:val="none"/>
          <w:lang w:val="en-US" w:eastAsia="zh-CN"/>
        </w:rPr>
        <w:t>；</w:t>
      </w:r>
    </w:p>
    <w:p>
      <w:pPr>
        <w:kinsoku w:val="0"/>
        <w:snapToGrid w:val="0"/>
        <w:spacing w:line="360" w:lineRule="auto"/>
        <w:ind w:firstLine="480" w:firstLineChars="200"/>
        <w:rPr>
          <w:rFonts w:hint="eastAsia"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□2.落实建筑业高质量发展政策</w:t>
      </w:r>
      <w:r>
        <w:rPr>
          <w:rFonts w:hint="eastAsia" w:ascii="Times New Roman" w:hAnsi="Times New Roman"/>
          <w:color w:val="0000FF"/>
          <w:sz w:val="24"/>
          <w:szCs w:val="24"/>
          <w:highlight w:val="none"/>
          <w:u w:val="single"/>
          <w:lang w:val="en-US" w:eastAsia="zh-CN"/>
        </w:rPr>
        <w:t xml:space="preserve">：                     </w:t>
      </w:r>
      <w:r>
        <w:rPr>
          <w:rFonts w:hint="eastAsia" w:ascii="Times New Roman" w:hAnsi="Times New Roman"/>
          <w:sz w:val="24"/>
          <w:szCs w:val="24"/>
          <w:highlight w:val="none"/>
          <w:lang w:val="en-US" w:eastAsia="zh-CN"/>
        </w:rPr>
        <w:t>；</w:t>
      </w:r>
    </w:p>
    <w:p>
      <w:pPr>
        <w:kinsoku w:val="0"/>
        <w:snapToGrid w:val="0"/>
        <w:spacing w:line="360" w:lineRule="auto"/>
        <w:ind w:firstLine="480" w:firstLineChars="200"/>
        <w:rPr>
          <w:rFonts w:hint="eastAsia"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□3.落实政府其他政策</w:t>
      </w:r>
      <w:r>
        <w:rPr>
          <w:rFonts w:hint="eastAsia" w:ascii="Times New Roman" w:hAnsi="Times New Roman"/>
          <w:color w:val="0000FF"/>
          <w:sz w:val="24"/>
          <w:szCs w:val="24"/>
          <w:highlight w:val="none"/>
          <w:u w:val="single"/>
          <w:lang w:val="en-US" w:eastAsia="zh-CN"/>
        </w:rPr>
        <w:t xml:space="preserve">：                     </w:t>
      </w:r>
      <w:r>
        <w:rPr>
          <w:rFonts w:hint="eastAsia" w:ascii="Times New Roman" w:hAnsi="Times New Roman"/>
          <w:sz w:val="24"/>
          <w:szCs w:val="24"/>
          <w:highlight w:val="none"/>
          <w:lang w:val="en-US" w:eastAsia="zh-CN"/>
        </w:rPr>
        <w:t>；</w:t>
      </w:r>
    </w:p>
    <w:p>
      <w:pPr>
        <w:kinsoku w:val="0"/>
        <w:snapToGrid w:val="0"/>
        <w:spacing w:line="360" w:lineRule="auto"/>
        <w:ind w:firstLine="480" w:firstLineChars="200"/>
        <w:rPr>
          <w:rFonts w:hint="eastAsia"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□4.价格因素（主要包括商务报价高低、主要材料报价的合理性、不平衡报价情况等）</w:t>
      </w:r>
      <w:r>
        <w:rPr>
          <w:rFonts w:hint="eastAsia" w:ascii="Times New Roman" w:hAnsi="Times New Roman"/>
          <w:color w:val="0000FF"/>
          <w:sz w:val="24"/>
          <w:szCs w:val="24"/>
          <w:highlight w:val="none"/>
          <w:u w:val="single"/>
          <w:lang w:val="en-US" w:eastAsia="zh-CN"/>
        </w:rPr>
        <w:t xml:space="preserve">：                   </w:t>
      </w:r>
      <w:r>
        <w:rPr>
          <w:rFonts w:hint="eastAsia" w:ascii="Times New Roman" w:hAnsi="Times New Roman"/>
          <w:sz w:val="24"/>
          <w:szCs w:val="24"/>
          <w:highlight w:val="none"/>
          <w:lang w:val="en-US" w:eastAsia="zh-CN"/>
        </w:rPr>
        <w:t>；</w:t>
      </w:r>
    </w:p>
    <w:p>
      <w:pPr>
        <w:kinsoku w:val="0"/>
        <w:snapToGrid w:val="0"/>
        <w:spacing w:line="360" w:lineRule="auto"/>
        <w:ind w:firstLine="480" w:firstLineChars="200"/>
        <w:rPr>
          <w:rFonts w:hint="eastAsia"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□5.企业实力（主要包括企业规模、资质等级、专业技术人员规模、近年的财务状况、过往业绩（含业绩影响力、难易程度）等）</w:t>
      </w:r>
      <w:r>
        <w:rPr>
          <w:rFonts w:hint="eastAsia" w:ascii="Times New Roman" w:hAnsi="Times New Roman"/>
          <w:color w:val="0000FF"/>
          <w:sz w:val="24"/>
          <w:szCs w:val="24"/>
          <w:highlight w:val="none"/>
          <w:u w:val="single"/>
          <w:lang w:val="en-US" w:eastAsia="zh-CN"/>
        </w:rPr>
        <w:t xml:space="preserve">：                   </w:t>
      </w:r>
      <w:r>
        <w:rPr>
          <w:rFonts w:hint="eastAsia" w:ascii="Times New Roman" w:hAnsi="Times New Roman"/>
          <w:sz w:val="24"/>
          <w:szCs w:val="24"/>
          <w:highlight w:val="none"/>
          <w:lang w:val="en-US" w:eastAsia="zh-CN"/>
        </w:rPr>
        <w:t>；</w:t>
      </w:r>
    </w:p>
    <w:p>
      <w:pPr>
        <w:kinsoku w:val="0"/>
        <w:snapToGrid w:val="0"/>
        <w:spacing w:line="360" w:lineRule="auto"/>
        <w:ind w:firstLine="480" w:firstLineChars="200"/>
        <w:rPr>
          <w:rFonts w:hint="eastAsia"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□6.企业信誉（主要包括企业信用情况、过往业绩履约情况、建设单位履约评价情况等）（可查询全国和浙江省建筑市场监管公共服务平台）：</w:t>
      </w:r>
    </w:p>
    <w:p>
      <w:pPr>
        <w:kinsoku w:val="0"/>
        <w:snapToGrid w:val="0"/>
        <w:spacing w:line="360" w:lineRule="auto"/>
        <w:ind w:firstLine="480" w:firstLineChars="200"/>
        <w:rPr>
          <w:rFonts w:hint="eastAsia" w:ascii="Times New Roman" w:hAnsi="Times New Roman"/>
          <w:color w:val="0000FF"/>
          <w:sz w:val="24"/>
          <w:szCs w:val="24"/>
          <w:highlight w:val="none"/>
          <w:u w:val="single"/>
          <w:lang w:val="en-US" w:eastAsia="zh-CN"/>
        </w:rPr>
      </w:pPr>
      <w:r>
        <w:rPr>
          <w:rFonts w:hint="eastAsia" w:ascii="Times New Roman" w:hAnsi="Times New Roman"/>
          <w:color w:val="0000FF"/>
          <w:sz w:val="24"/>
          <w:szCs w:val="24"/>
          <w:highlight w:val="none"/>
          <w:u w:val="single"/>
          <w:lang w:val="en-US" w:eastAsia="zh-CN"/>
        </w:rPr>
        <w:t xml:space="preserve">                   ；</w:t>
      </w:r>
    </w:p>
    <w:p>
      <w:pPr>
        <w:kinsoku w:val="0"/>
        <w:snapToGrid w:val="0"/>
        <w:spacing w:line="360" w:lineRule="auto"/>
        <w:ind w:firstLine="480" w:firstLineChars="200"/>
        <w:rPr>
          <w:rFonts w:hint="eastAsia"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□7.投标方案（主要包括技术标情况、工程建设重难点解决方案、主要材料品牌等）：</w:t>
      </w:r>
      <w:r>
        <w:rPr>
          <w:rFonts w:hint="eastAsia" w:ascii="Times New Roman" w:hAnsi="Times New Roman"/>
          <w:color w:val="0000FF"/>
          <w:sz w:val="24"/>
          <w:szCs w:val="24"/>
          <w:highlight w:val="none"/>
          <w:u w:val="single"/>
          <w:lang w:val="en-US" w:eastAsia="zh-CN"/>
        </w:rPr>
        <w:t xml:space="preserve">                   </w:t>
      </w:r>
      <w:r>
        <w:rPr>
          <w:rFonts w:hint="eastAsia" w:ascii="Times New Roman" w:hAnsi="Times New Roman"/>
          <w:color w:val="0000FF"/>
          <w:sz w:val="24"/>
          <w:szCs w:val="24"/>
          <w:highlight w:val="none"/>
          <w:lang w:val="en-US" w:eastAsia="zh-CN"/>
        </w:rPr>
        <w:t>；</w:t>
      </w:r>
    </w:p>
    <w:p>
      <w:pPr>
        <w:kinsoku w:val="0"/>
        <w:snapToGrid w:val="0"/>
        <w:spacing w:line="360" w:lineRule="auto"/>
        <w:ind w:firstLine="480" w:firstLineChars="200"/>
        <w:rPr>
          <w:rFonts w:hint="eastAsia"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□8.拟派团队能力与水平（主要包括团队主要负责人类似工程业绩、拟派项目团队人员的资信实力等）</w:t>
      </w:r>
      <w:r>
        <w:rPr>
          <w:rFonts w:hint="eastAsia" w:ascii="Times New Roman" w:hAnsi="Times New Roman"/>
          <w:color w:val="0000FF"/>
          <w:sz w:val="24"/>
          <w:szCs w:val="24"/>
          <w:highlight w:val="none"/>
          <w:u w:val="single"/>
          <w:lang w:val="en-US" w:eastAsia="zh-CN"/>
        </w:rPr>
        <w:t>：                                    ；</w:t>
      </w:r>
    </w:p>
    <w:p>
      <w:pPr>
        <w:kinsoku w:val="0"/>
        <w:snapToGrid w:val="0"/>
        <w:spacing w:line="360" w:lineRule="auto"/>
        <w:ind w:firstLine="480" w:firstLineChars="200"/>
        <w:rPr>
          <w:rFonts w:hint="eastAsia"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□9.联合体投标的，联合体组成情况</w:t>
      </w:r>
      <w:r>
        <w:rPr>
          <w:rFonts w:hint="eastAsia" w:ascii="Times New Roman" w:hAnsi="Times New Roman"/>
          <w:color w:val="0000FF"/>
          <w:sz w:val="24"/>
          <w:szCs w:val="24"/>
          <w:highlight w:val="none"/>
          <w:u w:val="single"/>
          <w:lang w:val="en-US" w:eastAsia="zh-CN"/>
        </w:rPr>
        <w:t xml:space="preserve">：                     </w:t>
      </w:r>
      <w:r>
        <w:rPr>
          <w:rFonts w:hint="eastAsia" w:ascii="Times New Roman" w:hAnsi="Times New Roman"/>
          <w:sz w:val="24"/>
          <w:szCs w:val="24"/>
          <w:highlight w:val="none"/>
          <w:lang w:val="en-US" w:eastAsia="zh-CN"/>
        </w:rPr>
        <w:t>；</w:t>
      </w:r>
    </w:p>
    <w:p>
      <w:pPr>
        <w:kinsoku w:val="0"/>
        <w:snapToGrid w:val="0"/>
        <w:spacing w:line="360" w:lineRule="auto"/>
        <w:ind w:firstLine="480" w:firstLineChars="200"/>
        <w:rPr>
          <w:rFonts w:hint="eastAsia"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□10.企业质量安全、无欠薪管理情况</w:t>
      </w:r>
      <w:r>
        <w:rPr>
          <w:rFonts w:hint="eastAsia" w:ascii="Times New Roman" w:hAnsi="Times New Roman"/>
          <w:color w:val="0000FF"/>
          <w:sz w:val="24"/>
          <w:szCs w:val="24"/>
          <w:highlight w:val="none"/>
          <w:u w:val="single"/>
          <w:lang w:val="en-US" w:eastAsia="zh-CN"/>
        </w:rPr>
        <w:t xml:space="preserve">：                     </w:t>
      </w:r>
      <w:r>
        <w:rPr>
          <w:rFonts w:hint="eastAsia" w:ascii="Times New Roman" w:hAnsi="Times New Roman"/>
          <w:sz w:val="24"/>
          <w:szCs w:val="24"/>
          <w:highlight w:val="none"/>
          <w:lang w:val="en-US" w:eastAsia="zh-CN"/>
        </w:rPr>
        <w:t>；</w:t>
      </w:r>
    </w:p>
    <w:p>
      <w:pPr>
        <w:kinsoku w:val="0"/>
        <w:snapToGrid w:val="0"/>
        <w:spacing w:line="360" w:lineRule="auto"/>
        <w:ind w:firstLine="480" w:firstLineChars="200"/>
        <w:rPr>
          <w:rFonts w:hint="eastAsia"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□11.企业项目班组人员到岗履职等管理情况</w:t>
      </w:r>
      <w:r>
        <w:rPr>
          <w:rFonts w:hint="eastAsia" w:ascii="Times New Roman" w:hAnsi="Times New Roman"/>
          <w:color w:val="0000FF"/>
          <w:sz w:val="24"/>
          <w:szCs w:val="24"/>
          <w:highlight w:val="none"/>
          <w:u w:val="single"/>
          <w:lang w:val="en-US" w:eastAsia="zh-CN"/>
        </w:rPr>
        <w:t xml:space="preserve">：                     </w:t>
      </w:r>
      <w:r>
        <w:rPr>
          <w:rFonts w:hint="eastAsia" w:ascii="Times New Roman" w:hAnsi="Times New Roman"/>
          <w:sz w:val="24"/>
          <w:szCs w:val="24"/>
          <w:highlight w:val="none"/>
          <w:lang w:val="en-US" w:eastAsia="zh-CN"/>
        </w:rPr>
        <w:t>；</w:t>
      </w:r>
    </w:p>
    <w:p>
      <w:pPr>
        <w:kinsoku w:val="0"/>
        <w:snapToGrid w:val="0"/>
        <w:spacing w:line="360" w:lineRule="auto"/>
        <w:ind w:firstLine="480" w:firstLineChars="200"/>
        <w:rPr>
          <w:rFonts w:hint="eastAsia"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□12.评标报告；</w:t>
      </w:r>
    </w:p>
    <w:p>
      <w:pPr>
        <w:kinsoku w:val="0"/>
        <w:snapToGrid w:val="0"/>
        <w:spacing w:line="360" w:lineRule="auto"/>
        <w:ind w:firstLine="480" w:firstLineChars="200"/>
        <w:rPr>
          <w:rFonts w:hint="eastAsia"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□13.质询或（和）考察报告；</w:t>
      </w:r>
    </w:p>
    <w:p>
      <w:pPr>
        <w:kinsoku w:val="0"/>
        <w:snapToGrid w:val="0"/>
        <w:spacing w:line="360" w:lineRule="auto"/>
        <w:ind w:firstLine="480" w:firstLineChars="200"/>
        <w:rPr>
          <w:rFonts w:hint="eastAsia"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□14.现场面试情况；</w:t>
      </w:r>
    </w:p>
    <w:p>
      <w:pPr>
        <w:kinsoku w:val="0"/>
        <w:snapToGrid w:val="0"/>
        <w:spacing w:line="360" w:lineRule="auto"/>
        <w:ind w:firstLine="480" w:firstLineChars="200"/>
        <w:rPr>
          <w:rFonts w:hint="eastAsia"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sym w:font="Wingdings 2" w:char="00A3"/>
      </w:r>
      <w:r>
        <w:rPr>
          <w:rFonts w:hint="eastAsia" w:ascii="Times New Roman" w:hAnsi="Times New Roman"/>
          <w:sz w:val="24"/>
          <w:szCs w:val="24"/>
          <w:highlight w:val="none"/>
          <w:lang w:val="en-US" w:eastAsia="zh-CN"/>
        </w:rPr>
        <w:t>15.招标人认为需要考量的其他因素：                   。</w:t>
      </w:r>
    </w:p>
    <w:p>
      <w:pPr>
        <w:keepNext w:val="0"/>
        <w:keepLines w:val="0"/>
        <w:pageBreakBefore w:val="0"/>
        <w:widowControl w:val="0"/>
        <w:kinsoku/>
        <w:wordWrap/>
        <w:overflowPunct/>
        <w:topLinePunct w:val="0"/>
        <w:bidi w:val="0"/>
        <w:snapToGrid w:val="0"/>
        <w:spacing w:line="360" w:lineRule="auto"/>
        <w:ind w:left="0" w:firstLine="482" w:firstLineChars="200"/>
        <w:textAlignment w:val="auto"/>
        <w:rPr>
          <w:rFonts w:ascii="宋体" w:hAnsi="宋体"/>
          <w:b/>
          <w:color w:val="auto"/>
          <w:kern w:val="0"/>
          <w:sz w:val="24"/>
          <w:szCs w:val="24"/>
          <w:highlight w:val="none"/>
        </w:rPr>
      </w:pPr>
      <w:r>
        <w:rPr>
          <w:rFonts w:ascii="宋体" w:hAnsi="宋体"/>
          <w:b/>
          <w:color w:val="auto"/>
          <w:kern w:val="0"/>
          <w:sz w:val="24"/>
          <w:szCs w:val="24"/>
          <w:highlight w:val="none"/>
        </w:rPr>
        <w:t xml:space="preserve"> </w:t>
      </w:r>
      <w:r>
        <w:rPr>
          <w:rFonts w:hint="eastAsia" w:ascii="宋体" w:hAnsi="宋体"/>
          <w:b/>
          <w:color w:val="auto"/>
          <w:kern w:val="0"/>
          <w:sz w:val="24"/>
          <w:szCs w:val="24"/>
          <w:highlight w:val="none"/>
          <w:lang w:eastAsia="zh-CN"/>
        </w:rPr>
        <w:t>四</w:t>
      </w:r>
      <w:r>
        <w:rPr>
          <w:rFonts w:ascii="宋体" w:hAnsi="宋体"/>
          <w:b/>
          <w:color w:val="auto"/>
          <w:kern w:val="0"/>
          <w:sz w:val="24"/>
          <w:szCs w:val="24"/>
          <w:highlight w:val="none"/>
        </w:rPr>
        <w:t>、定标</w:t>
      </w:r>
      <w:r>
        <w:rPr>
          <w:rFonts w:hint="default" w:ascii="宋体" w:hAnsi="宋体"/>
          <w:b/>
          <w:color w:val="auto"/>
          <w:kern w:val="0"/>
          <w:sz w:val="24"/>
          <w:szCs w:val="24"/>
          <w:highlight w:val="none"/>
          <w:lang w:val="en-US" w:eastAsia="zh-CN"/>
        </w:rPr>
        <w:t>方法</w:t>
      </w:r>
    </w:p>
    <w:p>
      <w:pPr>
        <w:pStyle w:val="10"/>
        <w:keepNext w:val="0"/>
        <w:keepLines w:val="0"/>
        <w:pageBreakBefore w:val="0"/>
        <w:widowControl w:val="0"/>
        <w:kinsoku/>
        <w:wordWrap/>
        <w:overflowPunct/>
        <w:topLinePunct w:val="0"/>
        <w:autoSpaceDE w:val="0"/>
        <w:autoSpaceDN w:val="0"/>
        <w:bidi w:val="0"/>
        <w:spacing w:line="360" w:lineRule="auto"/>
        <w:ind w:left="0" w:firstLine="480" w:firstLineChars="200"/>
        <w:jc w:val="both"/>
        <w:textAlignment w:val="auto"/>
        <w:rPr>
          <w:rFonts w:hint="eastAsia" w:ascii="Times New Roman" w:hAnsi="宋体" w:eastAsia="宋体" w:cs="Times New Roman"/>
          <w:color w:val="auto"/>
          <w:sz w:val="24"/>
          <w:szCs w:val="24"/>
          <w:highlight w:val="none"/>
          <w:lang w:val="en-US" w:eastAsia="zh-CN" w:bidi="ar-SA"/>
        </w:rPr>
      </w:pPr>
      <w:r>
        <w:rPr>
          <w:rFonts w:hint="default" w:ascii="Times New Roman" w:hAnsi="宋体" w:eastAsia="宋体" w:cs="Times New Roman"/>
          <w:color w:val="auto"/>
          <w:sz w:val="24"/>
          <w:szCs w:val="24"/>
          <w:highlight w:val="none"/>
          <w:lang w:val="en-US" w:eastAsia="zh-CN" w:bidi="ar-SA"/>
        </w:rPr>
        <w:t>定标委员会按</w:t>
      </w:r>
      <w:r>
        <w:rPr>
          <w:rFonts w:hint="eastAsia" w:ascii="Times New Roman" w:hAnsi="宋体" w:eastAsia="宋体" w:cs="Times New Roman"/>
          <w:color w:val="auto"/>
          <w:sz w:val="24"/>
          <w:szCs w:val="24"/>
          <w:highlight w:val="none"/>
          <w:lang w:val="en-US" w:eastAsia="zh-CN" w:bidi="ar-SA"/>
        </w:rPr>
        <w:t>下列</w:t>
      </w:r>
      <w:r>
        <w:rPr>
          <w:rFonts w:hint="default" w:ascii="Times New Roman" w:hAnsi="宋体" w:eastAsia="宋体" w:cs="Times New Roman"/>
          <w:color w:val="auto"/>
          <w:sz w:val="24"/>
          <w:szCs w:val="24"/>
          <w:highlight w:val="none"/>
          <w:lang w:val="en-US" w:eastAsia="zh-CN" w:bidi="ar-SA"/>
        </w:rPr>
        <w:t>方法确定中标人</w:t>
      </w:r>
      <w:r>
        <w:rPr>
          <w:rFonts w:hint="eastAsia" w:ascii="Times New Roman" w:hAnsi="宋体" w:eastAsia="宋体" w:cs="Times New Roman"/>
          <w:color w:val="auto"/>
          <w:sz w:val="24"/>
          <w:szCs w:val="24"/>
          <w:highlight w:val="none"/>
          <w:lang w:val="en-US" w:eastAsia="zh-CN" w:bidi="ar-SA"/>
        </w:rPr>
        <w:t>：</w:t>
      </w:r>
    </w:p>
    <w:p>
      <w:pPr>
        <w:pStyle w:val="10"/>
        <w:keepNext w:val="0"/>
        <w:keepLines w:val="0"/>
        <w:pageBreakBefore w:val="0"/>
        <w:widowControl w:val="0"/>
        <w:kinsoku/>
        <w:wordWrap/>
        <w:overflowPunct/>
        <w:topLinePunct w:val="0"/>
        <w:autoSpaceDE w:val="0"/>
        <w:autoSpaceDN w:val="0"/>
        <w:bidi w:val="0"/>
        <w:spacing w:line="360" w:lineRule="auto"/>
        <w:ind w:left="0" w:firstLine="480" w:firstLineChars="200"/>
        <w:jc w:val="both"/>
        <w:textAlignment w:val="auto"/>
        <w:rPr>
          <w:rFonts w:hint="eastAsia" w:ascii="Times New Roman" w:hAnsi="宋体" w:eastAsia="宋体" w:cs="Times New Roman"/>
          <w:color w:val="auto"/>
          <w:sz w:val="24"/>
          <w:szCs w:val="24"/>
          <w:highlight w:val="none"/>
          <w:lang w:val="en-US" w:eastAsia="zh-CN" w:bidi="ar-SA"/>
        </w:rPr>
      </w:pPr>
      <w:r>
        <w:rPr>
          <w:rFonts w:hint="eastAsia" w:ascii="Times New Roman" w:hAnsi="宋体" w:eastAsia="宋体" w:cs="Times New Roman"/>
          <w:color w:val="auto"/>
          <w:sz w:val="24"/>
          <w:szCs w:val="24"/>
          <w:highlight w:val="none"/>
          <w:lang w:val="en-US" w:eastAsia="zh-CN" w:bidi="ar-SA"/>
        </w:rPr>
        <w:t>□票决法。由定标委员会以直接票决或者逐轮票决的方式确定中标人。</w:t>
      </w:r>
    </w:p>
    <w:p>
      <w:pPr>
        <w:keepNext w:val="0"/>
        <w:keepLines w:val="0"/>
        <w:pageBreakBefore w:val="0"/>
        <w:widowControl w:val="0"/>
        <w:kinsoku/>
        <w:wordWrap/>
        <w:overflowPunct/>
        <w:topLinePunct w:val="0"/>
        <w:autoSpaceDE/>
        <w:autoSpaceDN/>
        <w:bidi w:val="0"/>
        <w:spacing w:line="360" w:lineRule="auto"/>
        <w:ind w:left="0" w:leftChars="0" w:right="0" w:rightChars="0"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□直接票决法：</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kern w:val="0"/>
          <w:sz w:val="24"/>
          <w:szCs w:val="24"/>
          <w:highlight w:val="none"/>
        </w:rPr>
        <w:t>直接票决法一：定标委员会在进入投票范围的中标候选人中，以每人投票支持一个中标候选人的方式，得票最多且过半数的中标候选人为中标人。</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当没有中标候选人得票超过半数时，选择得票较多的2个中标候选人（按上一轮得票多少的顺序选择，在选择第2个中标候选人时出现同票的中标候选人时，</w:t>
      </w:r>
      <w:r>
        <w:rPr>
          <w:rFonts w:hint="eastAsia" w:ascii="宋体" w:hAnsi="宋体" w:eastAsia="宋体" w:cs="宋体"/>
          <w:i w:val="0"/>
          <w:iCs w:val="0"/>
          <w:color w:val="000000"/>
          <w:kern w:val="0"/>
          <w:sz w:val="24"/>
          <w:szCs w:val="24"/>
          <w:highlight w:val="none"/>
        </w:rPr>
        <w:t>□</w:t>
      </w:r>
      <w:r>
        <w:rPr>
          <w:rFonts w:hint="eastAsia" w:ascii="宋体" w:hAnsi="宋体" w:eastAsia="宋体" w:cs="宋体"/>
          <w:i/>
          <w:iCs/>
          <w:color w:val="000000"/>
          <w:kern w:val="0"/>
          <w:sz w:val="24"/>
          <w:szCs w:val="24"/>
          <w:highlight w:val="none"/>
        </w:rPr>
        <w:t>抽签抽取中标候选人</w:t>
      </w:r>
      <w:r>
        <w:rPr>
          <w:rFonts w:hint="eastAsia" w:ascii="宋体" w:hAnsi="宋体" w:eastAsia="宋体" w:cs="宋体"/>
          <w:i w:val="0"/>
          <w:iCs w:val="0"/>
          <w:color w:val="000000"/>
          <w:kern w:val="0"/>
          <w:sz w:val="24"/>
          <w:szCs w:val="24"/>
          <w:highlight w:val="none"/>
        </w:rPr>
        <w:t>□</w:t>
      </w:r>
      <w:r>
        <w:rPr>
          <w:rFonts w:hint="eastAsia" w:ascii="宋体" w:hAnsi="宋体" w:eastAsia="宋体" w:cs="宋体"/>
          <w:i/>
          <w:iCs/>
          <w:color w:val="000000"/>
          <w:kern w:val="0"/>
          <w:sz w:val="24"/>
          <w:szCs w:val="24"/>
          <w:highlight w:val="none"/>
        </w:rPr>
        <w:t>报价低者（报价相同时抽签抽取1个中标候选人）</w:t>
      </w:r>
      <w:r>
        <w:rPr>
          <w:rFonts w:hint="eastAsia" w:ascii="宋体" w:hAnsi="宋体" w:eastAsia="宋体" w:cs="宋体"/>
          <w:i w:val="0"/>
          <w:iCs w:val="0"/>
          <w:color w:val="000000"/>
          <w:kern w:val="0"/>
          <w:sz w:val="24"/>
          <w:szCs w:val="24"/>
          <w:highlight w:val="none"/>
        </w:rPr>
        <w:t>□</w:t>
      </w:r>
      <w:r>
        <w:rPr>
          <w:rFonts w:hint="eastAsia" w:ascii="宋体" w:hAnsi="宋体" w:eastAsia="宋体" w:cs="宋体"/>
          <w:i/>
          <w:iCs/>
          <w:color w:val="000000"/>
          <w:kern w:val="0"/>
          <w:sz w:val="24"/>
          <w:szCs w:val="24"/>
          <w:highlight w:val="none"/>
        </w:rPr>
        <w:t>由招标人法定代表人或其委托代表直接确定1个中标候选人</w:t>
      </w:r>
      <w:r>
        <w:rPr>
          <w:rFonts w:hint="eastAsia" w:ascii="宋体" w:hAnsi="宋体" w:eastAsia="宋体" w:cs="宋体"/>
          <w:color w:val="000000"/>
          <w:kern w:val="0"/>
          <w:sz w:val="24"/>
          <w:szCs w:val="24"/>
          <w:highlight w:val="none"/>
        </w:rPr>
        <w:t>作为二次投票的范围，直至出现得票过半数的中标候选人为止。</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□直接票决法</w:t>
      </w:r>
      <w:r>
        <w:rPr>
          <w:rFonts w:hint="eastAsia" w:ascii="宋体" w:hAnsi="宋体" w:eastAsia="宋体" w:cs="宋体"/>
          <w:color w:val="000000"/>
          <w:kern w:val="0"/>
          <w:sz w:val="24"/>
          <w:szCs w:val="24"/>
          <w:highlight w:val="none"/>
          <w:lang w:eastAsia="zh-CN"/>
        </w:rPr>
        <w:t>二</w:t>
      </w:r>
      <w:r>
        <w:rPr>
          <w:rFonts w:hint="eastAsia" w:ascii="宋体" w:hAnsi="宋体" w:eastAsia="宋体" w:cs="宋体"/>
          <w:color w:val="000000"/>
          <w:kern w:val="0"/>
          <w:sz w:val="24"/>
          <w:szCs w:val="24"/>
          <w:highlight w:val="none"/>
        </w:rPr>
        <w:t>：定标委员会在进入投票范围的中标候选人中，以每人投票支持</w:t>
      </w:r>
      <w:r>
        <w:rPr>
          <w:rFonts w:hint="eastAsia" w:ascii="宋体" w:hAnsi="宋体" w:eastAsia="宋体" w:cs="宋体"/>
          <w:i/>
          <w:iCs/>
          <w:color w:val="000000"/>
          <w:kern w:val="0"/>
          <w:sz w:val="24"/>
          <w:szCs w:val="24"/>
          <w:highlight w:val="none"/>
          <w:u w:val="single"/>
        </w:rPr>
        <w:t xml:space="preserve"> </w:t>
      </w:r>
      <w:r>
        <w:rPr>
          <w:rFonts w:hint="eastAsia" w:ascii="宋体" w:hAnsi="宋体" w:eastAsia="宋体" w:cs="宋体"/>
          <w:i/>
          <w:iCs/>
          <w:color w:val="000000"/>
          <w:kern w:val="0"/>
          <w:sz w:val="24"/>
          <w:szCs w:val="24"/>
          <w:highlight w:val="none"/>
          <w:u w:val="single"/>
          <w:lang w:val="en-US" w:eastAsia="zh-CN"/>
        </w:rPr>
        <w:t>N</w:t>
      </w:r>
      <w:r>
        <w:rPr>
          <w:rFonts w:hint="eastAsia" w:ascii="宋体" w:hAnsi="宋体" w:eastAsia="宋体" w:cs="宋体"/>
          <w:i/>
          <w:iCs/>
          <w:color w:val="000000"/>
          <w:kern w:val="0"/>
          <w:sz w:val="24"/>
          <w:szCs w:val="24"/>
          <w:highlight w:val="none"/>
          <w:u w:val="single"/>
        </w:rPr>
        <w:t xml:space="preserve"> </w:t>
      </w:r>
      <w:r>
        <w:rPr>
          <w:rFonts w:hint="eastAsia" w:ascii="宋体" w:hAnsi="宋体" w:eastAsia="宋体" w:cs="宋体"/>
          <w:i/>
          <w:iCs/>
          <w:color w:val="000000"/>
          <w:kern w:val="0"/>
          <w:sz w:val="24"/>
          <w:szCs w:val="24"/>
          <w:highlight w:val="none"/>
          <w:lang w:eastAsia="zh-CN"/>
        </w:rPr>
        <w:t>（</w:t>
      </w:r>
      <w:r>
        <w:rPr>
          <w:rFonts w:hint="eastAsia" w:ascii="宋体" w:hAnsi="宋体" w:eastAsia="宋体" w:cs="宋体"/>
          <w:i/>
          <w:iCs/>
          <w:color w:val="000000"/>
          <w:kern w:val="0"/>
          <w:sz w:val="24"/>
          <w:szCs w:val="24"/>
          <w:highlight w:val="none"/>
        </w:rPr>
        <w:t>N不得超过中标候选人数）</w:t>
      </w:r>
      <w:r>
        <w:rPr>
          <w:rFonts w:hint="eastAsia" w:ascii="宋体" w:hAnsi="宋体" w:eastAsia="宋体" w:cs="宋体"/>
          <w:color w:val="000000"/>
          <w:kern w:val="0"/>
          <w:sz w:val="24"/>
          <w:szCs w:val="24"/>
          <w:highlight w:val="none"/>
        </w:rPr>
        <w:t>个中标候选人的方式，得票最多且过半数的中标候选人为中标人。</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当没有中标候选人得票超过半数时，选择得票较多的2个中标候选人（按上一轮得票多少的顺序选择，在选择第2个中标候选人时出现同票的中标候选人时，□</w:t>
      </w:r>
      <w:r>
        <w:rPr>
          <w:rFonts w:hint="eastAsia" w:ascii="宋体" w:hAnsi="宋体" w:eastAsia="宋体" w:cs="宋体"/>
          <w:i/>
          <w:iCs/>
          <w:color w:val="000000"/>
          <w:kern w:val="0"/>
          <w:sz w:val="24"/>
          <w:szCs w:val="24"/>
          <w:highlight w:val="none"/>
        </w:rPr>
        <w:t>抽签抽取中标候选人</w:t>
      </w:r>
      <w:r>
        <w:rPr>
          <w:rFonts w:hint="eastAsia" w:ascii="宋体" w:hAnsi="宋体" w:eastAsia="宋体" w:cs="宋体"/>
          <w:color w:val="000000"/>
          <w:kern w:val="0"/>
          <w:sz w:val="24"/>
          <w:szCs w:val="24"/>
          <w:highlight w:val="none"/>
        </w:rPr>
        <w:t>□</w:t>
      </w:r>
      <w:r>
        <w:rPr>
          <w:rFonts w:hint="eastAsia" w:ascii="宋体" w:hAnsi="宋体" w:eastAsia="宋体" w:cs="宋体"/>
          <w:i/>
          <w:iCs/>
          <w:color w:val="000000"/>
          <w:kern w:val="0"/>
          <w:sz w:val="24"/>
          <w:szCs w:val="24"/>
          <w:highlight w:val="none"/>
        </w:rPr>
        <w:t>报价低者（报价相同时抽签抽取1个中标候选人）</w:t>
      </w:r>
      <w:r>
        <w:rPr>
          <w:rFonts w:hint="eastAsia" w:ascii="宋体" w:hAnsi="宋体" w:eastAsia="宋体" w:cs="宋体"/>
          <w:color w:val="000000"/>
          <w:kern w:val="0"/>
          <w:sz w:val="24"/>
          <w:szCs w:val="24"/>
          <w:highlight w:val="none"/>
        </w:rPr>
        <w:t>□</w:t>
      </w:r>
      <w:r>
        <w:rPr>
          <w:rFonts w:hint="eastAsia" w:ascii="宋体" w:hAnsi="宋体" w:eastAsia="宋体" w:cs="宋体"/>
          <w:i/>
          <w:iCs/>
          <w:color w:val="000000"/>
          <w:kern w:val="0"/>
          <w:sz w:val="24"/>
          <w:szCs w:val="24"/>
          <w:highlight w:val="none"/>
        </w:rPr>
        <w:t>由招标人法定代表人或其委托代表直接确定1个中标候选人</w:t>
      </w:r>
      <w:r>
        <w:rPr>
          <w:rFonts w:hint="eastAsia" w:ascii="宋体" w:hAnsi="宋体" w:eastAsia="宋体" w:cs="宋体"/>
          <w:color w:val="000000"/>
          <w:kern w:val="0"/>
          <w:sz w:val="24"/>
          <w:szCs w:val="24"/>
          <w:highlight w:val="none"/>
        </w:rPr>
        <w:t>作为二次投票的范围，直至出现得票过半数的中标候选人为止。</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□直接票决法</w:t>
      </w:r>
      <w:r>
        <w:rPr>
          <w:rFonts w:hint="eastAsia" w:ascii="宋体" w:hAnsi="宋体" w:eastAsia="宋体" w:cs="宋体"/>
          <w:color w:val="000000"/>
          <w:kern w:val="0"/>
          <w:sz w:val="24"/>
          <w:szCs w:val="24"/>
          <w:highlight w:val="none"/>
          <w:lang w:eastAsia="zh-CN"/>
        </w:rPr>
        <w:t>三</w:t>
      </w:r>
      <w:r>
        <w:rPr>
          <w:rFonts w:hint="eastAsia" w:ascii="宋体" w:hAnsi="宋体" w:eastAsia="宋体" w:cs="宋体"/>
          <w:color w:val="000000"/>
          <w:kern w:val="0"/>
          <w:sz w:val="24"/>
          <w:szCs w:val="24"/>
          <w:highlight w:val="none"/>
        </w:rPr>
        <w:t>：定标委员会在进入投票范围的中标候选人中，以每人投票支持</w:t>
      </w:r>
      <w:r>
        <w:rPr>
          <w:rFonts w:hint="eastAsia" w:ascii="宋体" w:hAnsi="宋体" w:cs="宋体"/>
          <w:i/>
          <w:iCs/>
          <w:color w:val="000000"/>
          <w:kern w:val="0"/>
          <w:sz w:val="24"/>
          <w:szCs w:val="24"/>
          <w:highlight w:val="none"/>
          <w:u w:val="single"/>
          <w:lang w:val="en-US" w:eastAsia="zh-CN"/>
        </w:rPr>
        <w:t xml:space="preserve">N </w:t>
      </w:r>
      <w:r>
        <w:rPr>
          <w:rFonts w:hint="eastAsia" w:ascii="宋体" w:hAnsi="宋体" w:eastAsia="宋体" w:cs="宋体"/>
          <w:i/>
          <w:iCs/>
          <w:color w:val="000000"/>
          <w:kern w:val="0"/>
          <w:sz w:val="24"/>
          <w:szCs w:val="24"/>
          <w:highlight w:val="none"/>
        </w:rPr>
        <w:t>（N不得超过中标候选人数）</w:t>
      </w:r>
      <w:r>
        <w:rPr>
          <w:rFonts w:hint="eastAsia" w:ascii="宋体" w:hAnsi="宋体" w:eastAsia="宋体" w:cs="宋体"/>
          <w:color w:val="000000"/>
          <w:kern w:val="0"/>
          <w:sz w:val="24"/>
          <w:szCs w:val="24"/>
          <w:highlight w:val="none"/>
        </w:rPr>
        <w:t>个中标候选人的方式，得票最多的中标候选人为中标人。</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当得票最多的中标候选人出现多个时，采用□</w:t>
      </w:r>
      <w:r>
        <w:rPr>
          <w:rFonts w:hint="eastAsia" w:ascii="宋体" w:hAnsi="宋体" w:eastAsia="宋体" w:cs="宋体"/>
          <w:i/>
          <w:iCs/>
          <w:color w:val="000000"/>
          <w:kern w:val="0"/>
          <w:sz w:val="24"/>
          <w:szCs w:val="24"/>
          <w:highlight w:val="none"/>
        </w:rPr>
        <w:t>抽签抽取</w:t>
      </w:r>
      <w:r>
        <w:rPr>
          <w:rFonts w:hint="eastAsia" w:ascii="宋体" w:hAnsi="宋体" w:eastAsia="宋体" w:cs="宋体"/>
          <w:color w:val="000000"/>
          <w:kern w:val="0"/>
          <w:sz w:val="24"/>
          <w:szCs w:val="24"/>
          <w:highlight w:val="none"/>
        </w:rPr>
        <w:t xml:space="preserve"> □</w:t>
      </w:r>
      <w:r>
        <w:rPr>
          <w:rFonts w:hint="eastAsia" w:ascii="宋体" w:hAnsi="宋体" w:eastAsia="宋体" w:cs="宋体"/>
          <w:i/>
          <w:iCs/>
          <w:color w:val="000000"/>
          <w:kern w:val="0"/>
          <w:sz w:val="24"/>
          <w:szCs w:val="24"/>
          <w:highlight w:val="none"/>
        </w:rPr>
        <w:t>报价低者（报价相同时抽签抽取1个中标候选人）</w:t>
      </w:r>
      <w:r>
        <w:rPr>
          <w:rFonts w:hint="eastAsia" w:ascii="宋体" w:hAnsi="宋体" w:eastAsia="宋体" w:cs="宋体"/>
          <w:color w:val="000000"/>
          <w:kern w:val="0"/>
          <w:sz w:val="24"/>
          <w:szCs w:val="24"/>
          <w:highlight w:val="none"/>
        </w:rPr>
        <w:sym w:font="Wingdings 2" w:char="00A3"/>
      </w:r>
      <w:r>
        <w:rPr>
          <w:rFonts w:hint="eastAsia" w:ascii="宋体" w:hAnsi="宋体" w:eastAsia="宋体" w:cs="宋体"/>
          <w:i/>
          <w:iCs/>
          <w:color w:val="000000"/>
          <w:kern w:val="0"/>
          <w:sz w:val="24"/>
          <w:szCs w:val="24"/>
          <w:highlight w:val="none"/>
        </w:rPr>
        <w:t>由招标人法定代表人或其委托代表直接确定1个中标候选人</w:t>
      </w:r>
      <w:r>
        <w:rPr>
          <w:rFonts w:hint="eastAsia" w:ascii="宋体" w:hAnsi="宋体" w:eastAsia="宋体" w:cs="宋体"/>
          <w:color w:val="000000"/>
          <w:kern w:val="0"/>
          <w:sz w:val="24"/>
          <w:szCs w:val="24"/>
          <w:highlight w:val="none"/>
        </w:rPr>
        <w:t xml:space="preserve">作为中标人。  </w:t>
      </w:r>
      <w:r>
        <w:rPr>
          <w:rFonts w:hint="eastAsia" w:ascii="宋体" w:hAnsi="宋体" w:eastAsia="宋体" w:cs="宋体"/>
          <w:color w:val="000000"/>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□逐轮票决法：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kern w:val="0"/>
          <w:sz w:val="24"/>
          <w:szCs w:val="24"/>
          <w:highlight w:val="none"/>
        </w:rPr>
        <w:t>逐轮票决法一：定标委员会在进入投票范围的中标候选人中，以每人投票支持</w:t>
      </w:r>
      <w:r>
        <w:rPr>
          <w:rFonts w:hint="eastAsia" w:ascii="宋体" w:hAnsi="宋体" w:cs="宋体"/>
          <w:i/>
          <w:iCs/>
          <w:color w:val="000000"/>
          <w:kern w:val="0"/>
          <w:sz w:val="24"/>
          <w:szCs w:val="24"/>
          <w:highlight w:val="none"/>
          <w:u w:val="single"/>
          <w:lang w:val="en-US" w:eastAsia="zh-CN"/>
        </w:rPr>
        <w:t xml:space="preserve">N </w:t>
      </w:r>
      <w:r>
        <w:rPr>
          <w:rFonts w:hint="eastAsia" w:ascii="宋体" w:hAnsi="宋体" w:eastAsia="宋体" w:cs="宋体"/>
          <w:i/>
          <w:color w:val="000000"/>
          <w:kern w:val="0"/>
          <w:sz w:val="24"/>
          <w:szCs w:val="24"/>
          <w:highlight w:val="none"/>
          <w:u w:val="single"/>
        </w:rPr>
        <w:t>(N≥3)</w:t>
      </w:r>
      <w:r>
        <w:rPr>
          <w:rFonts w:hint="eastAsia" w:ascii="宋体" w:hAnsi="宋体" w:eastAsia="宋体" w:cs="宋体"/>
          <w:color w:val="000000"/>
          <w:kern w:val="0"/>
          <w:sz w:val="24"/>
          <w:szCs w:val="24"/>
          <w:highlight w:val="none"/>
        </w:rPr>
        <w:t>个中标候选人的方式，得票最多的</w:t>
      </w:r>
      <w:r>
        <w:rPr>
          <w:rFonts w:hint="eastAsia" w:ascii="宋体" w:hAnsi="宋体" w:eastAsia="宋体" w:cs="宋体"/>
          <w:i/>
          <w:iCs/>
          <w:color w:val="000000"/>
          <w:kern w:val="0"/>
          <w:sz w:val="24"/>
          <w:szCs w:val="24"/>
          <w:highlight w:val="none"/>
          <w:u w:val="single"/>
        </w:rPr>
        <w:t>N</w:t>
      </w:r>
      <w:r>
        <w:rPr>
          <w:rFonts w:hint="eastAsia" w:ascii="宋体" w:hAnsi="宋体" w:eastAsia="宋体" w:cs="宋体"/>
          <w:color w:val="000000"/>
          <w:kern w:val="0"/>
          <w:sz w:val="24"/>
          <w:szCs w:val="24"/>
          <w:highlight w:val="none"/>
        </w:rPr>
        <w:t>个中标候选人进入下一轮的淘汰投票。在确定第</w:t>
      </w:r>
      <w:r>
        <w:rPr>
          <w:rFonts w:hint="eastAsia" w:ascii="宋体" w:hAnsi="宋体" w:eastAsia="宋体" w:cs="宋体"/>
          <w:i/>
          <w:iCs/>
          <w:color w:val="000000"/>
          <w:kern w:val="0"/>
          <w:sz w:val="24"/>
          <w:szCs w:val="24"/>
          <w:highlight w:val="none"/>
          <w:u w:val="single"/>
        </w:rPr>
        <w:t>N</w:t>
      </w:r>
      <w:r>
        <w:rPr>
          <w:rFonts w:hint="eastAsia" w:ascii="宋体" w:hAnsi="宋体" w:eastAsia="宋体" w:cs="宋体"/>
          <w:color w:val="000000"/>
          <w:kern w:val="0"/>
          <w:sz w:val="24"/>
          <w:szCs w:val="24"/>
          <w:highlight w:val="none"/>
        </w:rPr>
        <w:t>个中标候选人时如果出现同票的，则采用□</w:t>
      </w:r>
      <w:r>
        <w:rPr>
          <w:rFonts w:hint="eastAsia" w:ascii="宋体" w:hAnsi="宋体" w:eastAsia="宋体" w:cs="宋体"/>
          <w:i/>
          <w:iCs/>
          <w:color w:val="000000"/>
          <w:kern w:val="0"/>
          <w:sz w:val="24"/>
          <w:szCs w:val="24"/>
          <w:highlight w:val="none"/>
        </w:rPr>
        <w:t>抽签抽取或报价低者（报价相同时抽签抽取1个中标候选人）</w:t>
      </w:r>
      <w:r>
        <w:rPr>
          <w:rFonts w:hint="eastAsia" w:ascii="宋体" w:hAnsi="宋体" w:eastAsia="宋体" w:cs="宋体"/>
          <w:color w:val="000000"/>
          <w:kern w:val="0"/>
          <w:sz w:val="24"/>
          <w:szCs w:val="24"/>
          <w:highlight w:val="none"/>
        </w:rPr>
        <w:t>□</w:t>
      </w:r>
      <w:r>
        <w:rPr>
          <w:rFonts w:hint="eastAsia" w:ascii="宋体" w:hAnsi="宋体" w:eastAsia="宋体" w:cs="宋体"/>
          <w:i/>
          <w:iCs/>
          <w:color w:val="000000"/>
          <w:kern w:val="0"/>
          <w:sz w:val="24"/>
          <w:szCs w:val="24"/>
          <w:highlight w:val="none"/>
        </w:rPr>
        <w:t>由招标人法定代表人</w:t>
      </w:r>
      <w:r>
        <w:rPr>
          <w:rFonts w:hint="eastAsia" w:ascii="宋体" w:hAnsi="宋体" w:cs="宋体"/>
          <w:i/>
          <w:iCs/>
          <w:color w:val="000000"/>
          <w:kern w:val="0"/>
          <w:sz w:val="24"/>
          <w:szCs w:val="24"/>
          <w:highlight w:val="none"/>
          <w:lang w:eastAsia="zh-CN"/>
        </w:rPr>
        <w:t>或</w:t>
      </w:r>
      <w:r>
        <w:rPr>
          <w:rFonts w:hint="eastAsia" w:ascii="宋体" w:hAnsi="宋体" w:eastAsia="宋体" w:cs="宋体"/>
          <w:i/>
          <w:iCs/>
          <w:color w:val="000000"/>
          <w:kern w:val="0"/>
          <w:sz w:val="24"/>
          <w:szCs w:val="24"/>
          <w:highlight w:val="none"/>
        </w:rPr>
        <w:t>其委托代表直接确定1个中标候选人</w:t>
      </w:r>
      <w:r>
        <w:rPr>
          <w:rFonts w:hint="eastAsia" w:ascii="宋体" w:hAnsi="宋体" w:eastAsia="宋体" w:cs="宋体"/>
          <w:color w:val="000000"/>
          <w:kern w:val="0"/>
          <w:sz w:val="24"/>
          <w:szCs w:val="24"/>
          <w:highlight w:val="none"/>
        </w:rPr>
        <w:t>进入下一轮的淘汰投票。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对进入淘汰投票的中标候选人逐轮进行淘汰，原则上每轮淘汰1名中标候选人。各轮投票时，每人投1个淘汰单位，该轮得票最多的中标候选人被淘汰。得票最多的中标候选人不止1个时，一并加以淘汰，但必须确保第一次淘汰之后剩余的中标候选人不少于2名，否则在得票最多的</w:t>
      </w:r>
      <w:r>
        <w:rPr>
          <w:rFonts w:hint="eastAsia" w:ascii="宋体" w:hAnsi="宋体" w:eastAsia="宋体" w:cs="宋体"/>
          <w:i/>
          <w:iCs/>
          <w:color w:val="000000"/>
          <w:kern w:val="0"/>
          <w:sz w:val="24"/>
          <w:szCs w:val="24"/>
          <w:highlight w:val="none"/>
          <w:u w:val="single"/>
        </w:rPr>
        <w:t>N</w:t>
      </w:r>
      <w:r>
        <w:rPr>
          <w:rFonts w:hint="eastAsia" w:ascii="宋体" w:hAnsi="宋体" w:eastAsia="宋体" w:cs="宋体"/>
          <w:color w:val="000000"/>
          <w:kern w:val="0"/>
          <w:sz w:val="24"/>
          <w:szCs w:val="24"/>
          <w:highlight w:val="none"/>
        </w:rPr>
        <w:t>个中标候选人中按前述规则进行二次淘汰，剩余的中标候选人进入下一轮淘汰投票。根据前述规则，直至剩余1名中标候选人为中标人。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kern w:val="0"/>
          <w:sz w:val="24"/>
          <w:szCs w:val="24"/>
          <w:highlight w:val="none"/>
        </w:rPr>
        <w:t>逐轮票决法二：定标委员会对全部中标候选人采取多轮逆淘汰方式表决。原则上逐轮淘汰1名中标候选人。各轮投票时，每人投1个淘汰单位，该轮得票最多的中标候选人被淘汰。得票最多的中标候选人不止1个时，一并加以淘汰，但必须确保存在中标人，剩余的中标候选人进入下一轮淘汰投票，最终确定中标人。在确定最终中标人时如果出现同票的，则采用□</w:t>
      </w:r>
      <w:r>
        <w:rPr>
          <w:rFonts w:hint="eastAsia" w:ascii="宋体" w:hAnsi="宋体" w:eastAsia="宋体" w:cs="宋体"/>
          <w:i/>
          <w:iCs/>
          <w:color w:val="000000"/>
          <w:kern w:val="0"/>
          <w:sz w:val="24"/>
          <w:szCs w:val="24"/>
          <w:highlight w:val="none"/>
        </w:rPr>
        <w:t>抽签抽取或报价低者（报价相同时抽签抽取1个中标候选人）</w:t>
      </w:r>
      <w:r>
        <w:rPr>
          <w:rFonts w:hint="eastAsia" w:ascii="宋体" w:hAnsi="宋体" w:eastAsia="宋体" w:cs="宋体"/>
          <w:color w:val="000000"/>
          <w:kern w:val="0"/>
          <w:sz w:val="24"/>
          <w:szCs w:val="24"/>
          <w:highlight w:val="none"/>
        </w:rPr>
        <w:t>□</w:t>
      </w:r>
      <w:r>
        <w:rPr>
          <w:rFonts w:hint="eastAsia" w:ascii="宋体" w:hAnsi="宋体" w:eastAsia="宋体" w:cs="宋体"/>
          <w:i/>
          <w:iCs/>
          <w:color w:val="000000"/>
          <w:kern w:val="0"/>
          <w:sz w:val="24"/>
          <w:szCs w:val="24"/>
          <w:highlight w:val="none"/>
        </w:rPr>
        <w:t>由招标人法定代表人</w:t>
      </w:r>
      <w:r>
        <w:rPr>
          <w:rFonts w:hint="eastAsia" w:ascii="宋体" w:hAnsi="宋体" w:cs="宋体"/>
          <w:i/>
          <w:iCs/>
          <w:color w:val="000000"/>
          <w:kern w:val="0"/>
          <w:sz w:val="24"/>
          <w:szCs w:val="24"/>
          <w:highlight w:val="none"/>
          <w:lang w:eastAsia="zh-CN"/>
        </w:rPr>
        <w:t>或</w:t>
      </w:r>
      <w:r>
        <w:rPr>
          <w:rFonts w:hint="eastAsia" w:ascii="宋体" w:hAnsi="宋体" w:eastAsia="宋体" w:cs="宋体"/>
          <w:i/>
          <w:iCs/>
          <w:color w:val="000000"/>
          <w:kern w:val="0"/>
          <w:sz w:val="24"/>
          <w:szCs w:val="24"/>
          <w:highlight w:val="none"/>
        </w:rPr>
        <w:t>其委托代表直接确定</w:t>
      </w:r>
      <w:r>
        <w:rPr>
          <w:rFonts w:hint="eastAsia" w:ascii="宋体" w:hAnsi="宋体" w:eastAsia="宋体" w:cs="宋体"/>
          <w:color w:val="000000"/>
          <w:kern w:val="0"/>
          <w:sz w:val="24"/>
          <w:szCs w:val="24"/>
          <w:highlight w:val="none"/>
        </w:rPr>
        <w:t>最终的中标人。</w:t>
      </w:r>
    </w:p>
    <w:p>
      <w:pPr>
        <w:keepNext w:val="0"/>
        <w:keepLines w:val="0"/>
        <w:pageBreakBefore w:val="0"/>
        <w:widowControl w:val="0"/>
        <w:kinsoku/>
        <w:wordWrap/>
        <w:overflowPunct/>
        <w:topLinePunct w:val="0"/>
        <w:autoSpaceDE/>
        <w:autoSpaceDN/>
        <w:bidi w:val="0"/>
        <w:spacing w:line="360" w:lineRule="auto"/>
        <w:ind w:left="0" w:leftChars="0" w:right="0" w:rightChars="0"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□票决抽签法：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b/>
          <w:color w:val="000000"/>
          <w:sz w:val="24"/>
          <w:szCs w:val="24"/>
          <w:highlight w:val="none"/>
        </w:rPr>
        <w:t>□</w:t>
      </w:r>
      <w:r>
        <w:rPr>
          <w:rFonts w:hint="eastAsia" w:ascii="宋体" w:hAnsi="宋体" w:eastAsia="宋体" w:cs="宋体"/>
          <w:color w:val="000000"/>
          <w:kern w:val="0"/>
          <w:sz w:val="24"/>
          <w:szCs w:val="24"/>
          <w:highlight w:val="none"/>
        </w:rPr>
        <w:t>票决抽签法一：定标委员会在进入投票范围的中标候选人中，以每人投票支持</w:t>
      </w:r>
      <w:r>
        <w:rPr>
          <w:rFonts w:hint="eastAsia" w:ascii="宋体" w:hAnsi="宋体" w:cs="宋体"/>
          <w:i/>
          <w:iCs/>
          <w:color w:val="000000"/>
          <w:kern w:val="0"/>
          <w:sz w:val="24"/>
          <w:szCs w:val="24"/>
          <w:highlight w:val="none"/>
          <w:u w:val="single"/>
          <w:lang w:val="en-US" w:eastAsia="zh-CN"/>
        </w:rPr>
        <w:t xml:space="preserve">N </w:t>
      </w:r>
      <w:r>
        <w:rPr>
          <w:rFonts w:hint="eastAsia" w:ascii="宋体" w:hAnsi="宋体" w:eastAsia="宋体" w:cs="宋体"/>
          <w:i/>
          <w:color w:val="000000"/>
          <w:kern w:val="0"/>
          <w:sz w:val="24"/>
          <w:szCs w:val="24"/>
          <w:highlight w:val="none"/>
          <w:u w:val="single"/>
        </w:rPr>
        <w:t>(N≥3)</w:t>
      </w:r>
      <w:r>
        <w:rPr>
          <w:rFonts w:hint="eastAsia" w:ascii="宋体" w:hAnsi="宋体" w:eastAsia="宋体" w:cs="宋体"/>
          <w:color w:val="000000"/>
          <w:kern w:val="0"/>
          <w:sz w:val="24"/>
          <w:szCs w:val="24"/>
          <w:highlight w:val="none"/>
        </w:rPr>
        <w:t>个中标候选人的方式，得票较多的</w:t>
      </w:r>
      <w:r>
        <w:rPr>
          <w:rFonts w:hint="eastAsia" w:ascii="宋体" w:hAnsi="宋体" w:eastAsia="宋体" w:cs="宋体"/>
          <w:i/>
          <w:iCs/>
          <w:color w:val="000000"/>
          <w:kern w:val="0"/>
          <w:sz w:val="24"/>
          <w:szCs w:val="24"/>
          <w:highlight w:val="none"/>
          <w:u w:val="single"/>
        </w:rPr>
        <w:t>N</w:t>
      </w:r>
      <w:r>
        <w:rPr>
          <w:rFonts w:hint="eastAsia" w:ascii="宋体" w:hAnsi="宋体" w:eastAsia="宋体" w:cs="宋体"/>
          <w:color w:val="000000"/>
          <w:kern w:val="0"/>
          <w:sz w:val="24"/>
          <w:szCs w:val="24"/>
          <w:highlight w:val="none"/>
        </w:rPr>
        <w:t>个中标候选人（最终得票均须超过半数）进入抽签环节</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中标候选人数量不足时全部进入</w:t>
      </w:r>
      <w:r>
        <w:rPr>
          <w:rFonts w:hint="eastAsia" w:ascii="宋体" w:hAnsi="宋体" w:eastAsia="宋体" w:cs="宋体"/>
          <w:color w:val="000000"/>
          <w:kern w:val="0"/>
          <w:sz w:val="24"/>
          <w:szCs w:val="24"/>
          <w:highlight w:val="none"/>
        </w:rPr>
        <w:t>。投</w:t>
      </w:r>
      <w:r>
        <w:rPr>
          <w:rFonts w:hint="eastAsia" w:ascii="宋体" w:hAnsi="宋体" w:cs="宋体"/>
          <w:color w:val="000000"/>
          <w:kern w:val="0"/>
          <w:sz w:val="24"/>
          <w:szCs w:val="24"/>
          <w:highlight w:val="none"/>
          <w:lang w:eastAsia="zh-CN"/>
        </w:rPr>
        <w:t>票</w:t>
      </w:r>
      <w:r>
        <w:rPr>
          <w:rFonts w:hint="eastAsia" w:ascii="宋体" w:hAnsi="宋体" w:eastAsia="宋体" w:cs="宋体"/>
          <w:color w:val="000000"/>
          <w:kern w:val="0"/>
          <w:sz w:val="24"/>
          <w:szCs w:val="24"/>
          <w:highlight w:val="none"/>
        </w:rPr>
        <w:t>过程中出现票数相同时，</w:t>
      </w:r>
      <w:r>
        <w:rPr>
          <w:rFonts w:hint="eastAsia" w:ascii="宋体" w:hAnsi="宋体" w:cs="宋体"/>
          <w:color w:val="000000"/>
          <w:kern w:val="0"/>
          <w:sz w:val="24"/>
          <w:szCs w:val="24"/>
          <w:highlight w:val="none"/>
          <w:lang w:eastAsia="zh-CN"/>
        </w:rPr>
        <w:t>则采</w:t>
      </w:r>
      <w:r>
        <w:rPr>
          <w:rFonts w:hint="eastAsia" w:ascii="宋体" w:hAnsi="宋体" w:eastAsia="宋体" w:cs="宋体"/>
          <w:color w:val="000000"/>
          <w:kern w:val="0"/>
          <w:sz w:val="24"/>
          <w:szCs w:val="24"/>
          <w:highlight w:val="none"/>
        </w:rPr>
        <w:t>用</w:t>
      </w:r>
      <w:r>
        <w:rPr>
          <w:rFonts w:hint="eastAsia" w:ascii="宋体" w:hAnsi="宋体" w:eastAsia="宋体" w:cs="宋体"/>
          <w:color w:val="000000"/>
          <w:sz w:val="24"/>
          <w:szCs w:val="24"/>
          <w:highlight w:val="none"/>
        </w:rPr>
        <w:t>□</w:t>
      </w:r>
      <w:r>
        <w:rPr>
          <w:rFonts w:hint="eastAsia" w:ascii="宋体" w:hAnsi="宋体" w:eastAsia="宋体" w:cs="宋体"/>
          <w:i/>
          <w:iCs/>
          <w:color w:val="000000"/>
          <w:kern w:val="0"/>
          <w:sz w:val="24"/>
          <w:szCs w:val="24"/>
          <w:highlight w:val="none"/>
          <w:u w:val="none"/>
        </w:rPr>
        <w:t xml:space="preserve">抽签抽取 </w:t>
      </w:r>
      <w:r>
        <w:rPr>
          <w:rFonts w:hint="eastAsia" w:ascii="宋体" w:hAnsi="宋体" w:eastAsia="宋体" w:cs="宋体"/>
          <w:color w:val="000000"/>
          <w:sz w:val="24"/>
          <w:szCs w:val="24"/>
          <w:highlight w:val="none"/>
        </w:rPr>
        <w:t>□</w:t>
      </w:r>
      <w:r>
        <w:rPr>
          <w:rFonts w:hint="eastAsia" w:ascii="宋体" w:hAnsi="宋体" w:eastAsia="宋体" w:cs="宋体"/>
          <w:i/>
          <w:iCs/>
          <w:color w:val="000000"/>
          <w:kern w:val="0"/>
          <w:sz w:val="24"/>
          <w:szCs w:val="24"/>
          <w:highlight w:val="none"/>
        </w:rPr>
        <w:t>报价低者（报价相同时抽签抽取1个中标候选人）</w:t>
      </w:r>
      <w:r>
        <w:rPr>
          <w:rFonts w:hint="eastAsia" w:ascii="宋体" w:hAnsi="宋体" w:eastAsia="宋体" w:cs="宋体"/>
          <w:color w:val="000000"/>
          <w:kern w:val="0"/>
          <w:sz w:val="24"/>
          <w:szCs w:val="24"/>
          <w:highlight w:val="none"/>
        </w:rPr>
        <w:t xml:space="preserve"> </w:t>
      </w:r>
      <w:r>
        <w:rPr>
          <w:rFonts w:hint="eastAsia" w:ascii="宋体" w:hAnsi="宋体" w:eastAsia="宋体" w:cs="宋体"/>
          <w:color w:val="000000"/>
          <w:sz w:val="24"/>
          <w:szCs w:val="24"/>
          <w:highlight w:val="none"/>
        </w:rPr>
        <w:t>□</w:t>
      </w:r>
      <w:r>
        <w:rPr>
          <w:rFonts w:hint="eastAsia" w:ascii="宋体" w:hAnsi="宋体" w:eastAsia="宋体" w:cs="宋体"/>
          <w:i/>
          <w:iCs/>
          <w:color w:val="000000"/>
          <w:kern w:val="0"/>
          <w:sz w:val="24"/>
          <w:szCs w:val="24"/>
          <w:highlight w:val="none"/>
        </w:rPr>
        <w:t>由招标人法定代表人或其委托代表直接确定1个中标候选人</w:t>
      </w:r>
      <w:r>
        <w:rPr>
          <w:rFonts w:hint="eastAsia" w:ascii="宋体" w:hAnsi="宋体" w:eastAsia="宋体" w:cs="宋体"/>
          <w:color w:val="000000"/>
          <w:kern w:val="0"/>
          <w:sz w:val="24"/>
          <w:szCs w:val="24"/>
          <w:highlight w:val="none"/>
        </w:rPr>
        <w:t>的方式确定</w:t>
      </w:r>
      <w:r>
        <w:rPr>
          <w:rFonts w:hint="eastAsia" w:ascii="宋体" w:hAnsi="宋体" w:cs="宋体"/>
          <w:color w:val="000000"/>
          <w:kern w:val="0"/>
          <w:sz w:val="24"/>
          <w:szCs w:val="24"/>
          <w:highlight w:val="none"/>
          <w:lang w:eastAsia="zh-CN"/>
        </w:rPr>
        <w:t>进入抽签范围的中标候选人。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当得票超过半数的中标候选人数量不足N时（假设此时得票超过半数中标候选人数量为n），按照前一轮得票数量由多到少的顺序，在得票未过半数的中标候选人中，取“N-n+2”个中标候选人进行二次投票（在取第“N-n+2”个中标候选人时出现同票的，一并进入二次投票），以每人投票支持“N-n”个中标候选人，直至确定N个得票超过半数的中标候选人为止。</w:t>
      </w:r>
      <w:r>
        <w:rPr>
          <w:rFonts w:hint="eastAsia" w:ascii="宋体" w:hAnsi="宋体" w:cs="宋体"/>
          <w:color w:val="000000"/>
          <w:kern w:val="0"/>
          <w:sz w:val="24"/>
          <w:szCs w:val="24"/>
          <w:highlight w:val="none"/>
          <w:lang w:eastAsia="zh-CN"/>
        </w:rPr>
        <w:t>定标委员会</w:t>
      </w:r>
      <w:r>
        <w:rPr>
          <w:rFonts w:hint="eastAsia" w:ascii="宋体" w:hAnsi="宋体" w:eastAsia="宋体" w:cs="宋体"/>
          <w:color w:val="000000"/>
          <w:kern w:val="0"/>
          <w:sz w:val="24"/>
          <w:szCs w:val="24"/>
          <w:highlight w:val="none"/>
          <w:lang w:eastAsia="zh-CN"/>
        </w:rPr>
        <w:t>在</w:t>
      </w:r>
      <w:r>
        <w:rPr>
          <w:rFonts w:hint="eastAsia" w:ascii="宋体" w:hAnsi="宋体" w:eastAsia="宋体" w:cs="宋体"/>
          <w:color w:val="000000"/>
          <w:kern w:val="0"/>
          <w:sz w:val="24"/>
          <w:szCs w:val="24"/>
          <w:highlight w:val="none"/>
        </w:rPr>
        <w:t>上述N个中标候选人中随机抽签确定中标人。</w:t>
      </w:r>
    </w:p>
    <w:p>
      <w:pPr>
        <w:pStyle w:val="10"/>
        <w:keepNext w:val="0"/>
        <w:keepLines w:val="0"/>
        <w:pageBreakBefore w:val="0"/>
        <w:widowControl w:val="0"/>
        <w:kinsoku/>
        <w:wordWrap/>
        <w:overflowPunct/>
        <w:topLinePunct w:val="0"/>
        <w:autoSpaceDE w:val="0"/>
        <w:autoSpaceDN w:val="0"/>
        <w:bidi w:val="0"/>
        <w:spacing w:line="360" w:lineRule="auto"/>
        <w:ind w:left="0" w:firstLine="482" w:firstLineChars="200"/>
        <w:jc w:val="both"/>
        <w:textAlignment w:val="auto"/>
        <w:rPr>
          <w:rFonts w:hint="eastAsia" w:ascii="Times New Roman" w:hAnsi="宋体" w:eastAsia="宋体" w:cs="Times New Roman"/>
          <w:color w:val="auto"/>
          <w:sz w:val="24"/>
          <w:szCs w:val="24"/>
          <w:highlight w:val="none"/>
          <w:lang w:val="en-US" w:eastAsia="zh-CN" w:bidi="ar-SA"/>
        </w:rPr>
      </w:pPr>
      <w:r>
        <w:rPr>
          <w:rFonts w:hint="eastAsia" w:ascii="宋体" w:hAnsi="宋体" w:eastAsia="宋体" w:cs="宋体"/>
          <w:b/>
          <w:color w:val="000000"/>
          <w:sz w:val="24"/>
          <w:szCs w:val="24"/>
          <w:highlight w:val="none"/>
        </w:rPr>
        <w:t>□</w:t>
      </w:r>
      <w:r>
        <w:rPr>
          <w:rFonts w:hint="eastAsia" w:ascii="宋体" w:hAnsi="宋体" w:eastAsia="宋体" w:cs="宋体"/>
          <w:color w:val="000000"/>
          <w:sz w:val="24"/>
          <w:szCs w:val="24"/>
          <w:highlight w:val="none"/>
        </w:rPr>
        <w:t>票决抽签法二：</w:t>
      </w:r>
      <w:r>
        <w:rPr>
          <w:rFonts w:hint="eastAsia" w:ascii="宋体" w:hAnsi="宋体" w:eastAsia="宋体" w:cs="宋体"/>
          <w:color w:val="000000"/>
          <w:kern w:val="0"/>
          <w:sz w:val="24"/>
          <w:szCs w:val="24"/>
          <w:highlight w:val="none"/>
        </w:rPr>
        <w:t>定标委员会对全部中标候选人采取逐轮逆淘汰方式表决。原则上逐轮淘汰1名中标候选人。各轮投票时，每人投1个淘汰单位，该轮得票最多的中标候选人被淘汰。得票最多的中标候选人不止1个时，一并加以淘汰，但必须确保</w:t>
      </w:r>
      <w:r>
        <w:rPr>
          <w:rFonts w:hint="eastAsia" w:ascii="宋体" w:hAnsi="宋体" w:eastAsia="宋体" w:cs="宋体"/>
          <w:i/>
          <w:color w:val="000000"/>
          <w:kern w:val="0"/>
          <w:sz w:val="24"/>
          <w:szCs w:val="24"/>
          <w:highlight w:val="none"/>
          <w:u w:val="single"/>
        </w:rPr>
        <w:t>N</w:t>
      </w:r>
      <w:r>
        <w:rPr>
          <w:rFonts w:hint="eastAsia" w:ascii="宋体" w:hAnsi="宋体" w:eastAsia="宋体" w:cs="宋体"/>
          <w:color w:val="000000"/>
          <w:kern w:val="0"/>
          <w:sz w:val="24"/>
          <w:szCs w:val="24"/>
          <w:highlight w:val="none"/>
        </w:rPr>
        <w:t>个中标候选人，剩余的中标候选人进入下一轮淘汰投票，最终确定</w:t>
      </w:r>
      <w:r>
        <w:rPr>
          <w:rFonts w:hint="eastAsia" w:ascii="宋体" w:hAnsi="宋体" w:eastAsia="宋体" w:cs="宋体"/>
          <w:i/>
          <w:color w:val="000000"/>
          <w:kern w:val="0"/>
          <w:sz w:val="24"/>
          <w:szCs w:val="24"/>
          <w:highlight w:val="none"/>
          <w:u w:val="single"/>
        </w:rPr>
        <w:t>N</w:t>
      </w:r>
      <w:r>
        <w:rPr>
          <w:rFonts w:hint="eastAsia" w:ascii="宋体" w:hAnsi="宋体" w:eastAsia="宋体" w:cs="宋体"/>
          <w:color w:val="000000"/>
          <w:kern w:val="0"/>
          <w:sz w:val="24"/>
          <w:szCs w:val="24"/>
          <w:highlight w:val="none"/>
        </w:rPr>
        <w:t>个中标候选人。在最终确定第</w:t>
      </w:r>
      <w:r>
        <w:rPr>
          <w:rFonts w:hint="eastAsia" w:ascii="宋体" w:hAnsi="宋体" w:eastAsia="宋体" w:cs="宋体"/>
          <w:i/>
          <w:color w:val="000000"/>
          <w:kern w:val="0"/>
          <w:sz w:val="24"/>
          <w:szCs w:val="24"/>
          <w:highlight w:val="none"/>
          <w:u w:val="single"/>
        </w:rPr>
        <w:t>N</w:t>
      </w:r>
      <w:r>
        <w:rPr>
          <w:rFonts w:hint="eastAsia" w:ascii="宋体" w:hAnsi="宋体" w:eastAsia="宋体" w:cs="宋体"/>
          <w:color w:val="000000"/>
          <w:kern w:val="0"/>
          <w:sz w:val="24"/>
          <w:szCs w:val="24"/>
          <w:highlight w:val="none"/>
        </w:rPr>
        <w:t>个中标候选人时如果出现同票的，则采用</w:t>
      </w:r>
      <w:r>
        <w:rPr>
          <w:rFonts w:hint="eastAsia" w:ascii="宋体" w:hAnsi="宋体" w:eastAsia="宋体" w:cs="宋体"/>
          <w:color w:val="000000"/>
          <w:sz w:val="24"/>
          <w:szCs w:val="24"/>
          <w:highlight w:val="none"/>
          <w:u w:val="none"/>
        </w:rPr>
        <w:t>□</w:t>
      </w:r>
      <w:r>
        <w:rPr>
          <w:rFonts w:hint="eastAsia" w:ascii="宋体" w:hAnsi="宋体" w:eastAsia="宋体" w:cs="宋体"/>
          <w:i/>
          <w:iCs/>
          <w:color w:val="000000"/>
          <w:kern w:val="0"/>
          <w:sz w:val="24"/>
          <w:szCs w:val="24"/>
          <w:highlight w:val="none"/>
        </w:rPr>
        <w:t>抽签抽取</w:t>
      </w:r>
      <w:r>
        <w:rPr>
          <w:rFonts w:hint="eastAsia" w:ascii="宋体" w:hAnsi="宋体" w:eastAsia="宋体" w:cs="宋体"/>
          <w:color w:val="000000"/>
          <w:kern w:val="0"/>
          <w:sz w:val="24"/>
          <w:szCs w:val="24"/>
          <w:highlight w:val="none"/>
        </w:rPr>
        <w:t xml:space="preserve"> </w:t>
      </w:r>
      <w:r>
        <w:rPr>
          <w:rFonts w:hint="eastAsia" w:ascii="宋体" w:hAnsi="宋体" w:eastAsia="宋体" w:cs="宋体"/>
          <w:color w:val="000000"/>
          <w:sz w:val="24"/>
          <w:szCs w:val="24"/>
          <w:highlight w:val="none"/>
          <w:u w:val="none"/>
        </w:rPr>
        <w:t>□</w:t>
      </w:r>
      <w:r>
        <w:rPr>
          <w:rFonts w:hint="eastAsia" w:ascii="宋体" w:hAnsi="宋体" w:eastAsia="宋体" w:cs="宋体"/>
          <w:i/>
          <w:iCs/>
          <w:color w:val="000000"/>
          <w:kern w:val="0"/>
          <w:sz w:val="24"/>
          <w:szCs w:val="24"/>
          <w:highlight w:val="none"/>
        </w:rPr>
        <w:t>报价低者（报价相同时抽签抽取1个中标候选人）</w:t>
      </w:r>
      <w:r>
        <w:rPr>
          <w:rFonts w:hint="eastAsia" w:ascii="宋体" w:hAnsi="宋体" w:eastAsia="宋体" w:cs="宋体"/>
          <w:color w:val="000000"/>
          <w:kern w:val="0"/>
          <w:sz w:val="24"/>
          <w:szCs w:val="24"/>
          <w:highlight w:val="none"/>
          <w:u w:val="none"/>
        </w:rPr>
        <w:t xml:space="preserve"> </w:t>
      </w:r>
      <w:r>
        <w:rPr>
          <w:rFonts w:hint="eastAsia" w:ascii="宋体" w:hAnsi="宋体" w:eastAsia="宋体" w:cs="宋体"/>
          <w:color w:val="000000"/>
          <w:sz w:val="24"/>
          <w:szCs w:val="24"/>
          <w:highlight w:val="none"/>
          <w:u w:val="none"/>
        </w:rPr>
        <w:t>□</w:t>
      </w:r>
      <w:r>
        <w:rPr>
          <w:rFonts w:hint="eastAsia" w:ascii="宋体" w:hAnsi="宋体" w:eastAsia="宋体" w:cs="宋体"/>
          <w:i/>
          <w:iCs/>
          <w:color w:val="000000"/>
          <w:kern w:val="0"/>
          <w:sz w:val="24"/>
          <w:szCs w:val="24"/>
          <w:highlight w:val="none"/>
        </w:rPr>
        <w:t>由招标人法定代表人或其委托代表直接确定</w:t>
      </w:r>
      <w:r>
        <w:rPr>
          <w:rFonts w:hint="eastAsia" w:ascii="宋体" w:hAnsi="宋体" w:eastAsia="宋体" w:cs="宋体"/>
          <w:color w:val="000000"/>
          <w:kern w:val="0"/>
          <w:sz w:val="24"/>
          <w:szCs w:val="24"/>
          <w:highlight w:val="none"/>
        </w:rPr>
        <w:t>进入抽签环节的中标候选人。定标委员会在上述</w:t>
      </w:r>
      <w:r>
        <w:rPr>
          <w:rFonts w:hint="eastAsia" w:ascii="宋体" w:hAnsi="宋体" w:eastAsia="宋体" w:cs="宋体"/>
          <w:i/>
          <w:color w:val="000000"/>
          <w:kern w:val="0"/>
          <w:sz w:val="24"/>
          <w:szCs w:val="24"/>
          <w:highlight w:val="none"/>
          <w:u w:val="single"/>
        </w:rPr>
        <w:t>N</w:t>
      </w:r>
      <w:r>
        <w:rPr>
          <w:rFonts w:hint="eastAsia" w:ascii="宋体" w:hAnsi="宋体" w:eastAsia="宋体" w:cs="宋体"/>
          <w:color w:val="000000"/>
          <w:kern w:val="0"/>
          <w:sz w:val="24"/>
          <w:szCs w:val="24"/>
          <w:highlight w:val="none"/>
        </w:rPr>
        <w:t>个中标候选人中随机抽签确定中标人。</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□集体议事法。由定标委员会进行集体商议，定标委员会成员各自发表意见，由定标委员会组长最终确定中标人。所有参加会议的定标委员会成员的意见应当作书面记录，并由定标委员会成员签字确认。</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□其他定标办法</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bidi w:val="0"/>
        <w:adjustRightInd w:val="0"/>
        <w:snapToGrid w:val="0"/>
        <w:spacing w:line="360" w:lineRule="auto"/>
        <w:ind w:left="0" w:firstLine="482" w:firstLineChars="200"/>
        <w:textAlignment w:val="auto"/>
        <w:rPr>
          <w:rFonts w:ascii="宋体" w:hAnsi="宋体"/>
          <w:b/>
          <w:color w:val="auto"/>
          <w:sz w:val="24"/>
          <w:szCs w:val="24"/>
          <w:highlight w:val="none"/>
        </w:rPr>
      </w:pPr>
      <w:r>
        <w:rPr>
          <w:rFonts w:hint="eastAsia" w:ascii="宋体" w:hAnsi="宋体"/>
          <w:b/>
          <w:color w:val="auto"/>
          <w:sz w:val="24"/>
          <w:szCs w:val="24"/>
          <w:highlight w:val="none"/>
          <w:lang w:eastAsia="zh-CN"/>
        </w:rPr>
        <w:t>五</w:t>
      </w:r>
      <w:r>
        <w:rPr>
          <w:rFonts w:ascii="宋体" w:hAnsi="宋体"/>
          <w:b/>
          <w:color w:val="auto"/>
          <w:sz w:val="24"/>
          <w:szCs w:val="24"/>
          <w:highlight w:val="none"/>
        </w:rPr>
        <w:t>、定标报告</w:t>
      </w:r>
    </w:p>
    <w:p>
      <w:pPr>
        <w:keepNext w:val="0"/>
        <w:keepLines w:val="0"/>
        <w:pageBreakBefore w:val="0"/>
        <w:widowControl w:val="0"/>
        <w:kinsoku/>
        <w:wordWrap/>
        <w:overflowPunct/>
        <w:topLinePunct w:val="0"/>
        <w:bidi w:val="0"/>
        <w:adjustRightInd w:val="0"/>
        <w:snapToGrid w:val="0"/>
        <w:spacing w:line="360" w:lineRule="auto"/>
        <w:ind w:left="0" w:firstLine="482" w:firstLineChars="200"/>
        <w:textAlignment w:val="auto"/>
        <w:rPr>
          <w:rFonts w:hint="eastAsia" w:ascii="Times New Roman" w:hAnsi="宋体" w:eastAsia="宋体" w:cs="Times New Roman"/>
          <w:color w:val="auto"/>
          <w:sz w:val="24"/>
          <w:szCs w:val="24"/>
          <w:highlight w:val="none"/>
          <w:lang w:val="en-US" w:eastAsia="zh-CN" w:bidi="ar-SA"/>
        </w:rPr>
      </w:pPr>
      <w:r>
        <w:rPr>
          <w:rFonts w:ascii="宋体" w:hAnsi="宋体"/>
          <w:b/>
          <w:color w:val="auto"/>
          <w:sz w:val="24"/>
          <w:szCs w:val="24"/>
          <w:highlight w:val="none"/>
        </w:rPr>
        <w:t>（一）定标委员会应当向招标人提交书面定标报告。</w:t>
      </w:r>
      <w:r>
        <w:rPr>
          <w:rFonts w:hint="eastAsia" w:ascii="Times New Roman" w:hAnsi="宋体" w:eastAsia="宋体" w:cs="Times New Roman"/>
          <w:color w:val="auto"/>
          <w:sz w:val="24"/>
          <w:szCs w:val="24"/>
          <w:highlight w:val="none"/>
          <w:lang w:val="en-US" w:eastAsia="zh-CN" w:bidi="ar-SA"/>
        </w:rPr>
        <w:t>定标报告由定标委员会全体成员签字。对定标结果有不同意见的定标委员会成员应当以书面形式说明其不同意见和理由，定标报告应当注明该不同意见。定标委员会成员拒绝在定标报告上签字又不书面说明其不同意见和理由的，视为同意定标结果。</w:t>
      </w:r>
    </w:p>
    <w:p>
      <w:pPr>
        <w:keepNext w:val="0"/>
        <w:keepLines w:val="0"/>
        <w:pageBreakBefore w:val="0"/>
        <w:widowControl w:val="0"/>
        <w:kinsoku/>
        <w:wordWrap/>
        <w:overflowPunct/>
        <w:topLinePunct w:val="0"/>
        <w:bidi w:val="0"/>
        <w:adjustRightInd w:val="0"/>
        <w:snapToGrid w:val="0"/>
        <w:spacing w:line="360" w:lineRule="auto"/>
        <w:ind w:left="0" w:firstLine="482" w:firstLineChars="200"/>
        <w:textAlignment w:val="auto"/>
        <w:rPr>
          <w:rFonts w:ascii="宋体" w:hAnsi="宋体"/>
          <w:b/>
          <w:color w:val="auto"/>
          <w:sz w:val="24"/>
          <w:szCs w:val="24"/>
          <w:highlight w:val="none"/>
        </w:rPr>
      </w:pPr>
      <w:r>
        <w:rPr>
          <w:rFonts w:ascii="宋体" w:hAnsi="宋体"/>
          <w:b/>
          <w:color w:val="auto"/>
          <w:sz w:val="24"/>
          <w:szCs w:val="24"/>
          <w:highlight w:val="none"/>
        </w:rPr>
        <w:t>（二）定标报告应包括以下内容：</w:t>
      </w:r>
    </w:p>
    <w:p>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宋体"/>
          <w:color w:val="auto"/>
          <w:sz w:val="24"/>
          <w:szCs w:val="24"/>
          <w:highlight w:val="none"/>
          <w:lang w:val="en-US" w:eastAsia="zh-CN"/>
        </w:rPr>
      </w:pPr>
      <w:r>
        <w:rPr>
          <w:rFonts w:hint="eastAsia" w:ascii="Times New Roman" w:hAnsi="宋体"/>
          <w:color w:val="auto"/>
          <w:sz w:val="24"/>
          <w:szCs w:val="24"/>
          <w:highlight w:val="none"/>
          <w:lang w:val="en-US" w:eastAsia="zh-CN"/>
        </w:rPr>
        <w:t>1</w:t>
      </w:r>
      <w:r>
        <w:rPr>
          <w:rFonts w:hint="default" w:ascii="Times New Roman" w:hAnsi="宋体"/>
          <w:color w:val="auto"/>
          <w:sz w:val="24"/>
          <w:szCs w:val="24"/>
          <w:highlight w:val="none"/>
          <w:lang w:val="en-US" w:eastAsia="zh-CN"/>
        </w:rPr>
        <w:t>.定标程序；</w:t>
      </w:r>
    </w:p>
    <w:p>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Times New Roman" w:hAnsi="宋体"/>
          <w:color w:val="auto"/>
          <w:sz w:val="24"/>
          <w:szCs w:val="24"/>
          <w:highlight w:val="none"/>
          <w:lang w:eastAsia="zh-CN"/>
        </w:rPr>
      </w:pPr>
      <w:r>
        <w:rPr>
          <w:rFonts w:hint="eastAsia" w:ascii="Times New Roman" w:hAnsi="宋体"/>
          <w:color w:val="auto"/>
          <w:sz w:val="24"/>
          <w:szCs w:val="24"/>
          <w:highlight w:val="none"/>
          <w:lang w:val="en-US" w:eastAsia="zh-CN"/>
        </w:rPr>
        <w:t>2</w:t>
      </w:r>
      <w:r>
        <w:rPr>
          <w:rFonts w:hint="default" w:ascii="Times New Roman" w:hAnsi="宋体"/>
          <w:color w:val="auto"/>
          <w:sz w:val="24"/>
          <w:szCs w:val="24"/>
          <w:highlight w:val="none"/>
        </w:rPr>
        <w:t>.定标委员名单</w:t>
      </w:r>
      <w:r>
        <w:rPr>
          <w:rFonts w:hint="eastAsia" w:ascii="Times New Roman" w:hAnsi="宋体"/>
          <w:color w:val="auto"/>
          <w:sz w:val="24"/>
          <w:szCs w:val="24"/>
          <w:highlight w:val="none"/>
          <w:lang w:eastAsia="zh-CN"/>
        </w:rPr>
        <w:t>；</w:t>
      </w:r>
    </w:p>
    <w:p>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Times New Roman" w:hAnsi="宋体"/>
          <w:color w:val="auto"/>
          <w:sz w:val="24"/>
          <w:szCs w:val="24"/>
          <w:highlight w:val="none"/>
          <w:lang w:val="en-US" w:eastAsia="zh-CN"/>
        </w:rPr>
      </w:pPr>
      <w:r>
        <w:rPr>
          <w:rFonts w:hint="eastAsia" w:ascii="Times New Roman" w:hAnsi="宋体"/>
          <w:color w:val="auto"/>
          <w:sz w:val="24"/>
          <w:szCs w:val="24"/>
          <w:highlight w:val="none"/>
          <w:lang w:val="en-US" w:eastAsia="zh-CN"/>
        </w:rPr>
        <w:t>3.定标要素；</w:t>
      </w:r>
    </w:p>
    <w:p>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宋体"/>
          <w:color w:val="auto"/>
          <w:sz w:val="24"/>
          <w:szCs w:val="24"/>
          <w:highlight w:val="none"/>
          <w:lang w:val="en-US" w:eastAsia="zh-CN"/>
        </w:rPr>
      </w:pPr>
      <w:r>
        <w:rPr>
          <w:rFonts w:hint="eastAsia" w:ascii="Times New Roman" w:hAnsi="宋体"/>
          <w:color w:val="auto"/>
          <w:sz w:val="24"/>
          <w:szCs w:val="24"/>
          <w:highlight w:val="none"/>
          <w:lang w:val="en-US" w:eastAsia="zh-CN"/>
        </w:rPr>
        <w:t>4.定标办法；</w:t>
      </w:r>
    </w:p>
    <w:p>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sz w:val="24"/>
          <w:szCs w:val="24"/>
          <w:highlight w:val="none"/>
        </w:rPr>
      </w:pPr>
      <w:r>
        <w:rPr>
          <w:rFonts w:hint="eastAsia" w:ascii="Times New Roman" w:hAnsi="宋体"/>
          <w:color w:val="auto"/>
          <w:sz w:val="24"/>
          <w:szCs w:val="24"/>
          <w:highlight w:val="none"/>
          <w:lang w:val="en-US" w:eastAsia="zh-CN"/>
        </w:rPr>
        <w:t>5</w:t>
      </w:r>
      <w:r>
        <w:rPr>
          <w:rFonts w:hint="default" w:ascii="Times New Roman" w:hAnsi="宋体"/>
          <w:color w:val="auto"/>
          <w:sz w:val="24"/>
          <w:szCs w:val="24"/>
          <w:highlight w:val="none"/>
        </w:rPr>
        <w:t>.定标结果</w:t>
      </w:r>
      <w:r>
        <w:rPr>
          <w:rFonts w:hint="eastAsia" w:ascii="Times New Roman" w:hAnsi="宋体"/>
          <w:color w:val="auto"/>
          <w:sz w:val="24"/>
          <w:szCs w:val="24"/>
          <w:highlight w:val="none"/>
          <w:lang w:eastAsia="zh-CN"/>
        </w:rPr>
        <w:t>。</w:t>
      </w:r>
    </w:p>
    <w:p>
      <w:pPr>
        <w:pStyle w:val="3"/>
        <w:rPr>
          <w:rFonts w:hint="eastAsia"/>
          <w:highlight w:val="white"/>
        </w:rPr>
      </w:pPr>
    </w:p>
    <w:bookmarkEnd w:id="0"/>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right"/>
        <w:textAlignment w:val="auto"/>
        <w:rPr>
          <w:rFonts w:hint="default" w:ascii="仿宋_GB2312" w:hAnsi="宋体" w:eastAsia="仿宋_GB2312" w:cs="仿宋_GB2312"/>
          <w:color w:val="auto"/>
          <w:kern w:val="0"/>
          <w:sz w:val="32"/>
          <w:szCs w:val="32"/>
          <w:lang w:val="en-US" w:eastAsia="zh-CN" w:bidi="ar"/>
        </w:rPr>
      </w:pPr>
    </w:p>
    <w:sectPr>
      <w:footerReference r:id="rId3" w:type="default"/>
      <w:pgSz w:w="11906" w:h="16838"/>
      <w:pgMar w:top="2098" w:right="1474" w:bottom="1361" w:left="1474" w:header="851" w:footer="70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思源宋体 CN ExtraLight">
    <w:altName w:val="宋体"/>
    <w:panose1 w:val="00000000000000000000"/>
    <w:charset w:val="00"/>
    <w:family w:val="roman"/>
    <w:pitch w:val="default"/>
    <w:sig w:usb0="00000000" w:usb1="00000000" w:usb2="00000016" w:usb3="00000000" w:csb0="60060107"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80EBDF"/>
    <w:multiLevelType w:val="singleLevel"/>
    <w:tmpl w:val="0880EBDF"/>
    <w:lvl w:ilvl="0" w:tentative="0">
      <w:start w:val="2"/>
      <w:numFmt w:val="chineseCounting"/>
      <w:suff w:val="space"/>
      <w:lvlText w:val="（%1）"/>
      <w:lvlJc w:val="left"/>
      <w:rPr>
        <w:rFonts w:hint="eastAsia"/>
      </w:rPr>
    </w:lvl>
  </w:abstractNum>
  <w:abstractNum w:abstractNumId="1">
    <w:nsid w:val="3B4EEB7C"/>
    <w:multiLevelType w:val="singleLevel"/>
    <w:tmpl w:val="3B4EEB7C"/>
    <w:lvl w:ilvl="0" w:tentative="0">
      <w:start w:val="7"/>
      <w:numFmt w:val="chineseCounting"/>
      <w:suff w:val="nothing"/>
      <w:lvlText w:val="%1、"/>
      <w:lvlJc w:val="left"/>
      <w:rPr>
        <w:rFonts w:hint="eastAsia"/>
      </w:rPr>
    </w:lvl>
  </w:abstractNum>
  <w:abstractNum w:abstractNumId="2">
    <w:nsid w:val="5FEFB3C3"/>
    <w:multiLevelType w:val="singleLevel"/>
    <w:tmpl w:val="5FEFB3C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Yjk0NjdhNDg5YWM2NzEwZWJkMDNlYjIwYTY5YWEifQ=="/>
  </w:docVars>
  <w:rsids>
    <w:rsidRoot w:val="77D0444B"/>
    <w:rsid w:val="00183198"/>
    <w:rsid w:val="00645991"/>
    <w:rsid w:val="02A93B2F"/>
    <w:rsid w:val="03EF1A15"/>
    <w:rsid w:val="06856686"/>
    <w:rsid w:val="0B7F5D75"/>
    <w:rsid w:val="0C531139"/>
    <w:rsid w:val="0EE7610B"/>
    <w:rsid w:val="0F951819"/>
    <w:rsid w:val="0FA67D74"/>
    <w:rsid w:val="18581E27"/>
    <w:rsid w:val="1B6D44DB"/>
    <w:rsid w:val="1F3570FA"/>
    <w:rsid w:val="229B4DEB"/>
    <w:rsid w:val="23C245B7"/>
    <w:rsid w:val="26025181"/>
    <w:rsid w:val="27372229"/>
    <w:rsid w:val="2BD9459B"/>
    <w:rsid w:val="2F7A3080"/>
    <w:rsid w:val="39B54528"/>
    <w:rsid w:val="3D280403"/>
    <w:rsid w:val="3D924915"/>
    <w:rsid w:val="3FBA0B4E"/>
    <w:rsid w:val="40C42BD2"/>
    <w:rsid w:val="426E3E72"/>
    <w:rsid w:val="470C448B"/>
    <w:rsid w:val="4B7A5ADF"/>
    <w:rsid w:val="4BE512BF"/>
    <w:rsid w:val="4D6E11CA"/>
    <w:rsid w:val="50811214"/>
    <w:rsid w:val="5A575BC3"/>
    <w:rsid w:val="5ACC3C19"/>
    <w:rsid w:val="5C074725"/>
    <w:rsid w:val="5DB2101F"/>
    <w:rsid w:val="5DB46785"/>
    <w:rsid w:val="5F265461"/>
    <w:rsid w:val="5F49114F"/>
    <w:rsid w:val="661029C7"/>
    <w:rsid w:val="68882CE8"/>
    <w:rsid w:val="704E2A69"/>
    <w:rsid w:val="77410A12"/>
    <w:rsid w:val="77D0444B"/>
    <w:rsid w:val="79D40E01"/>
    <w:rsid w:val="7A6A04A0"/>
    <w:rsid w:val="7AF34939"/>
    <w:rsid w:val="7BC77B74"/>
    <w:rsid w:val="7F201A75"/>
    <w:rsid w:val="FFFD1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line="360" w:lineRule="auto"/>
      <w:ind w:left="3"/>
      <w:jc w:val="center"/>
      <w:outlineLvl w:val="0"/>
    </w:pPr>
    <w:rPr>
      <w:rFonts w:ascii="Times New Roman" w:hAnsi="Times New Roman" w:eastAsia="黑体"/>
      <w:bCs/>
      <w:kern w:val="44"/>
      <w:sz w:val="44"/>
      <w:szCs w:val="44"/>
    </w:rPr>
  </w:style>
  <w:style w:type="paragraph" w:styleId="4">
    <w:name w:val="heading 2"/>
    <w:basedOn w:val="1"/>
    <w:next w:val="1"/>
    <w:autoRedefine/>
    <w:qFormat/>
    <w:uiPriority w:val="0"/>
    <w:pPr>
      <w:ind w:left="3"/>
      <w:outlineLvl w:val="1"/>
    </w:pPr>
    <w:rPr>
      <w:rFonts w:ascii="Cambria" w:hAnsi="Cambria"/>
      <w:b/>
      <w:bCs/>
      <w:sz w:val="32"/>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List Paragraph"/>
    <w:basedOn w:val="1"/>
    <w:autoRedefine/>
    <w:qFormat/>
    <w:uiPriority w:val="0"/>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 Char"/>
    <w:basedOn w:val="1"/>
    <w:autoRedefine/>
    <w:qFormat/>
    <w:uiPriority w:val="0"/>
    <w:pPr>
      <w:spacing w:line="360" w:lineRule="auto"/>
      <w:ind w:firstLine="200" w:firstLineChars="200"/>
      <w:jc w:val="left"/>
    </w:pPr>
    <w:rPr>
      <w:rFonts w:ascii="楷体_GB2312" w:cs="楷体_GB2312"/>
      <w:b/>
      <w:sz w:val="24"/>
      <w:szCs w:val="28"/>
    </w:rPr>
  </w:style>
  <w:style w:type="paragraph" w:customStyle="1" w:styleId="10">
    <w:name w:val="[Normal]"/>
    <w:autoRedefine/>
    <w:qFormat/>
    <w:uiPriority w:val="0"/>
    <w:rPr>
      <w:rFonts w:ascii="宋体" w:hAnsi="宋体" w:eastAsia="宋体" w:cs="Times New Roman"/>
      <w:sz w:val="24"/>
      <w:szCs w:val="22"/>
      <w:lang w:val="zh-CN" w:eastAsia="zh-CN" w:bidi="ar-SA"/>
    </w:rPr>
  </w:style>
  <w:style w:type="paragraph" w:customStyle="1" w:styleId="11">
    <w:name w:val="Table Text"/>
    <w:basedOn w:val="1"/>
    <w:autoRedefine/>
    <w:semiHidden/>
    <w:qFormat/>
    <w:uiPriority w:val="0"/>
    <w:rPr>
      <w:rFonts w:ascii="宋体" w:hAnsi="宋体" w:eastAsia="宋体" w:cs="宋体"/>
      <w:sz w:val="24"/>
      <w:szCs w:val="24"/>
      <w:lang w:val="en-US" w:eastAsia="en-US" w:bidi="ar-SA"/>
    </w:rPr>
  </w:style>
  <w:style w:type="table" w:customStyle="1" w:styleId="12">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2023-10-23T09:34:00Z</dcterms:created>
  <dc:creator>蒋小榕</dc:creator>
  <cp:lastModifiedBy>蒋小榕</cp:lastModifiedBy>
  <dcterms:modified xsi:type="dcterms:W3CDTF">2024-01-09T03:32:05Z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169C6213029145FD8723EB0B7F767868_11</vt:lpwstr>
  </property>
</Properties>
</file>