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关于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乐清市大荆片区交通引领产业高质量发展规划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》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</w:rPr>
        <w:t>的起草说明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现就报送研究的《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乐清市大荆片区交通引领产业高质量发展规划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》有关情况说明如下：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规划制定背景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乐清市位于温州市北翼，南北向连接温州市区与台州，向东可辐射温岭、玉环、洞头，是重要的交通枢纽，处于美丽通道与湾区通道交汇处。乐清交通规划对全面贯彻国家交通强国建设战略，推动浙江省高水平交通强省建设，对推进综合交通省级协同共建，助力“四大”建设有重要战略意义。依据《乐清市国民经济和社会发展第十四个五年规划和2035年远景目标纲要》，应明确“十四五”交通发展思路、目标、主要任务以及发展重点，加快推进交通补短板，全力支撑乐清市“五市五区”建设。打造外联内畅、同城一体的温北枢纽。通过构筑一轴三脉“丰”字形交通网络布局，一轴串联三脉，构建东部沿海产业带、西部生活经济带两条产业带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依据《乐清市综合交通十四五规划》，大荆组团需加快补齐交通短板，完善公路网络、优化公交枢纽站场布局。规划组团内部形成“三横三纵三延伸”的道路布局，联动大荆、雁荡、湖雾、仙溪、智仁、龙西、清江、芙蓉、岭底等乡镇，加快推进大荆片区农村公路改造提升，以农旅公路框架和驿站改造提升为基础，打造全域共同富裕示范路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依据《乐清市大荆片区跨越式高质量发展五年规划（2021-2025 年）》，“大雁荡”发展格局基本形成，以大荆片区为示范样板，引领带动整个北部山区协同发展，努力成为长三角山海绿色生态经济典范，省域发达地区高质量协调发展示范区，省高质量发展建设共同富裕示范区的浙南样板。区域交通枢纽建设行动是大荆片区五年规划中的重点实施行动：实施甬台温高速改扩建工程，建设杭绍台高速南延伸线，推进甬台温高速至诸永高速联接线工作进程，构建片区“20 分钟通勤圈”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。乐清市鉴于上述背景，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特编此专项规划。</w:t>
      </w:r>
    </w:p>
    <w:p>
      <w:pPr>
        <w:numPr>
          <w:ilvl w:val="0"/>
          <w:numId w:val="1"/>
        </w:numPr>
        <w:snapToGrid w:val="0"/>
        <w:spacing w:line="60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规划编制依据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 《交通运输部关于推进综合运输体系建设的指导意见》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2.《城市综合交通体系规划编制办法》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3.《城市综合交通体系规划编制导则》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4.《城市综合交通体系规划标准》（GB/T51328-2018）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5.《城市道路工程设计规范》（CJJ37-2012)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 《农村公路扩投资稳就业更好服务乡村振兴实施方案》，2022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7.《浙江省综合交通运输发展“十四五”规划》，2021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8.《温州市综合交通体系规划（2016-2030 年）》，2017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9.乐清市国土空间总体规划（2020-2035)，在编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10.《乐清市域总体规划（2013-2030年）》，2015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11.《乐清市国民经济和社会发展第十四个五年规划和 2035年远景目标纲要》，2021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12.《乐清市综合交通运输“十四五”发展规划》，2022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13.《乐清市省级绿道建设规划（2022-2025）》，2022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14.《乐清市大荆片区跨越式高质量发展五年规划（2021—2025年）》，2021</w:t>
      </w:r>
    </w:p>
    <w:p>
      <w:pPr>
        <w:snapToGrid w:val="0"/>
        <w:spacing w:line="600" w:lineRule="exact"/>
        <w:ind w:left="5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15.《雁荡山风景名胜区总体规划（2021-2035年）》，2021</w:t>
      </w:r>
    </w:p>
    <w:p>
      <w:pPr>
        <w:snapToGrid w:val="0"/>
        <w:spacing w:line="600" w:lineRule="exact"/>
        <w:ind w:left="5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16.其他相关设计资料</w:t>
      </w:r>
    </w:p>
    <w:p>
      <w:pPr>
        <w:snapToGrid w:val="0"/>
        <w:spacing w:line="600" w:lineRule="exact"/>
        <w:ind w:firstLine="56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三、规划制定过程</w:t>
      </w:r>
    </w:p>
    <w:p>
      <w:pPr>
        <w:snapToGrid w:val="0"/>
        <w:spacing w:line="600" w:lineRule="exact"/>
        <w:ind w:firstLine="56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10月，我局委托浙江数智交院科技股份有限公司、乐清市城乡规划设计院启动规划编制工作，深入各镇（街道）、功能区调研，广泛征求各部门意见，于2023年3月形成《乐清市大荆片区交通引领产业高质量发展专项方案》（初步方案）。经部门审查后，形成《乐清市大荆片区交通引领产业高质量发展专项方案》（公示稿），并于3月29日到5月16日在网上征求意见。公示结束后对方案进一步完善，形成报批稿。</w:t>
      </w:r>
    </w:p>
    <w:p>
      <w:pPr>
        <w:snapToGrid w:val="0"/>
        <w:spacing w:line="600" w:lineRule="exact"/>
        <w:ind w:firstLine="56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、规划主要内容</w:t>
      </w:r>
    </w:p>
    <w:p>
      <w:pPr>
        <w:numPr>
          <w:ilvl w:val="0"/>
          <w:numId w:val="2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规划目标：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造“五向联动、四网融合、三产共富”的道路交通体系，实现区域一体协同的新前沿、城乡深入融合的新高地，绿色低碳发展的新典范。推进大荆片区与乐清中心城区、台州中心城区、温岭市、永嘉县及黄岩区道路交通互联互通；促进大雁荡交通网络，即干线公路网、农村公路网、铁路网和绿岛网四网深度融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在“十四五”期间，片区交通网络将在近期（2025 年）打造三个交通圈， 实现“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52040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”的时效性目标：村镇公交 5 分钟覆盖圈，实现城乡公交一体引领乡村振兴；大荆片区实现 20 分钟通勤圈，达到 6 个乡镇之间互联互通的目标； 乐清、台州市中心畅达联系，实现 40 分钟畅达圈。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远期（2035 年），要实现“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102030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”的时效性目标: 重要节点 10 分钟快速联圈；大荆片区 20 分钟通勤圈；乐清、台州市中心畅达联系在近期目标实现的基础上再缩短 10 分钟， 即温台一体 30 分钟畅达圈。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（二）道路规划方案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1、高速公路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方案：规划形成“325”高速公路网，其中： 三条高速公路：杭绍台二期、甬台温高速、温岭至永嘉高速。 两个枢纽：新坊枢纽、大荆枢纽。五个互通：仙溪互通、智仁互通、大荆互通、雁荡山互通、镇安互通（预留）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2、国省道规划方案:规划形成“两横一纵”国省道网，其中：两横：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637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国道(起于台州，由温州永嘉进入青田，途经莲都、松阳、遂昌终点至江西上饶,未来将成为大荆片区北部对外交通的重要出口)、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324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省道雁荡段; 一纵：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104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国道。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3、县道规划方案：规划形成“六横十一纵”县道网，其中：六横：水鹤线、卓庄线、湖江线西延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大荆三环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、镇双线、石坦线、福甸公路。十一纵：旅游环线、湖江线、双店线、白芙线、智平线、大太线、旅游环线四期、旅游环线五期、双叶线、北翁线、高福线。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4、乡道规划方案：规划形成“五横三纵”乡道网，其中：五横：蔗田线、智小线、坎庆线、小岭高山环线、北吕岙至温岭太湖乡。 三纵：蔗龙线、水仙线、白周线。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（三）项目投资计划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（1）近期投资计划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1、高速公路项目：近期实施甬台温高速湖雾岭隧道和湖雾至南塘段改扩建工程，项目总投资62.9亿元，“十四五”期间计划完成投资60.8亿元。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2、县乡道项目：近期实施双店线大荆双峰至智仁大台门段、旅游环线三期等项目，项目总投资12.15亿元，“十四五”期间计划完成投资5.3亿元。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（2）中远期投资计划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1、高速公路项目：中期争取开工杭绍台南延温州段，投资约56亿元；远期谋划温岭至永嘉高速，投资约67.8亿元。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2、国省道公路项目：新建S324温岭至常山公路乐清雁荡段，投资22.93亿元。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32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3、县乡道项目：中期力争开工西门岛环岛公路、雁山路延伸、农村联网道路提升等项目，投资约34.87亿元；远期谋划高速口-狮子山-集散中心等项目，投资约27.4亿元。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五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文件施行日期及有效期说明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该文件施行日期自发文之日起施行。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33DBE"/>
    <w:multiLevelType w:val="singleLevel"/>
    <w:tmpl w:val="2BC33DB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D75D28"/>
    <w:multiLevelType w:val="multilevel"/>
    <w:tmpl w:val="43D75D28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WExNmM0NDg2NWU5OTU3NjA5MDhhMTUyMzlhZWIifQ=="/>
  </w:docVars>
  <w:rsids>
    <w:rsidRoot w:val="0A0E3624"/>
    <w:rsid w:val="00057167"/>
    <w:rsid w:val="000C709D"/>
    <w:rsid w:val="001167E2"/>
    <w:rsid w:val="004907CF"/>
    <w:rsid w:val="00D478D8"/>
    <w:rsid w:val="00DA4C9F"/>
    <w:rsid w:val="00DB12CF"/>
    <w:rsid w:val="00E6397F"/>
    <w:rsid w:val="00FE3D11"/>
    <w:rsid w:val="04B13E2A"/>
    <w:rsid w:val="0A0E3624"/>
    <w:rsid w:val="0DF368AB"/>
    <w:rsid w:val="14B545B5"/>
    <w:rsid w:val="191E113B"/>
    <w:rsid w:val="1B2D5C88"/>
    <w:rsid w:val="1C0E431F"/>
    <w:rsid w:val="4174543D"/>
    <w:rsid w:val="41B4467D"/>
    <w:rsid w:val="427E6681"/>
    <w:rsid w:val="5AB161FF"/>
    <w:rsid w:val="5BC7554D"/>
    <w:rsid w:val="673C531D"/>
    <w:rsid w:val="6C7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2031</Words>
  <Characters>2309</Characters>
  <Lines>15</Lines>
  <Paragraphs>4</Paragraphs>
  <TotalTime>1</TotalTime>
  <ScaleCrop>false</ScaleCrop>
  <LinksUpToDate>false</LinksUpToDate>
  <CharactersWithSpaces>2320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2022-10-31T08:16:00Z</dcterms:created>
  <dc:creator>攒米</dc:creator>
  <cp:lastModifiedBy>B-J-Johnson</cp:lastModifiedBy>
  <dcterms:modified xsi:type="dcterms:W3CDTF">2023-12-21T03:28:26Z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C7F17838C5D845EDBC7B47C00B284DD0_13</vt:lpwstr>
  </property>
</Properties>
</file>