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034F5">
      <w:pPr>
        <w:jc w:val="center"/>
        <w:rPr>
          <w:rFonts w:ascii="方正小标宋简体" w:hAnsi="宋体" w:eastAsia="方正小标宋简体" w:cs="宋体"/>
          <w:color w:val="000000" w:themeColor="text1"/>
          <w:sz w:val="44"/>
          <w:szCs w:val="44"/>
        </w:rPr>
      </w:pPr>
      <w:r>
        <w:rPr>
          <w:rFonts w:hint="eastAsia" w:ascii="方正小标宋简体" w:hAnsi="宋体" w:eastAsia="方正小标宋简体" w:cs="宋体"/>
          <w:color w:val="000000" w:themeColor="text1"/>
          <w:sz w:val="44"/>
          <w:szCs w:val="44"/>
        </w:rPr>
        <w:t>松阳县调整完善集体土地地上附着物和青苗</w:t>
      </w:r>
    </w:p>
    <w:p w14:paraId="24844A58">
      <w:pPr>
        <w:jc w:val="center"/>
        <w:rPr>
          <w:rFonts w:ascii="方正小标宋简体" w:hAnsi="宋体" w:eastAsia="方正小标宋简体" w:cs="宋体"/>
          <w:color w:val="000000" w:themeColor="text1"/>
          <w:sz w:val="44"/>
          <w:szCs w:val="44"/>
        </w:rPr>
      </w:pPr>
      <w:r>
        <w:rPr>
          <w:rFonts w:hint="eastAsia" w:ascii="方正小标宋简体" w:hAnsi="宋体" w:eastAsia="方正小标宋简体" w:cs="宋体"/>
          <w:color w:val="000000" w:themeColor="text1"/>
          <w:sz w:val="44"/>
          <w:szCs w:val="44"/>
        </w:rPr>
        <w:t>补偿标准</w:t>
      </w:r>
    </w:p>
    <w:p w14:paraId="0B1D9A99">
      <w:pPr>
        <w:jc w:val="center"/>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(征求意见稿)</w:t>
      </w:r>
    </w:p>
    <w:p w14:paraId="6D7E5F56">
      <w:pPr>
        <w:jc w:val="center"/>
        <w:rPr>
          <w:rFonts w:ascii="方正小标宋简体" w:hAnsi="宋体" w:eastAsia="方正小标宋简体" w:cs="宋体"/>
          <w:color w:val="000000" w:themeColor="text1"/>
        </w:rPr>
      </w:pPr>
    </w:p>
    <w:p w14:paraId="522ECC75">
      <w:pPr>
        <w:spacing w:line="360" w:lineRule="auto"/>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为维护被征地</w:t>
      </w:r>
      <w:r>
        <w:rPr>
          <w:rFonts w:ascii="仿宋_GB2312" w:hAnsi="仿宋_GB2312" w:eastAsia="仿宋_GB2312" w:cs="仿宋_GB2312"/>
          <w:color w:val="000000" w:themeColor="text1"/>
          <w:sz w:val="32"/>
          <w:szCs w:val="32"/>
        </w:rPr>
        <w:t>农民</w:t>
      </w:r>
      <w:r>
        <w:rPr>
          <w:rFonts w:hint="eastAsia" w:ascii="仿宋_GB2312" w:hAnsi="仿宋_GB2312" w:eastAsia="仿宋_GB2312" w:cs="仿宋_GB2312"/>
          <w:color w:val="000000" w:themeColor="text1"/>
          <w:sz w:val="32"/>
          <w:szCs w:val="32"/>
        </w:rPr>
        <w:t>和农村集体经济组织合法权益，促进经济社会可持续发展，规范集体土地征收补偿标准，根据《中华人民共和国土地管理法》</w:t>
      </w:r>
      <w:bookmarkStart w:id="0" w:name="_GoBack"/>
      <w:bookmarkEnd w:id="0"/>
      <w:r>
        <w:rPr>
          <w:rFonts w:ascii="Times New Roman" w:hAnsi="Times New Roman" w:eastAsia="仿宋_GB2312" w:cs="Times New Roman"/>
          <w:color w:val="000000" w:themeColor="text1"/>
          <w:sz w:val="32"/>
          <w:szCs w:val="32"/>
        </w:rPr>
        <w:t>《浙江省土地管理条例》</w:t>
      </w:r>
      <w:r>
        <w:rPr>
          <w:rFonts w:hint="eastAsia" w:ascii="仿宋_GB2312" w:hAnsi="仿宋_GB2312" w:eastAsia="仿宋_GB2312" w:cs="仿宋_GB2312"/>
          <w:color w:val="000000" w:themeColor="text1"/>
          <w:sz w:val="32"/>
          <w:szCs w:val="32"/>
        </w:rPr>
        <w:t>等</w:t>
      </w:r>
      <w:r>
        <w:rPr>
          <w:rFonts w:ascii="Times New Roman" w:hAnsi="Times New Roman" w:eastAsia="仿宋_GB2312" w:cs="Times New Roman"/>
          <w:color w:val="000000" w:themeColor="text1"/>
          <w:sz w:val="32"/>
          <w:szCs w:val="32"/>
        </w:rPr>
        <w:t>规定</w:t>
      </w:r>
      <w:r>
        <w:rPr>
          <w:rFonts w:hint="eastAsia" w:ascii="仿宋_GB2312" w:hAnsi="仿宋_GB2312" w:eastAsia="仿宋_GB2312" w:cs="仿宋_GB2312"/>
          <w:color w:val="000000" w:themeColor="text1"/>
          <w:sz w:val="32"/>
          <w:szCs w:val="32"/>
        </w:rPr>
        <w:t>，结合我县实际制定本补偿标准。</w:t>
      </w:r>
    </w:p>
    <w:p w14:paraId="4D546ACD">
      <w:pPr>
        <w:spacing w:line="360" w:lineRule="auto"/>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青苗是指被征收土地上多年生经济作物、当季作物等</w:t>
      </w:r>
      <w:r>
        <w:rPr>
          <w:rFonts w:ascii="仿宋_GB2312" w:hAnsi="仿宋_GB2312" w:eastAsia="仿宋_GB2312" w:cs="仿宋_GB2312"/>
          <w:color w:val="000000" w:themeColor="text1"/>
          <w:sz w:val="32"/>
          <w:szCs w:val="32"/>
        </w:rPr>
        <w:t>；</w:t>
      </w:r>
      <w:r>
        <w:rPr>
          <w:rFonts w:hint="eastAsia" w:ascii="Times New Roman" w:hAnsi="Times New Roman" w:eastAsia="仿宋_GB2312" w:cs="Times New Roman"/>
          <w:color w:val="000000" w:themeColor="text1"/>
          <w:sz w:val="32"/>
          <w:szCs w:val="32"/>
        </w:rPr>
        <w:t>地上附着物是指被征收土地上的建（构）筑物、农田水利设施及为农民生产、生活服务的各类设施。</w:t>
      </w:r>
    </w:p>
    <w:p w14:paraId="77DF5EA5">
      <w:pPr>
        <w:spacing w:line="360" w:lineRule="auto"/>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青苗补偿实行包干补偿（成片多年生苗木花卉等迁移补助费另计）</w:t>
      </w:r>
      <w:r>
        <w:rPr>
          <w:rFonts w:ascii="仿宋_GB2312" w:hAnsi="仿宋_GB2312" w:eastAsia="仿宋_GB2312" w:cs="仿宋_GB2312"/>
          <w:color w:val="000000" w:themeColor="text1"/>
          <w:sz w:val="32"/>
          <w:szCs w:val="32"/>
        </w:rPr>
        <w:t>；地上的附着物补偿实行按实补偿。被征收土地地上附着物和青苗按以下标准给予补偿。</w:t>
      </w:r>
    </w:p>
    <w:p w14:paraId="435425C8">
      <w:pPr>
        <w:spacing w:line="360" w:lineRule="auto"/>
        <w:ind w:firstLine="640" w:firstLineChars="200"/>
        <w:jc w:val="both"/>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一、</w:t>
      </w:r>
      <w:r>
        <w:rPr>
          <w:rFonts w:hint="eastAsia" w:ascii="黑体" w:hAnsi="黑体" w:eastAsia="黑体" w:cs="黑体"/>
          <w:color w:val="000000" w:themeColor="text1"/>
          <w:sz w:val="32"/>
          <w:szCs w:val="32"/>
        </w:rPr>
        <w:t>青苗补偿标准</w:t>
      </w:r>
    </w:p>
    <w:tbl>
      <w:tblPr>
        <w:tblStyle w:val="7"/>
        <w:tblpPr w:leftFromText="180" w:rightFromText="180" w:vertAnchor="text" w:horzAnchor="page" w:tblpX="1735" w:tblpY="204"/>
        <w:tblOverlap w:val="never"/>
        <w:tblW w:w="86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3259"/>
        <w:gridCol w:w="4790"/>
      </w:tblGrid>
      <w:tr w14:paraId="6003D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3845" w:type="dxa"/>
            <w:gridSpan w:val="2"/>
            <w:vAlign w:val="center"/>
          </w:tcPr>
          <w:p w14:paraId="4C028377">
            <w:pPr>
              <w:jc w:val="center"/>
              <w:rPr>
                <w:rFonts w:ascii="方正小标宋简体" w:hAnsi="仿宋_GB2312" w:eastAsia="方正小标宋简体" w:cs="仿宋_GB2312"/>
                <w:color w:val="000000" w:themeColor="text1"/>
                <w:sz w:val="28"/>
                <w:szCs w:val="28"/>
              </w:rPr>
            </w:pPr>
            <w:r>
              <w:rPr>
                <w:rFonts w:hint="eastAsia" w:ascii="方正小标宋简体" w:hAnsi="仿宋_GB2312" w:eastAsia="方正小标宋简体" w:cs="仿宋_GB2312"/>
                <w:color w:val="000000" w:themeColor="text1"/>
                <w:sz w:val="28"/>
                <w:szCs w:val="28"/>
              </w:rPr>
              <w:t>分 类</w:t>
            </w:r>
          </w:p>
        </w:tc>
        <w:tc>
          <w:tcPr>
            <w:tcW w:w="4790" w:type="dxa"/>
            <w:vAlign w:val="center"/>
          </w:tcPr>
          <w:p w14:paraId="2E47CBF9">
            <w:pPr>
              <w:jc w:val="center"/>
              <w:rPr>
                <w:rFonts w:ascii="方正小标宋简体" w:hAnsi="仿宋_GB2312" w:eastAsia="方正小标宋简体" w:cs="仿宋_GB2312"/>
                <w:color w:val="000000" w:themeColor="text1"/>
                <w:sz w:val="28"/>
                <w:szCs w:val="28"/>
              </w:rPr>
            </w:pPr>
            <w:r>
              <w:rPr>
                <w:rFonts w:hint="eastAsia" w:ascii="方正小标宋简体" w:hAnsi="仿宋_GB2312" w:eastAsia="方正小标宋简体" w:cs="仿宋_GB2312"/>
                <w:color w:val="000000" w:themeColor="text1"/>
                <w:sz w:val="28"/>
                <w:szCs w:val="28"/>
              </w:rPr>
              <w:t>Ⅰ、Ⅱ、Ⅲ区片</w:t>
            </w:r>
          </w:p>
        </w:tc>
      </w:tr>
      <w:tr w14:paraId="18582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586" w:type="dxa"/>
            <w:vAlign w:val="center"/>
          </w:tcPr>
          <w:p w14:paraId="49FCC7AD">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3259" w:type="dxa"/>
            <w:vAlign w:val="center"/>
          </w:tcPr>
          <w:p w14:paraId="7BEA39D6">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人工种植茶叶，农用地</w:t>
            </w:r>
          </w:p>
          <w:p w14:paraId="0E038927">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（除林地、未利用地外）上的青苗</w:t>
            </w:r>
          </w:p>
        </w:tc>
        <w:tc>
          <w:tcPr>
            <w:tcW w:w="4790" w:type="dxa"/>
            <w:vAlign w:val="center"/>
          </w:tcPr>
          <w:p w14:paraId="3113EB04">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10.5元/平方米(7000元/亩)</w:t>
            </w:r>
          </w:p>
        </w:tc>
      </w:tr>
      <w:tr w14:paraId="517C2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586" w:type="dxa"/>
            <w:vAlign w:val="center"/>
          </w:tcPr>
          <w:p w14:paraId="669C0E60">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3259" w:type="dxa"/>
            <w:vAlign w:val="center"/>
          </w:tcPr>
          <w:p w14:paraId="6815DC7A">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林地、未利用地上除自然林、人工林外的其它青苗</w:t>
            </w:r>
          </w:p>
        </w:tc>
        <w:tc>
          <w:tcPr>
            <w:tcW w:w="4790" w:type="dxa"/>
            <w:vAlign w:val="center"/>
          </w:tcPr>
          <w:p w14:paraId="2E28649E">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6.75元/平方米(4500元/亩)</w:t>
            </w:r>
          </w:p>
        </w:tc>
      </w:tr>
      <w:tr w14:paraId="1EA47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86" w:type="dxa"/>
            <w:vAlign w:val="center"/>
          </w:tcPr>
          <w:p w14:paraId="162B88A1">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3259" w:type="dxa"/>
            <w:vAlign w:val="center"/>
          </w:tcPr>
          <w:p w14:paraId="76351CA3">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林地、未利用地上的自然林、人工林</w:t>
            </w:r>
          </w:p>
        </w:tc>
        <w:tc>
          <w:tcPr>
            <w:tcW w:w="4790" w:type="dxa"/>
            <w:vAlign w:val="center"/>
          </w:tcPr>
          <w:p w14:paraId="5F0F64C6">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3.75元/平方米(2500元/亩)</w:t>
            </w:r>
          </w:p>
        </w:tc>
      </w:tr>
      <w:tr w14:paraId="6ACF2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 w:hRule="atLeast"/>
        </w:trPr>
        <w:tc>
          <w:tcPr>
            <w:tcW w:w="586" w:type="dxa"/>
            <w:vAlign w:val="center"/>
          </w:tcPr>
          <w:p w14:paraId="7AEF2390">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p>
        </w:tc>
        <w:tc>
          <w:tcPr>
            <w:tcW w:w="3259" w:type="dxa"/>
            <w:vAlign w:val="center"/>
          </w:tcPr>
          <w:p w14:paraId="557A6395">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成片多年生苗木花卉等迁移补助费</w:t>
            </w:r>
          </w:p>
        </w:tc>
        <w:tc>
          <w:tcPr>
            <w:tcW w:w="4790" w:type="dxa"/>
            <w:vAlign w:val="center"/>
          </w:tcPr>
          <w:p w14:paraId="56B9B678">
            <w:pP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根据苗木花卉规格、品种由有相应资质的评估机构评估确定迁移补助费，上限为35000元/亩（种植面积）。</w:t>
            </w:r>
          </w:p>
        </w:tc>
      </w:tr>
      <w:tr w14:paraId="6277E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8635" w:type="dxa"/>
            <w:gridSpan w:val="3"/>
          </w:tcPr>
          <w:p w14:paraId="2ABC239B">
            <w:pPr>
              <w:rPr>
                <w:rFonts w:ascii="仿宋_GB2312" w:hAnsi="仿宋_GB2312" w:eastAsia="仿宋_GB2312" w:cs="仿宋_GB2312"/>
                <w:color w:val="000000" w:themeColor="text1"/>
                <w:sz w:val="24"/>
                <w:szCs w:val="24"/>
              </w:rPr>
            </w:pPr>
          </w:p>
          <w:p w14:paraId="449BC7A4">
            <w:pP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    1.本补偿标准适用于农用地、未利用地上的各类青苗(包括多年生经济作物、零星树木等)实行包干补偿。</w:t>
            </w:r>
          </w:p>
          <w:p w14:paraId="2A51D1F3">
            <w:pP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    2.村庄范围内种植的青苗按“分类1”标准执行，如有成片多年生苗木花卉按“分类4”标准执行。</w:t>
            </w:r>
          </w:p>
          <w:p w14:paraId="02E3F7D4">
            <w:pP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8"/>
                <w:szCs w:val="28"/>
              </w:rPr>
              <w:t xml:space="preserve">    3.政府挂牌的名木古树，经主管部门批准迁移的并经征收部门核实后，迁移费可按评估补偿；经主管部门审查不适宜迁移的，按价值予以评估补偿。</w:t>
            </w:r>
          </w:p>
        </w:tc>
      </w:tr>
    </w:tbl>
    <w:p w14:paraId="276F8EEA">
      <w:pPr>
        <w:spacing w:beforeLines="50" w:afterLines="50" w:line="336" w:lineRule="auto"/>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     </w:t>
      </w:r>
    </w:p>
    <w:p w14:paraId="685533F6">
      <w:pPr>
        <w:spacing w:beforeLines="50" w:afterLines="50" w:line="336" w:lineRule="auto"/>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    二、附着物补偿标准</w:t>
      </w:r>
    </w:p>
    <w:p w14:paraId="286B655B">
      <w:pPr>
        <w:spacing w:beforeLines="50" w:afterLines="50" w:line="336" w:lineRule="auto"/>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    </w:t>
      </w:r>
      <w:r>
        <w:rPr>
          <w:rFonts w:hint="eastAsia" w:ascii="仿宋_GB2312" w:hAnsi="仿宋_GB2312" w:eastAsia="仿宋_GB2312" w:cs="仿宋_GB2312"/>
          <w:color w:val="000000" w:themeColor="text1"/>
          <w:sz w:val="32"/>
          <w:szCs w:val="32"/>
        </w:rPr>
        <w:t>（一）被征收土地上农业生产用房及构筑物</w:t>
      </w:r>
      <w:r>
        <w:rPr>
          <w:rFonts w:ascii="仿宋_GB2312" w:hAnsi="仿宋_GB2312" w:eastAsia="仿宋_GB2312" w:cs="仿宋_GB2312"/>
          <w:color w:val="000000" w:themeColor="text1"/>
          <w:sz w:val="32"/>
          <w:szCs w:val="32"/>
        </w:rPr>
        <w:t>等</w:t>
      </w:r>
      <w:r>
        <w:rPr>
          <w:rFonts w:hint="eastAsia" w:ascii="仿宋_GB2312" w:hAnsi="仿宋_GB2312" w:eastAsia="仿宋_GB2312" w:cs="仿宋_GB2312"/>
          <w:color w:val="000000" w:themeColor="text1"/>
          <w:sz w:val="32"/>
          <w:szCs w:val="32"/>
        </w:rPr>
        <w:t>的补偿标准参照最新公布的松阳县房屋征收重置价格及相关补偿标准文件执行</w:t>
      </w:r>
      <w:r>
        <w:rPr>
          <w:rFonts w:ascii="仿宋_GB2312" w:hAnsi="仿宋_GB2312" w:eastAsia="仿宋_GB2312" w:cs="仿宋_GB2312"/>
          <w:color w:val="000000" w:themeColor="text1"/>
          <w:sz w:val="32"/>
          <w:szCs w:val="32"/>
        </w:rPr>
        <w:t>。</w:t>
      </w:r>
    </w:p>
    <w:p w14:paraId="6A004202">
      <w:pPr>
        <w:spacing w:line="360" w:lineRule="auto"/>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r>
        <w:rPr>
          <w:rFonts w:ascii="仿宋_GB2312" w:hAnsi="仿宋_GB2312" w:eastAsia="仿宋_GB2312" w:cs="仿宋_GB2312"/>
          <w:color w:val="000000" w:themeColor="text1"/>
          <w:sz w:val="32"/>
          <w:szCs w:val="32"/>
        </w:rPr>
        <w:t>前款未明确的地上附着物，按以下标准执行：</w:t>
      </w:r>
    </w:p>
    <w:tbl>
      <w:tblPr>
        <w:tblStyle w:val="7"/>
        <w:tblW w:w="9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586"/>
        <w:gridCol w:w="744"/>
        <w:gridCol w:w="645"/>
        <w:gridCol w:w="1340"/>
        <w:gridCol w:w="1984"/>
        <w:gridCol w:w="851"/>
        <w:gridCol w:w="2567"/>
      </w:tblGrid>
      <w:tr w14:paraId="73258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843" w:type="dxa"/>
            <w:gridSpan w:val="3"/>
            <w:vAlign w:val="center"/>
          </w:tcPr>
          <w:p w14:paraId="3DA05F7B">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项目名称</w:t>
            </w:r>
          </w:p>
        </w:tc>
        <w:tc>
          <w:tcPr>
            <w:tcW w:w="645" w:type="dxa"/>
            <w:vAlign w:val="center"/>
          </w:tcPr>
          <w:p w14:paraId="2648074A">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单位</w:t>
            </w:r>
          </w:p>
        </w:tc>
        <w:tc>
          <w:tcPr>
            <w:tcW w:w="1340" w:type="dxa"/>
            <w:vAlign w:val="center"/>
          </w:tcPr>
          <w:p w14:paraId="35C66713">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补偿标准</w:t>
            </w:r>
          </w:p>
          <w:p w14:paraId="7E0601FB">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（元）</w:t>
            </w:r>
          </w:p>
        </w:tc>
        <w:tc>
          <w:tcPr>
            <w:tcW w:w="1984" w:type="dxa"/>
            <w:vAlign w:val="center"/>
          </w:tcPr>
          <w:p w14:paraId="186837C0">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项目名称</w:t>
            </w:r>
          </w:p>
        </w:tc>
        <w:tc>
          <w:tcPr>
            <w:tcW w:w="851" w:type="dxa"/>
            <w:vAlign w:val="center"/>
          </w:tcPr>
          <w:p w14:paraId="267E7B3E">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单位</w:t>
            </w:r>
          </w:p>
        </w:tc>
        <w:tc>
          <w:tcPr>
            <w:tcW w:w="2567" w:type="dxa"/>
            <w:vAlign w:val="center"/>
          </w:tcPr>
          <w:p w14:paraId="0C0EDC76">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补偿标准（元）</w:t>
            </w:r>
          </w:p>
        </w:tc>
      </w:tr>
      <w:tr w14:paraId="20BD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43" w:type="dxa"/>
            <w:gridSpan w:val="3"/>
            <w:vAlign w:val="center"/>
          </w:tcPr>
          <w:p w14:paraId="79A92947">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盥洗池</w:t>
            </w:r>
          </w:p>
        </w:tc>
        <w:tc>
          <w:tcPr>
            <w:tcW w:w="645" w:type="dxa"/>
            <w:vAlign w:val="center"/>
          </w:tcPr>
          <w:p w14:paraId="79A39129">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只</w:t>
            </w:r>
          </w:p>
        </w:tc>
        <w:tc>
          <w:tcPr>
            <w:tcW w:w="1340" w:type="dxa"/>
            <w:vAlign w:val="center"/>
          </w:tcPr>
          <w:p w14:paraId="627DBE28">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50</w:t>
            </w:r>
          </w:p>
        </w:tc>
        <w:tc>
          <w:tcPr>
            <w:tcW w:w="1984" w:type="dxa"/>
            <w:vAlign w:val="center"/>
          </w:tcPr>
          <w:p w14:paraId="0E5A9AFC">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土坟迁移费</w:t>
            </w:r>
          </w:p>
        </w:tc>
        <w:tc>
          <w:tcPr>
            <w:tcW w:w="851" w:type="dxa"/>
            <w:vAlign w:val="center"/>
          </w:tcPr>
          <w:p w14:paraId="52DAE93C">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座</w:t>
            </w:r>
          </w:p>
        </w:tc>
        <w:tc>
          <w:tcPr>
            <w:tcW w:w="2567" w:type="dxa"/>
            <w:vAlign w:val="center"/>
          </w:tcPr>
          <w:p w14:paraId="169A68D2">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单穴600,双穴700</w:t>
            </w:r>
          </w:p>
        </w:tc>
      </w:tr>
      <w:tr w14:paraId="30CD8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843" w:type="dxa"/>
            <w:gridSpan w:val="3"/>
            <w:vAlign w:val="center"/>
          </w:tcPr>
          <w:p w14:paraId="1022E2E4">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浆砌块石坎</w:t>
            </w:r>
          </w:p>
        </w:tc>
        <w:tc>
          <w:tcPr>
            <w:tcW w:w="645" w:type="dxa"/>
            <w:vAlign w:val="center"/>
          </w:tcPr>
          <w:p w14:paraId="39D6BE46">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m³</w:t>
            </w:r>
          </w:p>
        </w:tc>
        <w:tc>
          <w:tcPr>
            <w:tcW w:w="1340" w:type="dxa"/>
            <w:vAlign w:val="center"/>
          </w:tcPr>
          <w:p w14:paraId="62F62D8A">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235</w:t>
            </w:r>
          </w:p>
        </w:tc>
        <w:tc>
          <w:tcPr>
            <w:tcW w:w="1984" w:type="dxa"/>
            <w:vAlign w:val="center"/>
          </w:tcPr>
          <w:p w14:paraId="5227EF19">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水泥坟迁移费</w:t>
            </w:r>
          </w:p>
        </w:tc>
        <w:tc>
          <w:tcPr>
            <w:tcW w:w="851" w:type="dxa"/>
            <w:vAlign w:val="center"/>
          </w:tcPr>
          <w:p w14:paraId="718E63C3">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座</w:t>
            </w:r>
          </w:p>
        </w:tc>
        <w:tc>
          <w:tcPr>
            <w:tcW w:w="2567" w:type="dxa"/>
            <w:vAlign w:val="center"/>
          </w:tcPr>
          <w:p w14:paraId="43E15FFC">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单穴850,双穴950</w:t>
            </w:r>
          </w:p>
        </w:tc>
      </w:tr>
      <w:tr w14:paraId="0D28D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43" w:type="dxa"/>
            <w:gridSpan w:val="3"/>
            <w:vAlign w:val="center"/>
          </w:tcPr>
          <w:p w14:paraId="604464AB">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干砌块石坎</w:t>
            </w:r>
          </w:p>
        </w:tc>
        <w:tc>
          <w:tcPr>
            <w:tcW w:w="645" w:type="dxa"/>
            <w:vAlign w:val="center"/>
          </w:tcPr>
          <w:p w14:paraId="72E09864">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m³</w:t>
            </w:r>
          </w:p>
        </w:tc>
        <w:tc>
          <w:tcPr>
            <w:tcW w:w="1340" w:type="dxa"/>
            <w:vAlign w:val="center"/>
          </w:tcPr>
          <w:p w14:paraId="5E64B059">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182</w:t>
            </w:r>
          </w:p>
        </w:tc>
        <w:tc>
          <w:tcPr>
            <w:tcW w:w="1984" w:type="dxa"/>
            <w:vAlign w:val="center"/>
          </w:tcPr>
          <w:p w14:paraId="41846026">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花岗岩坟等迁</w:t>
            </w:r>
          </w:p>
          <w:p w14:paraId="52294040">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移费</w:t>
            </w:r>
          </w:p>
        </w:tc>
        <w:tc>
          <w:tcPr>
            <w:tcW w:w="851" w:type="dxa"/>
            <w:vAlign w:val="center"/>
          </w:tcPr>
          <w:p w14:paraId="04455914">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座</w:t>
            </w:r>
          </w:p>
        </w:tc>
        <w:tc>
          <w:tcPr>
            <w:tcW w:w="2567" w:type="dxa"/>
            <w:vAlign w:val="center"/>
          </w:tcPr>
          <w:p w14:paraId="1233F0FE">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单穴1400,双穴1500</w:t>
            </w:r>
          </w:p>
        </w:tc>
      </w:tr>
      <w:tr w14:paraId="227CF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843" w:type="dxa"/>
            <w:gridSpan w:val="3"/>
            <w:vAlign w:val="center"/>
          </w:tcPr>
          <w:p w14:paraId="4E900A8B">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粪缸</w:t>
            </w:r>
          </w:p>
        </w:tc>
        <w:tc>
          <w:tcPr>
            <w:tcW w:w="645" w:type="dxa"/>
            <w:vAlign w:val="center"/>
          </w:tcPr>
          <w:p w14:paraId="095A3010">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口</w:t>
            </w:r>
          </w:p>
        </w:tc>
        <w:tc>
          <w:tcPr>
            <w:tcW w:w="1340" w:type="dxa"/>
            <w:vAlign w:val="center"/>
          </w:tcPr>
          <w:p w14:paraId="454893B1">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50</w:t>
            </w:r>
          </w:p>
        </w:tc>
        <w:tc>
          <w:tcPr>
            <w:tcW w:w="1984" w:type="dxa"/>
            <w:vAlign w:val="center"/>
          </w:tcPr>
          <w:p w14:paraId="58DD260E">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棺木、金罐</w:t>
            </w:r>
          </w:p>
        </w:tc>
        <w:tc>
          <w:tcPr>
            <w:tcW w:w="851" w:type="dxa"/>
            <w:vAlign w:val="center"/>
          </w:tcPr>
          <w:p w14:paraId="51A2BCCE">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具</w:t>
            </w:r>
          </w:p>
        </w:tc>
        <w:tc>
          <w:tcPr>
            <w:tcW w:w="2567" w:type="dxa"/>
            <w:vAlign w:val="center"/>
          </w:tcPr>
          <w:p w14:paraId="348D65DC">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300</w:t>
            </w:r>
          </w:p>
        </w:tc>
      </w:tr>
      <w:tr w14:paraId="0C89E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843" w:type="dxa"/>
            <w:gridSpan w:val="3"/>
            <w:vAlign w:val="center"/>
          </w:tcPr>
          <w:p w14:paraId="6617D7E3">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三面光渠道</w:t>
            </w:r>
          </w:p>
        </w:tc>
        <w:tc>
          <w:tcPr>
            <w:tcW w:w="645" w:type="dxa"/>
            <w:vAlign w:val="center"/>
          </w:tcPr>
          <w:p w14:paraId="42804B0C">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米</w:t>
            </w:r>
          </w:p>
        </w:tc>
        <w:tc>
          <w:tcPr>
            <w:tcW w:w="1340" w:type="dxa"/>
            <w:vAlign w:val="center"/>
          </w:tcPr>
          <w:p w14:paraId="0BA20CCD">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102</w:t>
            </w:r>
          </w:p>
        </w:tc>
        <w:tc>
          <w:tcPr>
            <w:tcW w:w="1984" w:type="dxa"/>
            <w:vAlign w:val="center"/>
          </w:tcPr>
          <w:p w14:paraId="49DE34DF">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石碑</w:t>
            </w:r>
          </w:p>
        </w:tc>
        <w:tc>
          <w:tcPr>
            <w:tcW w:w="851" w:type="dxa"/>
            <w:vAlign w:val="center"/>
          </w:tcPr>
          <w:p w14:paraId="0B8A1687">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座</w:t>
            </w:r>
          </w:p>
        </w:tc>
        <w:tc>
          <w:tcPr>
            <w:tcW w:w="2567" w:type="dxa"/>
            <w:vAlign w:val="center"/>
          </w:tcPr>
          <w:p w14:paraId="17E2815C">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500</w:t>
            </w:r>
          </w:p>
        </w:tc>
      </w:tr>
      <w:tr w14:paraId="02F59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843" w:type="dxa"/>
            <w:gridSpan w:val="3"/>
            <w:vAlign w:val="center"/>
          </w:tcPr>
          <w:p w14:paraId="110A7460">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U渠道</w:t>
            </w:r>
          </w:p>
        </w:tc>
        <w:tc>
          <w:tcPr>
            <w:tcW w:w="645" w:type="dxa"/>
            <w:vAlign w:val="center"/>
          </w:tcPr>
          <w:p w14:paraId="43786712">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米</w:t>
            </w:r>
          </w:p>
        </w:tc>
        <w:tc>
          <w:tcPr>
            <w:tcW w:w="1340" w:type="dxa"/>
            <w:vAlign w:val="center"/>
          </w:tcPr>
          <w:p w14:paraId="05D12ECF">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82</w:t>
            </w:r>
          </w:p>
        </w:tc>
        <w:tc>
          <w:tcPr>
            <w:tcW w:w="1984" w:type="dxa"/>
            <w:vMerge w:val="restart"/>
            <w:vAlign w:val="center"/>
          </w:tcPr>
          <w:p w14:paraId="22CB0B06">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迁坟安置费</w:t>
            </w:r>
          </w:p>
        </w:tc>
        <w:tc>
          <w:tcPr>
            <w:tcW w:w="851" w:type="dxa"/>
            <w:vMerge w:val="restart"/>
            <w:vAlign w:val="center"/>
          </w:tcPr>
          <w:p w14:paraId="33A7C255">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穴</w:t>
            </w:r>
          </w:p>
        </w:tc>
        <w:tc>
          <w:tcPr>
            <w:tcW w:w="2567" w:type="dxa"/>
            <w:vAlign w:val="center"/>
          </w:tcPr>
          <w:p w14:paraId="48535469">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有自建村级公墓的1200</w:t>
            </w:r>
          </w:p>
        </w:tc>
      </w:tr>
      <w:tr w14:paraId="59E94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13" w:type="dxa"/>
            <w:vMerge w:val="restart"/>
            <w:vAlign w:val="center"/>
          </w:tcPr>
          <w:p w14:paraId="4D974A0B">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棚</w:t>
            </w:r>
          </w:p>
        </w:tc>
        <w:tc>
          <w:tcPr>
            <w:tcW w:w="1330" w:type="dxa"/>
            <w:gridSpan w:val="2"/>
            <w:vAlign w:val="center"/>
          </w:tcPr>
          <w:p w14:paraId="78B82B70">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香菇棚</w:t>
            </w:r>
          </w:p>
        </w:tc>
        <w:tc>
          <w:tcPr>
            <w:tcW w:w="645" w:type="dxa"/>
            <w:vAlign w:val="center"/>
          </w:tcPr>
          <w:p w14:paraId="7BC3402A">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w:t>
            </w:r>
          </w:p>
        </w:tc>
        <w:tc>
          <w:tcPr>
            <w:tcW w:w="1340" w:type="dxa"/>
            <w:vAlign w:val="center"/>
          </w:tcPr>
          <w:p w14:paraId="74908FCF">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25.55</w:t>
            </w:r>
          </w:p>
        </w:tc>
        <w:tc>
          <w:tcPr>
            <w:tcW w:w="1984" w:type="dxa"/>
            <w:vMerge w:val="continue"/>
            <w:vAlign w:val="center"/>
          </w:tcPr>
          <w:p w14:paraId="4596F9FF">
            <w:pPr>
              <w:jc w:val="center"/>
              <w:rPr>
                <w:rFonts w:ascii="仿宋_GB2312" w:hAnsi="仿宋_GB2312" w:eastAsia="仿宋_GB2312" w:cs="仿宋_GB2312"/>
                <w:color w:val="000000" w:themeColor="text1"/>
                <w:sz w:val="28"/>
                <w:szCs w:val="28"/>
              </w:rPr>
            </w:pPr>
          </w:p>
        </w:tc>
        <w:tc>
          <w:tcPr>
            <w:tcW w:w="851" w:type="dxa"/>
            <w:vMerge w:val="continue"/>
            <w:vAlign w:val="center"/>
          </w:tcPr>
          <w:p w14:paraId="65248410">
            <w:pPr>
              <w:jc w:val="center"/>
              <w:rPr>
                <w:rFonts w:ascii="仿宋_GB2312" w:hAnsi="仿宋_GB2312" w:eastAsia="仿宋_GB2312" w:cs="仿宋_GB2312"/>
                <w:color w:val="000000" w:themeColor="text1"/>
                <w:sz w:val="28"/>
                <w:szCs w:val="28"/>
              </w:rPr>
            </w:pPr>
          </w:p>
        </w:tc>
        <w:tc>
          <w:tcPr>
            <w:tcW w:w="2567" w:type="dxa"/>
            <w:vMerge w:val="restart"/>
            <w:vAlign w:val="center"/>
          </w:tcPr>
          <w:p w14:paraId="1EA2F122">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无自建村级公墓的，单穴6900，双穴13800</w:t>
            </w:r>
          </w:p>
        </w:tc>
      </w:tr>
      <w:tr w14:paraId="09CF1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13" w:type="dxa"/>
            <w:vMerge w:val="continue"/>
            <w:vAlign w:val="center"/>
          </w:tcPr>
          <w:p w14:paraId="24FA55F9">
            <w:pPr>
              <w:jc w:val="center"/>
              <w:rPr>
                <w:rFonts w:ascii="仿宋_GB2312" w:hAnsi="仿宋_GB2312" w:eastAsia="仿宋_GB2312" w:cs="仿宋_GB2312"/>
                <w:color w:val="000000" w:themeColor="text1"/>
                <w:sz w:val="28"/>
                <w:szCs w:val="28"/>
              </w:rPr>
            </w:pPr>
          </w:p>
        </w:tc>
        <w:tc>
          <w:tcPr>
            <w:tcW w:w="586" w:type="dxa"/>
            <w:vMerge w:val="restart"/>
            <w:vAlign w:val="center"/>
          </w:tcPr>
          <w:p w14:paraId="001D24D2">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蔬</w:t>
            </w:r>
          </w:p>
          <w:p w14:paraId="720C1697">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菜</w:t>
            </w:r>
          </w:p>
          <w:p w14:paraId="6997E0EF">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棚</w:t>
            </w:r>
          </w:p>
        </w:tc>
        <w:tc>
          <w:tcPr>
            <w:tcW w:w="744" w:type="dxa"/>
            <w:vAlign w:val="center"/>
          </w:tcPr>
          <w:p w14:paraId="5F727DBA">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钢管</w:t>
            </w:r>
          </w:p>
        </w:tc>
        <w:tc>
          <w:tcPr>
            <w:tcW w:w="645" w:type="dxa"/>
            <w:vAlign w:val="center"/>
          </w:tcPr>
          <w:p w14:paraId="1D5FF1FF">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w:t>
            </w:r>
          </w:p>
        </w:tc>
        <w:tc>
          <w:tcPr>
            <w:tcW w:w="1340" w:type="dxa"/>
            <w:vAlign w:val="center"/>
          </w:tcPr>
          <w:p w14:paraId="42656EBB">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w:t>
            </w:r>
          </w:p>
        </w:tc>
        <w:tc>
          <w:tcPr>
            <w:tcW w:w="1984" w:type="dxa"/>
            <w:vMerge w:val="continue"/>
            <w:vAlign w:val="center"/>
          </w:tcPr>
          <w:p w14:paraId="27B5CE51">
            <w:pPr>
              <w:jc w:val="center"/>
              <w:rPr>
                <w:rFonts w:ascii="仿宋_GB2312" w:hAnsi="仿宋_GB2312" w:eastAsia="仿宋_GB2312" w:cs="仿宋_GB2312"/>
                <w:color w:val="000000" w:themeColor="text1"/>
                <w:sz w:val="28"/>
                <w:szCs w:val="28"/>
              </w:rPr>
            </w:pPr>
          </w:p>
        </w:tc>
        <w:tc>
          <w:tcPr>
            <w:tcW w:w="851" w:type="dxa"/>
            <w:vMerge w:val="continue"/>
            <w:vAlign w:val="center"/>
          </w:tcPr>
          <w:p w14:paraId="21EABF01">
            <w:pPr>
              <w:jc w:val="center"/>
              <w:rPr>
                <w:rFonts w:ascii="仿宋_GB2312" w:hAnsi="仿宋_GB2312" w:eastAsia="仿宋_GB2312" w:cs="仿宋_GB2312"/>
                <w:color w:val="000000" w:themeColor="text1"/>
                <w:sz w:val="28"/>
                <w:szCs w:val="28"/>
              </w:rPr>
            </w:pPr>
          </w:p>
        </w:tc>
        <w:tc>
          <w:tcPr>
            <w:tcW w:w="2567" w:type="dxa"/>
            <w:vMerge w:val="continue"/>
            <w:vAlign w:val="center"/>
          </w:tcPr>
          <w:p w14:paraId="53EDE656">
            <w:pPr>
              <w:jc w:val="center"/>
              <w:rPr>
                <w:rFonts w:ascii="仿宋_GB2312" w:hAnsi="仿宋_GB2312" w:eastAsia="仿宋_GB2312" w:cs="仿宋_GB2312"/>
                <w:color w:val="000000" w:themeColor="text1"/>
                <w:sz w:val="28"/>
                <w:szCs w:val="28"/>
              </w:rPr>
            </w:pPr>
          </w:p>
        </w:tc>
      </w:tr>
      <w:tr w14:paraId="64E12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13" w:type="dxa"/>
            <w:vMerge w:val="continue"/>
            <w:vAlign w:val="center"/>
          </w:tcPr>
          <w:p w14:paraId="4DA8341F">
            <w:pPr>
              <w:jc w:val="center"/>
              <w:rPr>
                <w:rFonts w:ascii="仿宋_GB2312" w:hAnsi="仿宋_GB2312" w:eastAsia="仿宋_GB2312" w:cs="仿宋_GB2312"/>
                <w:color w:val="000000" w:themeColor="text1"/>
                <w:sz w:val="28"/>
                <w:szCs w:val="28"/>
              </w:rPr>
            </w:pPr>
          </w:p>
        </w:tc>
        <w:tc>
          <w:tcPr>
            <w:tcW w:w="586" w:type="dxa"/>
            <w:vMerge w:val="continue"/>
            <w:vAlign w:val="center"/>
          </w:tcPr>
          <w:p w14:paraId="07F77FC1">
            <w:pPr>
              <w:jc w:val="center"/>
              <w:rPr>
                <w:rFonts w:ascii="仿宋_GB2312" w:hAnsi="仿宋_GB2312" w:eastAsia="仿宋_GB2312" w:cs="仿宋_GB2312"/>
                <w:color w:val="000000" w:themeColor="text1"/>
                <w:sz w:val="28"/>
                <w:szCs w:val="28"/>
              </w:rPr>
            </w:pPr>
          </w:p>
        </w:tc>
        <w:tc>
          <w:tcPr>
            <w:tcW w:w="744" w:type="dxa"/>
            <w:vAlign w:val="center"/>
          </w:tcPr>
          <w:p w14:paraId="53BB269B">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毛竹</w:t>
            </w:r>
          </w:p>
          <w:p w14:paraId="2B3CDA9D">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树木</w:t>
            </w:r>
          </w:p>
        </w:tc>
        <w:tc>
          <w:tcPr>
            <w:tcW w:w="645" w:type="dxa"/>
            <w:vAlign w:val="center"/>
          </w:tcPr>
          <w:p w14:paraId="2B55D688">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w:t>
            </w:r>
          </w:p>
        </w:tc>
        <w:tc>
          <w:tcPr>
            <w:tcW w:w="1340" w:type="dxa"/>
            <w:vAlign w:val="center"/>
          </w:tcPr>
          <w:p w14:paraId="6B7A2595">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1984" w:type="dxa"/>
            <w:vAlign w:val="center"/>
          </w:tcPr>
          <w:p w14:paraId="6D45A51A">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室外沙石地</w:t>
            </w:r>
          </w:p>
        </w:tc>
        <w:tc>
          <w:tcPr>
            <w:tcW w:w="851" w:type="dxa"/>
            <w:vAlign w:val="center"/>
          </w:tcPr>
          <w:p w14:paraId="6C9FEC69">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w:t>
            </w:r>
          </w:p>
        </w:tc>
        <w:tc>
          <w:tcPr>
            <w:tcW w:w="2567" w:type="dxa"/>
            <w:vAlign w:val="center"/>
          </w:tcPr>
          <w:p w14:paraId="28532297">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15</w:t>
            </w:r>
          </w:p>
        </w:tc>
      </w:tr>
      <w:tr w14:paraId="50AC6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13" w:type="dxa"/>
            <w:vMerge w:val="continue"/>
            <w:vAlign w:val="center"/>
          </w:tcPr>
          <w:p w14:paraId="4FD66281">
            <w:pPr>
              <w:jc w:val="center"/>
              <w:rPr>
                <w:rFonts w:ascii="仿宋_GB2312" w:hAnsi="仿宋_GB2312" w:eastAsia="仿宋_GB2312" w:cs="仿宋_GB2312"/>
                <w:color w:val="000000" w:themeColor="text1"/>
                <w:sz w:val="28"/>
                <w:szCs w:val="28"/>
              </w:rPr>
            </w:pPr>
          </w:p>
        </w:tc>
        <w:tc>
          <w:tcPr>
            <w:tcW w:w="586" w:type="dxa"/>
            <w:vMerge w:val="restart"/>
            <w:vAlign w:val="center"/>
          </w:tcPr>
          <w:p w14:paraId="7CBAF3BA">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茶</w:t>
            </w:r>
          </w:p>
          <w:p w14:paraId="0CD0FC8E">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叶</w:t>
            </w:r>
          </w:p>
          <w:p w14:paraId="5219FB93">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棚</w:t>
            </w:r>
          </w:p>
        </w:tc>
        <w:tc>
          <w:tcPr>
            <w:tcW w:w="744" w:type="dxa"/>
            <w:vAlign w:val="center"/>
          </w:tcPr>
          <w:p w14:paraId="55ACBE5D">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钢管</w:t>
            </w:r>
          </w:p>
        </w:tc>
        <w:tc>
          <w:tcPr>
            <w:tcW w:w="645" w:type="dxa"/>
            <w:vAlign w:val="center"/>
          </w:tcPr>
          <w:p w14:paraId="7A09ADEF">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w:t>
            </w:r>
          </w:p>
        </w:tc>
        <w:tc>
          <w:tcPr>
            <w:tcW w:w="1340" w:type="dxa"/>
            <w:vAlign w:val="center"/>
          </w:tcPr>
          <w:p w14:paraId="509412E3">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1984" w:type="dxa"/>
            <w:vAlign w:val="center"/>
          </w:tcPr>
          <w:p w14:paraId="397B8E38">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喷滴灌</w:t>
            </w:r>
          </w:p>
        </w:tc>
        <w:tc>
          <w:tcPr>
            <w:tcW w:w="851" w:type="dxa"/>
            <w:vAlign w:val="center"/>
          </w:tcPr>
          <w:p w14:paraId="3AE1DB98">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w:t>
            </w:r>
          </w:p>
        </w:tc>
        <w:tc>
          <w:tcPr>
            <w:tcW w:w="2567" w:type="dxa"/>
            <w:vAlign w:val="center"/>
          </w:tcPr>
          <w:p w14:paraId="04F96D16">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r>
      <w:tr w14:paraId="406A0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13" w:type="dxa"/>
            <w:vMerge w:val="continue"/>
            <w:vAlign w:val="center"/>
          </w:tcPr>
          <w:p w14:paraId="04142EAB">
            <w:pPr>
              <w:jc w:val="center"/>
              <w:rPr>
                <w:rFonts w:ascii="仿宋_GB2312" w:hAnsi="仿宋_GB2312" w:eastAsia="仿宋_GB2312" w:cs="仿宋_GB2312"/>
                <w:color w:val="000000" w:themeColor="text1"/>
                <w:sz w:val="28"/>
                <w:szCs w:val="28"/>
              </w:rPr>
            </w:pPr>
          </w:p>
        </w:tc>
        <w:tc>
          <w:tcPr>
            <w:tcW w:w="586" w:type="dxa"/>
            <w:vMerge w:val="continue"/>
            <w:vAlign w:val="center"/>
          </w:tcPr>
          <w:p w14:paraId="1878CFEA">
            <w:pPr>
              <w:jc w:val="center"/>
              <w:rPr>
                <w:rFonts w:ascii="仿宋_GB2312" w:hAnsi="仿宋_GB2312" w:eastAsia="仿宋_GB2312" w:cs="仿宋_GB2312"/>
                <w:color w:val="000000" w:themeColor="text1"/>
                <w:sz w:val="28"/>
                <w:szCs w:val="28"/>
              </w:rPr>
            </w:pPr>
          </w:p>
        </w:tc>
        <w:tc>
          <w:tcPr>
            <w:tcW w:w="744" w:type="dxa"/>
            <w:vAlign w:val="center"/>
          </w:tcPr>
          <w:p w14:paraId="47C8071A">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毛竹</w:t>
            </w:r>
          </w:p>
          <w:p w14:paraId="01C5B00B">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树木</w:t>
            </w:r>
          </w:p>
        </w:tc>
        <w:tc>
          <w:tcPr>
            <w:tcW w:w="645" w:type="dxa"/>
            <w:vAlign w:val="center"/>
          </w:tcPr>
          <w:p w14:paraId="0ADAAAB4">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w:t>
            </w:r>
          </w:p>
        </w:tc>
        <w:tc>
          <w:tcPr>
            <w:tcW w:w="1340" w:type="dxa"/>
            <w:vAlign w:val="center"/>
          </w:tcPr>
          <w:p w14:paraId="5092204A">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0.75</w:t>
            </w:r>
          </w:p>
        </w:tc>
        <w:tc>
          <w:tcPr>
            <w:tcW w:w="1984" w:type="dxa"/>
            <w:vAlign w:val="center"/>
          </w:tcPr>
          <w:p w14:paraId="3DB52318">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干砌水坝</w:t>
            </w:r>
          </w:p>
        </w:tc>
        <w:tc>
          <w:tcPr>
            <w:tcW w:w="851" w:type="dxa"/>
            <w:vAlign w:val="center"/>
          </w:tcPr>
          <w:p w14:paraId="1A725055">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米</w:t>
            </w:r>
          </w:p>
        </w:tc>
        <w:tc>
          <w:tcPr>
            <w:tcW w:w="2567" w:type="dxa"/>
            <w:vAlign w:val="center"/>
          </w:tcPr>
          <w:p w14:paraId="10C85300">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150</w:t>
            </w:r>
          </w:p>
        </w:tc>
      </w:tr>
      <w:tr w14:paraId="2743F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13" w:type="dxa"/>
            <w:vMerge w:val="continue"/>
            <w:vAlign w:val="center"/>
          </w:tcPr>
          <w:p w14:paraId="508E62E7">
            <w:pPr>
              <w:jc w:val="center"/>
              <w:rPr>
                <w:rFonts w:ascii="仿宋_GB2312" w:hAnsi="仿宋_GB2312" w:eastAsia="仿宋_GB2312" w:cs="仿宋_GB2312"/>
                <w:color w:val="000000" w:themeColor="text1"/>
                <w:sz w:val="28"/>
                <w:szCs w:val="28"/>
              </w:rPr>
            </w:pPr>
          </w:p>
        </w:tc>
        <w:tc>
          <w:tcPr>
            <w:tcW w:w="1330" w:type="dxa"/>
            <w:gridSpan w:val="2"/>
            <w:vAlign w:val="center"/>
          </w:tcPr>
          <w:p w14:paraId="2E87971C">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小棚</w:t>
            </w:r>
          </w:p>
          <w:p w14:paraId="240126C7">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（高度1米以下）</w:t>
            </w:r>
          </w:p>
        </w:tc>
        <w:tc>
          <w:tcPr>
            <w:tcW w:w="645" w:type="dxa"/>
            <w:vAlign w:val="center"/>
          </w:tcPr>
          <w:p w14:paraId="6221F94F">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w:t>
            </w:r>
          </w:p>
        </w:tc>
        <w:tc>
          <w:tcPr>
            <w:tcW w:w="1340" w:type="dxa"/>
            <w:vAlign w:val="center"/>
          </w:tcPr>
          <w:p w14:paraId="3CC26612">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1984" w:type="dxa"/>
            <w:vAlign w:val="center"/>
          </w:tcPr>
          <w:p w14:paraId="74CD7EFD">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浆砌水坝</w:t>
            </w:r>
          </w:p>
        </w:tc>
        <w:tc>
          <w:tcPr>
            <w:tcW w:w="851" w:type="dxa"/>
            <w:vAlign w:val="center"/>
          </w:tcPr>
          <w:p w14:paraId="1F043B10">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米</w:t>
            </w:r>
          </w:p>
        </w:tc>
        <w:tc>
          <w:tcPr>
            <w:tcW w:w="2567" w:type="dxa"/>
            <w:vAlign w:val="center"/>
          </w:tcPr>
          <w:p w14:paraId="3DEE9C9E">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280</w:t>
            </w:r>
          </w:p>
        </w:tc>
      </w:tr>
    </w:tbl>
    <w:p w14:paraId="79F1D649">
      <w:pPr>
        <w:rPr>
          <w:rFonts w:eastAsia="宋体"/>
          <w:color w:val="000000" w:themeColor="text1"/>
        </w:rPr>
      </w:pPr>
      <w:r>
        <w:rPr>
          <w:rFonts w:hint="eastAsia" w:eastAsia="宋体"/>
          <w:color w:val="000000" w:themeColor="text1"/>
        </w:rPr>
        <w:t xml:space="preserve"> </w:t>
      </w:r>
    </w:p>
    <w:p w14:paraId="620BACB5">
      <w:pPr>
        <w:spacing w:line="360" w:lineRule="auto"/>
        <w:ind w:firstLine="640" w:firstLineChars="200"/>
        <w:jc w:val="both"/>
        <w:rPr>
          <w:rFonts w:ascii="宋体" w:hAnsi="宋体" w:eastAsia="宋体" w:cs="宋体"/>
          <w:b/>
          <w:bCs/>
          <w:color w:val="000000" w:themeColor="text1"/>
          <w:sz w:val="44"/>
          <w:szCs w:val="44"/>
        </w:rPr>
      </w:pP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二</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第</w:t>
      </w:r>
      <w:r>
        <w:rPr>
          <w:rFonts w:hint="eastAsia" w:ascii="仿宋_GB2312" w:hAnsi="仿宋_GB2312" w:eastAsia="仿宋_GB2312" w:cs="仿宋_GB2312"/>
          <w:color w:val="000000" w:themeColor="text1"/>
          <w:sz w:val="32"/>
          <w:szCs w:val="32"/>
        </w:rPr>
        <w:t>（一）</w:t>
      </w:r>
      <w:r>
        <w:rPr>
          <w:rFonts w:ascii="仿宋_GB2312" w:hAnsi="仿宋_GB2312" w:eastAsia="仿宋_GB2312" w:cs="仿宋_GB2312"/>
          <w:color w:val="000000" w:themeColor="text1"/>
          <w:sz w:val="32"/>
          <w:szCs w:val="32"/>
        </w:rPr>
        <w:t>项未明确的其他地上附着物，由土地征收实施单位</w:t>
      </w:r>
      <w:r>
        <w:rPr>
          <w:rFonts w:hint="eastAsia" w:ascii="仿宋_GB2312" w:hAnsi="仿宋_GB2312" w:eastAsia="仿宋_GB2312" w:cs="仿宋_GB2312"/>
          <w:color w:val="000000" w:themeColor="text1"/>
          <w:sz w:val="32"/>
          <w:szCs w:val="32"/>
        </w:rPr>
        <w:t>委托具有相应资质的评估机构评估后另行补偿。</w:t>
      </w:r>
    </w:p>
    <w:p w14:paraId="205397CA">
      <w:pPr>
        <w:spacing w:beforeLines="50" w:afterLines="50" w:line="336" w:lineRule="auto"/>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三、其他事项</w:t>
      </w:r>
    </w:p>
    <w:p w14:paraId="4164E69C">
      <w:pPr>
        <w:spacing w:line="360" w:lineRule="auto"/>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（一）农户配合土地征收工作的误工费，按参加村（组）级会议、协助调查测量、征地补偿款分配、承包土地调整4个误工（100元/工）共计400元/户的标准补偿。</w:t>
      </w:r>
    </w:p>
    <w:p w14:paraId="65B078EA">
      <w:pPr>
        <w:spacing w:line="360" w:lineRule="auto"/>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（二）合法农业生产用房的被征收人按时签订征地补偿安置协议并搬迁腾空完毕交付验收合格的，按被征收合法建筑面积给予300元/m²奖</w:t>
      </w:r>
      <w:r>
        <w:rPr>
          <w:rFonts w:hint="eastAsia" w:ascii="仿宋_GB2312" w:hAnsi="仿宋_GB2312" w:eastAsia="仿宋_GB2312" w:cs="仿宋_GB2312"/>
          <w:color w:val="auto"/>
          <w:sz w:val="32"/>
          <w:szCs w:val="32"/>
        </w:rPr>
        <w:t>励。</w:t>
      </w:r>
    </w:p>
    <w:p w14:paraId="3E277291">
      <w:pPr>
        <w:spacing w:line="360" w:lineRule="auto"/>
        <w:ind w:firstLine="640" w:firstLineChars="200"/>
        <w:jc w:val="both"/>
        <w:rPr>
          <w:rFonts w:ascii="仿宋" w:hAnsi="仿宋" w:eastAsia="仿宋" w:cs="仿宋"/>
          <w:color w:val="000000" w:themeColor="text1"/>
          <w:sz w:val="31"/>
          <w:szCs w:val="31"/>
        </w:rPr>
      </w:pPr>
      <w:r>
        <w:rPr>
          <w:rFonts w:hint="eastAsia" w:ascii="仿宋_GB2312" w:hAnsi="仿宋_GB2312" w:eastAsia="仿宋_GB2312" w:cs="仿宋_GB2312"/>
          <w:color w:val="000000" w:themeColor="text1"/>
          <w:sz w:val="32"/>
          <w:szCs w:val="32"/>
        </w:rPr>
        <w:t>（三）除合法农业生产用房以外的其他生产用房，按相应结构等级重置价格结合成新后给予70%的建筑材料残值补助；被征收人按时</w:t>
      </w:r>
      <w:r>
        <w:rPr>
          <w:rFonts w:ascii="仿宋_GB2312" w:hAnsi="仿宋_GB2312" w:eastAsia="仿宋_GB2312" w:cs="仿宋_GB2312"/>
          <w:color w:val="000000" w:themeColor="text1"/>
          <w:sz w:val="32"/>
          <w:szCs w:val="32"/>
        </w:rPr>
        <w:t>搬迁腾空完毕</w:t>
      </w:r>
      <w:r>
        <w:rPr>
          <w:rFonts w:hint="eastAsia" w:ascii="仿宋_GB2312" w:hAnsi="仿宋_GB2312" w:eastAsia="仿宋_GB2312" w:cs="仿宋_GB2312"/>
          <w:color w:val="000000" w:themeColor="text1"/>
          <w:sz w:val="32"/>
          <w:szCs w:val="32"/>
        </w:rPr>
        <w:t>交付</w:t>
      </w:r>
      <w:r>
        <w:rPr>
          <w:rFonts w:ascii="仿宋_GB2312" w:hAnsi="仿宋_GB2312" w:eastAsia="仿宋_GB2312" w:cs="仿宋_GB2312"/>
          <w:color w:val="000000" w:themeColor="text1"/>
          <w:sz w:val="32"/>
          <w:szCs w:val="32"/>
        </w:rPr>
        <w:t>验收合格的，按建筑面积</w:t>
      </w:r>
      <w:r>
        <w:rPr>
          <w:rFonts w:ascii="仿宋_GB2312" w:hAnsi="仿宋_GB2312" w:eastAsia="仿宋_GB2312" w:cs="仿宋_GB2312"/>
          <w:color w:val="auto"/>
          <w:sz w:val="32"/>
          <w:szCs w:val="32"/>
        </w:rPr>
        <w:t>给予</w:t>
      </w:r>
      <w:r>
        <w:rPr>
          <w:rFonts w:ascii="仿宋_GB2312" w:hAnsi="仿宋_GB2312" w:eastAsia="仿宋_GB2312" w:cs="仿宋_GB2312"/>
          <w:color w:val="000000" w:themeColor="text1"/>
          <w:sz w:val="32"/>
          <w:szCs w:val="32"/>
        </w:rPr>
        <w:t>70元/㎡搬迁补助。</w:t>
      </w:r>
    </w:p>
    <w:p w14:paraId="26C537F8">
      <w:pPr>
        <w:spacing w:line="360" w:lineRule="auto"/>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（四）收回国有林场、国有农场土地的</w:t>
      </w:r>
      <w:r>
        <w:rPr>
          <w:rFonts w:ascii="Times New Roman" w:hAnsi="Times New Roman" w:eastAsia="仿宋_GB2312" w:cs="Times New Roman"/>
          <w:color w:val="000000" w:themeColor="text1"/>
          <w:sz w:val="32"/>
          <w:szCs w:val="32"/>
        </w:rPr>
        <w:t>地上附着物和青苗</w:t>
      </w:r>
      <w:r>
        <w:rPr>
          <w:rFonts w:hint="eastAsia" w:ascii="仿宋_GB2312" w:hAnsi="仿宋_GB2312" w:eastAsia="仿宋_GB2312" w:cs="仿宋_GB2312"/>
          <w:color w:val="000000" w:themeColor="text1"/>
          <w:sz w:val="32"/>
          <w:szCs w:val="32"/>
        </w:rPr>
        <w:t>补偿标准参照本标准执行。</w:t>
      </w:r>
    </w:p>
    <w:p w14:paraId="169506E5">
      <w:pPr>
        <w:spacing w:beforeLines="50" w:afterLines="50" w:line="336" w:lineRule="auto"/>
        <w:jc w:val="both"/>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 xml:space="preserve">    </w:t>
      </w:r>
    </w:p>
    <w:p w14:paraId="2694EF1A">
      <w:pPr>
        <w:spacing w:beforeLines="50" w:afterLines="50" w:line="336" w:lineRule="auto"/>
        <w:jc w:val="both"/>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 xml:space="preserve">    四、附则</w:t>
      </w:r>
    </w:p>
    <w:p w14:paraId="238ABDC9">
      <w:pPr>
        <w:spacing w:line="360" w:lineRule="auto"/>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auto"/>
          <w:sz w:val="32"/>
          <w:szCs w:val="32"/>
        </w:rPr>
        <w:t>1.</w:t>
      </w:r>
      <w:r>
        <w:rPr>
          <w:rFonts w:hint="eastAsia" w:ascii="微软雅黑" w:hAnsi="微软雅黑" w:eastAsia="微软雅黑"/>
          <w:color w:val="171A1D"/>
          <w:sz w:val="23"/>
          <w:szCs w:val="23"/>
          <w:shd w:val="clear" w:color="auto" w:fill="FFFFFF"/>
        </w:rPr>
        <w:t xml:space="preserve"> </w:t>
      </w:r>
      <w:r>
        <w:rPr>
          <w:rFonts w:hint="eastAsia" w:ascii="仿宋_GB2312" w:hAnsi="仿宋_GB2312" w:eastAsia="仿宋_GB2312" w:cs="仿宋_GB2312"/>
          <w:color w:val="000000" w:themeColor="text1"/>
          <w:sz w:val="32"/>
          <w:szCs w:val="32"/>
        </w:rPr>
        <w:t>土地征收公告在本文件施行前已发布的，地上附着物和青苗补偿费标准按公告规定的标准执行；土地征收公告在本文件施行后再发布的，地上附着物和青苗补偿费标准按照本文件执行。</w:t>
      </w:r>
    </w:p>
    <w:p w14:paraId="7494DAA0">
      <w:pPr>
        <w:spacing w:line="360" w:lineRule="auto"/>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2.本文件自2024年X月X日起施行，原《松阳县人民政府关于印发〈松阳县调整完善征地区片综合补偿标准暂行规定〉的通知》(松政发〔2018〕97号)同时废止。</w:t>
      </w:r>
    </w:p>
    <w:sectPr>
      <w:footerReference r:id="rId3" w:type="default"/>
      <w:pgSz w:w="11910" w:h="16840"/>
      <w:pgMar w:top="1392" w:right="1502" w:bottom="1395" w:left="1502"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21418C-6974-40A8-9685-7F680D56E4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2E4CD63F-F4E4-47E6-989D-71B616CB4E2C}"/>
  </w:font>
  <w:font w:name="仿宋_GB2312">
    <w:panose1 w:val="02010609030101010101"/>
    <w:charset w:val="86"/>
    <w:family w:val="modern"/>
    <w:pitch w:val="default"/>
    <w:sig w:usb0="00000001" w:usb1="080E0000" w:usb2="00000000" w:usb3="00000000" w:csb0="00040000" w:csb1="00000000"/>
    <w:embedRegular r:id="rId3" w:fontKey="{F9DF053A-7875-414B-9D64-FDAC9F6F93F0}"/>
  </w:font>
  <w:font w:name="仿宋">
    <w:panose1 w:val="02010609060101010101"/>
    <w:charset w:val="86"/>
    <w:family w:val="modern"/>
    <w:pitch w:val="default"/>
    <w:sig w:usb0="800002BF" w:usb1="38CF7CFA" w:usb2="00000016" w:usb3="00000000" w:csb0="00040001" w:csb1="00000000"/>
    <w:embedRegular r:id="rId4" w:fontKey="{983FB0B2-79ED-4882-A540-4A6ECB2183E7}"/>
  </w:font>
  <w:font w:name="微软雅黑">
    <w:panose1 w:val="020B0503020204020204"/>
    <w:charset w:val="86"/>
    <w:family w:val="swiss"/>
    <w:pitch w:val="default"/>
    <w:sig w:usb0="80000287" w:usb1="280F3C52" w:usb2="00000016" w:usb3="00000000" w:csb0="0004001F" w:csb1="00000000"/>
    <w:embedRegular r:id="rId5" w:fontKey="{058ABE34-8091-437B-A93A-F8F039C92C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E6C7">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YzZmU2ZmQxM2U5NmMyNTNmZjJiMWU0YzQzYjE5ZDYifQ=="/>
  </w:docVars>
  <w:rsids>
    <w:rsidRoot w:val="00081AD6"/>
    <w:rsid w:val="00075AE0"/>
    <w:rsid w:val="00081AD6"/>
    <w:rsid w:val="000D0E96"/>
    <w:rsid w:val="000F7FEB"/>
    <w:rsid w:val="00101DA3"/>
    <w:rsid w:val="00140945"/>
    <w:rsid w:val="001A788C"/>
    <w:rsid w:val="001B6DA2"/>
    <w:rsid w:val="002B6B0E"/>
    <w:rsid w:val="002C386F"/>
    <w:rsid w:val="002D09BB"/>
    <w:rsid w:val="002F07DC"/>
    <w:rsid w:val="002F0DF5"/>
    <w:rsid w:val="003A561B"/>
    <w:rsid w:val="003C7A5A"/>
    <w:rsid w:val="00471CCC"/>
    <w:rsid w:val="005029E0"/>
    <w:rsid w:val="0056669E"/>
    <w:rsid w:val="00584A72"/>
    <w:rsid w:val="0061177A"/>
    <w:rsid w:val="00620F44"/>
    <w:rsid w:val="0064748B"/>
    <w:rsid w:val="00662AEA"/>
    <w:rsid w:val="00664741"/>
    <w:rsid w:val="00666F2F"/>
    <w:rsid w:val="006C102A"/>
    <w:rsid w:val="006E2015"/>
    <w:rsid w:val="007459DE"/>
    <w:rsid w:val="00750A7E"/>
    <w:rsid w:val="007958E0"/>
    <w:rsid w:val="007F27CB"/>
    <w:rsid w:val="00885FDD"/>
    <w:rsid w:val="00923BA4"/>
    <w:rsid w:val="009322B7"/>
    <w:rsid w:val="00970105"/>
    <w:rsid w:val="009E3FA6"/>
    <w:rsid w:val="00A729E4"/>
    <w:rsid w:val="00AA498B"/>
    <w:rsid w:val="00AD7247"/>
    <w:rsid w:val="00B341C9"/>
    <w:rsid w:val="00B65A12"/>
    <w:rsid w:val="00BB0929"/>
    <w:rsid w:val="00C06283"/>
    <w:rsid w:val="00C449BA"/>
    <w:rsid w:val="00C56C10"/>
    <w:rsid w:val="00C61C0F"/>
    <w:rsid w:val="00C73D22"/>
    <w:rsid w:val="00C856B2"/>
    <w:rsid w:val="00CC66B1"/>
    <w:rsid w:val="00D14225"/>
    <w:rsid w:val="00D20DF6"/>
    <w:rsid w:val="00D43A10"/>
    <w:rsid w:val="00D726F6"/>
    <w:rsid w:val="00D8218E"/>
    <w:rsid w:val="00DA2BB4"/>
    <w:rsid w:val="00DA32B2"/>
    <w:rsid w:val="00E11DA3"/>
    <w:rsid w:val="00E430C9"/>
    <w:rsid w:val="00E64C61"/>
    <w:rsid w:val="00E8717D"/>
    <w:rsid w:val="00EF2E00"/>
    <w:rsid w:val="00F74070"/>
    <w:rsid w:val="00F774B5"/>
    <w:rsid w:val="00FF3189"/>
    <w:rsid w:val="00FF7DBA"/>
    <w:rsid w:val="029E162E"/>
    <w:rsid w:val="02DE072E"/>
    <w:rsid w:val="036A695E"/>
    <w:rsid w:val="03821040"/>
    <w:rsid w:val="04275FAE"/>
    <w:rsid w:val="04284056"/>
    <w:rsid w:val="0510135E"/>
    <w:rsid w:val="062454C1"/>
    <w:rsid w:val="06A32FFB"/>
    <w:rsid w:val="06A71C56"/>
    <w:rsid w:val="06AE3D97"/>
    <w:rsid w:val="06BB405E"/>
    <w:rsid w:val="073B280C"/>
    <w:rsid w:val="07775550"/>
    <w:rsid w:val="0A4C3FD6"/>
    <w:rsid w:val="0A6B449D"/>
    <w:rsid w:val="0AA02B82"/>
    <w:rsid w:val="0ABF0394"/>
    <w:rsid w:val="0B095168"/>
    <w:rsid w:val="0B397BBC"/>
    <w:rsid w:val="0B486D45"/>
    <w:rsid w:val="0B4E1717"/>
    <w:rsid w:val="0B5629C5"/>
    <w:rsid w:val="0BF928B7"/>
    <w:rsid w:val="0C2934BC"/>
    <w:rsid w:val="0CDF2F6F"/>
    <w:rsid w:val="0D9E4239"/>
    <w:rsid w:val="0E5B6625"/>
    <w:rsid w:val="0ED65CAC"/>
    <w:rsid w:val="11034651"/>
    <w:rsid w:val="113F5142"/>
    <w:rsid w:val="117A03D5"/>
    <w:rsid w:val="11FA50CC"/>
    <w:rsid w:val="13A94467"/>
    <w:rsid w:val="13AF4D1D"/>
    <w:rsid w:val="14426428"/>
    <w:rsid w:val="144B546B"/>
    <w:rsid w:val="147750E1"/>
    <w:rsid w:val="1480375B"/>
    <w:rsid w:val="1523709A"/>
    <w:rsid w:val="15916DD0"/>
    <w:rsid w:val="16836B12"/>
    <w:rsid w:val="17BE277F"/>
    <w:rsid w:val="181235D5"/>
    <w:rsid w:val="18B51DF5"/>
    <w:rsid w:val="19A60971"/>
    <w:rsid w:val="1A332438"/>
    <w:rsid w:val="1AFA11B9"/>
    <w:rsid w:val="1C707FDE"/>
    <w:rsid w:val="1CD034C4"/>
    <w:rsid w:val="1EA96F39"/>
    <w:rsid w:val="1F513328"/>
    <w:rsid w:val="1F6972AE"/>
    <w:rsid w:val="1F9C4CF0"/>
    <w:rsid w:val="22F85FDE"/>
    <w:rsid w:val="23103A2A"/>
    <w:rsid w:val="25B650DE"/>
    <w:rsid w:val="27D602DC"/>
    <w:rsid w:val="284339AE"/>
    <w:rsid w:val="28862099"/>
    <w:rsid w:val="28BA43AC"/>
    <w:rsid w:val="29DF7CB3"/>
    <w:rsid w:val="2A266072"/>
    <w:rsid w:val="2ACD3470"/>
    <w:rsid w:val="2B4918BC"/>
    <w:rsid w:val="2B7B7EAF"/>
    <w:rsid w:val="2C7D37B3"/>
    <w:rsid w:val="2CC971DC"/>
    <w:rsid w:val="2D5855A9"/>
    <w:rsid w:val="2E6650BF"/>
    <w:rsid w:val="2E6E3CFB"/>
    <w:rsid w:val="2EC16AC5"/>
    <w:rsid w:val="2ED659AE"/>
    <w:rsid w:val="2F015AC7"/>
    <w:rsid w:val="2FBD09A4"/>
    <w:rsid w:val="2FFB4F4A"/>
    <w:rsid w:val="307701BE"/>
    <w:rsid w:val="318D450C"/>
    <w:rsid w:val="323D5EBE"/>
    <w:rsid w:val="329D2D2D"/>
    <w:rsid w:val="33294694"/>
    <w:rsid w:val="33572FB0"/>
    <w:rsid w:val="34034EE6"/>
    <w:rsid w:val="347308B2"/>
    <w:rsid w:val="350D4BB1"/>
    <w:rsid w:val="36674B96"/>
    <w:rsid w:val="36790B4B"/>
    <w:rsid w:val="38C05153"/>
    <w:rsid w:val="39AE31FE"/>
    <w:rsid w:val="3A4324C7"/>
    <w:rsid w:val="3B925D1B"/>
    <w:rsid w:val="3BFA440E"/>
    <w:rsid w:val="3C1F6B18"/>
    <w:rsid w:val="3DB79563"/>
    <w:rsid w:val="3DF17B5D"/>
    <w:rsid w:val="3E014B14"/>
    <w:rsid w:val="3E1675C3"/>
    <w:rsid w:val="3E6920F1"/>
    <w:rsid w:val="3F5517B3"/>
    <w:rsid w:val="3F706A51"/>
    <w:rsid w:val="3FB30AE9"/>
    <w:rsid w:val="3FC30156"/>
    <w:rsid w:val="403102D8"/>
    <w:rsid w:val="40AD2461"/>
    <w:rsid w:val="417E1CFA"/>
    <w:rsid w:val="41994793"/>
    <w:rsid w:val="41D64D36"/>
    <w:rsid w:val="425B7C9B"/>
    <w:rsid w:val="42DC527F"/>
    <w:rsid w:val="43E2627D"/>
    <w:rsid w:val="441B3B85"/>
    <w:rsid w:val="44474123"/>
    <w:rsid w:val="446B0669"/>
    <w:rsid w:val="44D55FB5"/>
    <w:rsid w:val="453B0492"/>
    <w:rsid w:val="460E2545"/>
    <w:rsid w:val="464E0242"/>
    <w:rsid w:val="46F42039"/>
    <w:rsid w:val="474F0C1F"/>
    <w:rsid w:val="4750317B"/>
    <w:rsid w:val="477529B4"/>
    <w:rsid w:val="49520049"/>
    <w:rsid w:val="49902920"/>
    <w:rsid w:val="4B4E3F12"/>
    <w:rsid w:val="4C9170DB"/>
    <w:rsid w:val="4CAA19C2"/>
    <w:rsid w:val="4D9C654A"/>
    <w:rsid w:val="4E301B5C"/>
    <w:rsid w:val="4E89007F"/>
    <w:rsid w:val="4ECC43FA"/>
    <w:rsid w:val="50071EB7"/>
    <w:rsid w:val="51681DBC"/>
    <w:rsid w:val="51CE3828"/>
    <w:rsid w:val="51DC46ED"/>
    <w:rsid w:val="52EE5649"/>
    <w:rsid w:val="530A54F1"/>
    <w:rsid w:val="53387369"/>
    <w:rsid w:val="537A36DF"/>
    <w:rsid w:val="53DD1ADF"/>
    <w:rsid w:val="555A2C62"/>
    <w:rsid w:val="556C7A8F"/>
    <w:rsid w:val="55DF66D5"/>
    <w:rsid w:val="585708FF"/>
    <w:rsid w:val="58977827"/>
    <w:rsid w:val="59F82A19"/>
    <w:rsid w:val="5A5253E9"/>
    <w:rsid w:val="5B4F02D9"/>
    <w:rsid w:val="5BBB1A7E"/>
    <w:rsid w:val="5CC36B8D"/>
    <w:rsid w:val="5D962B46"/>
    <w:rsid w:val="5ECE3876"/>
    <w:rsid w:val="5F5E7D90"/>
    <w:rsid w:val="5FC30F01"/>
    <w:rsid w:val="5FFF0AF7"/>
    <w:rsid w:val="612B0FFB"/>
    <w:rsid w:val="61527D87"/>
    <w:rsid w:val="615C785F"/>
    <w:rsid w:val="62613B85"/>
    <w:rsid w:val="62A170D2"/>
    <w:rsid w:val="62DF6EE2"/>
    <w:rsid w:val="62EF5822"/>
    <w:rsid w:val="631F6803"/>
    <w:rsid w:val="63231EA7"/>
    <w:rsid w:val="63AB1602"/>
    <w:rsid w:val="640109CD"/>
    <w:rsid w:val="640A107B"/>
    <w:rsid w:val="64822BEC"/>
    <w:rsid w:val="64C60D99"/>
    <w:rsid w:val="65B55E6F"/>
    <w:rsid w:val="68625CEB"/>
    <w:rsid w:val="68743105"/>
    <w:rsid w:val="68796D2E"/>
    <w:rsid w:val="68925426"/>
    <w:rsid w:val="68CA50AF"/>
    <w:rsid w:val="69576DD0"/>
    <w:rsid w:val="6AEF129B"/>
    <w:rsid w:val="6B22177E"/>
    <w:rsid w:val="6C046540"/>
    <w:rsid w:val="6C6A090B"/>
    <w:rsid w:val="6DBE59DF"/>
    <w:rsid w:val="6E1A0DF7"/>
    <w:rsid w:val="70285D29"/>
    <w:rsid w:val="70F23EB1"/>
    <w:rsid w:val="711D041B"/>
    <w:rsid w:val="72BB7A5D"/>
    <w:rsid w:val="72D87549"/>
    <w:rsid w:val="73D97EF3"/>
    <w:rsid w:val="74B310D7"/>
    <w:rsid w:val="752124FA"/>
    <w:rsid w:val="752848D6"/>
    <w:rsid w:val="75E904F2"/>
    <w:rsid w:val="782F4F2E"/>
    <w:rsid w:val="783C790D"/>
    <w:rsid w:val="78A16A9B"/>
    <w:rsid w:val="7A580134"/>
    <w:rsid w:val="7A5B481E"/>
    <w:rsid w:val="7A68063E"/>
    <w:rsid w:val="7AB76EBC"/>
    <w:rsid w:val="7C0F1257"/>
    <w:rsid w:val="7C776EA4"/>
    <w:rsid w:val="7D1D4D0C"/>
    <w:rsid w:val="7DD51F7D"/>
    <w:rsid w:val="7E2750D1"/>
    <w:rsid w:val="7F9674B7"/>
    <w:rsid w:val="7FBB8F89"/>
    <w:rsid w:val="7FFFCE3F"/>
    <w:rsid w:val="9FFDB5FF"/>
    <w:rsid w:val="9FFF1E71"/>
    <w:rsid w:val="BBADA46C"/>
    <w:rsid w:val="D377FC42"/>
    <w:rsid w:val="DFFDDCDE"/>
    <w:rsid w:val="E95F506D"/>
    <w:rsid w:val="F0BF89F1"/>
    <w:rsid w:val="F3BCC054"/>
    <w:rsid w:val="F5EBF14E"/>
    <w:rsid w:val="F7154538"/>
    <w:rsid w:val="F7FED7EE"/>
    <w:rsid w:val="F9BEA8D5"/>
    <w:rsid w:val="FD7DE461"/>
    <w:rsid w:val="FEFB9A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9"/>
    <w:qFormat/>
    <w:uiPriority w:val="0"/>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Char"/>
    <w:basedOn w:val="6"/>
    <w:link w:val="4"/>
    <w:qFormat/>
    <w:uiPriority w:val="0"/>
    <w:rPr>
      <w:rFonts w:ascii="Arial" w:hAnsi="Arial" w:eastAsia="Arial" w:cs="Arial"/>
      <w:snapToGrid w:val="0"/>
      <w:color w:val="000000"/>
      <w:sz w:val="18"/>
      <w:szCs w:val="18"/>
    </w:rPr>
  </w:style>
  <w:style w:type="character" w:customStyle="1" w:styleId="9">
    <w:name w:val="页脚 Char"/>
    <w:basedOn w:val="6"/>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1356</Words>
  <Characters>1458</Characters>
  <Lines>11</Lines>
  <Paragraphs>3</Paragraphs>
  <TotalTime>0</TotalTime>
  <ScaleCrop>false</ScaleCrop>
  <LinksUpToDate>false</LinksUpToDate>
  <CharactersWithSpaces>1498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2023-03-30T03:00:00Z</dcterms:created>
  <dc:creator>Kingsoft-PDF</dc:creator>
  <cp:lastModifiedBy>臭臭</cp:lastModifiedBy>
  <cp:lastPrinted>2024-10-15T00:24:00Z</cp:lastPrinted>
  <dcterms:modified xsi:type="dcterms:W3CDTF">2024-11-05T05:28:41Z</dcterms:modified>
  <dc:subject>pdfbuilder</dc:subject>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2023-03-28T11:00:15Z</vt:filetime>
  </property>
  <property fmtid="{D5CDD505-2E9C-101B-9397-08002B2CF9AE}" pid="4" name="UsrData">
    <vt:lpwstr>642258300d38b700153ac2d6</vt:lpwstr>
  </property>
  <property fmtid="{D5CDD505-2E9C-101B-9397-08002B2CF9AE}" pid="5" name="KSOProductBuildVer">
    <vt:lpwstr>2052-12.1.0.18608</vt:lpwstr>
  </property>
  <property fmtid="{D5CDD505-2E9C-101B-9397-08002B2CF9AE}" pid="6" name="ICV">
    <vt:lpwstr>2AECEE8DE8FE4BF3AA7F1537A369CF7D</vt:lpwstr>
  </property>
</Properties>
</file>