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关于进一步优化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鹿城区“外摆位”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活动的实施意见（试行）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征求意见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市委市政府关于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深入实施“八八战略”强力推进创新深化改革攻坚开放提升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相关工作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部署，更好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统筹经济高质量发展与城市内涵式发展，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帮助市场主体纾困解难，加快恢复和释放消费活力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根据《温州市市容和环境卫生管理条例》《无证无照经营查处办法》《鹿城区“外摆位”试点方案》等相关法规及文件要求，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当前工作实际，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特制定本实施意见。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8"/>
          <w:rFonts w:hint="eastAsia" w:ascii="Arial" w:hAnsi="Arial" w:eastAsia="宋体" w:cs="Arial"/>
          <w:b w:val="0"/>
          <w:bCs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 xml:space="preserve"> 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 xml:space="preserve"> 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坚持统一规划、合理布局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疏堵结合管理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，以商业布局更加合理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管理更加规范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城市烟火更加浓厚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市容环境更加优化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市民生活更加美好为目标，不断创新监管方式，提高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城市精细化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治理水平，服务城市高质量发展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二、工作举措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（一）优化临时性商业活动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按照“街道主导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部门协同、业主主责”的原则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在不影响群众生活、交通通行及市容环境卫生的前提下，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地红线范围内的公共空间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商业步行街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经申请同意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在特定的时间和地点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临时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商业活动，用于商品展示、促销等经营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提升商业氛围。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1.外摆范围为城市商业综合体用地红线范围、区政府确定开展外摆活动的商业步行街及其他不影响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群众生活、交通通行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的公共空间。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“一街一策”“一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一案”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要求，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规范统一摊位、展篷，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合理配置垃圾分类、污水处理、标识标牌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相应的休闲和绿化美化设施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切实做到规范、统一、美观、安全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时间放宽至24小时，住宅和其他噪声敏感建筑区周边，原则上不得超过晚间22时，具体结合居民意见调整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同一场地举办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临时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活动时间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原则上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每月累计不超过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含布场和撤场时间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在五一、国庆、元旦、春节等重点促消费节点，可酌情延长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至15天，区域内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一楼门店设置外摆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除外。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（二）引导便民疏导点设置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各街镇可综合考虑市民需求、环境卫生、交通安全、食品安全等实际，结合《温州市城区临时疏导点设置和管理标准》（温城管办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TW"/>
        </w:rPr>
        <w:t>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TW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12号）文件要求，采取堵疏结合的方式，利用自有空间、待开发闲置用地，因地制宜设置临时便民疏导点。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1.疏导点设置要以市民必需为前提，作为周边配套商业网点的补充，解决部分自产自销农产品的出路，满足周边群众生活、饮食、休闲等消费需求。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2.街镇可利用待开发闲置用地、集体经济自留建设用地发展后备箱经济、早市夜市等新型业态小微集市，打造更接地气的特色消费场景和灵活创业就业市场。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3.临时疏导点设置和管理（含小微集市）由所在街镇总负责，具体负责辖区内区域划定、经营时间、专人管理等事项，保持场内及周边市容环境整洁卫生、文明有序。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如因城市发展、建设、开发等因素确实不能再继续经营的，业主单位必须无条件配合有关部门自行拆除并恢复原貌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（三）规范民俗文化公益性活动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街镇或有关单位为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上级工作部署举办</w:t>
      </w:r>
      <w:r>
        <w:rPr>
          <w:rFonts w:hint="eastAsia" w:ascii="仿宋_GB2312" w:hAnsi="Arial" w:eastAsia="仿宋_GB2312" w:cs="Arial"/>
          <w:b w:val="0"/>
          <w:color w:val="auto"/>
          <w:sz w:val="32"/>
          <w:szCs w:val="32"/>
          <w:shd w:val="clear" w:color="auto" w:fill="FFFFFF"/>
        </w:rPr>
        <w:t>民俗文化、社会公益活动</w:t>
      </w:r>
      <w:r>
        <w:rPr>
          <w:rFonts w:hint="eastAsia" w:ascii="仿宋_GB2312" w:hAnsi="Arial" w:eastAsia="仿宋_GB2312" w:cs="Arial"/>
          <w:b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Arial" w:eastAsia="仿宋_GB2312" w:cs="Arial"/>
          <w:b w:val="0"/>
          <w:color w:val="auto"/>
          <w:sz w:val="32"/>
          <w:szCs w:val="32"/>
          <w:shd w:val="clear" w:color="auto" w:fill="FFFFFF"/>
          <w:lang w:val="en-US" w:eastAsia="zh-CN"/>
        </w:rPr>
        <w:t>确</w:t>
      </w:r>
      <w:r>
        <w:rPr>
          <w:rFonts w:hint="eastAsia" w:ascii="仿宋_GB2312" w:hAnsi="Arial" w:eastAsia="仿宋_GB2312" w:cs="Arial"/>
          <w:b w:val="0"/>
          <w:color w:val="auto"/>
          <w:sz w:val="32"/>
          <w:szCs w:val="32"/>
          <w:shd w:val="clear" w:color="auto" w:fill="FFFFFF"/>
        </w:rPr>
        <w:t>需临时</w:t>
      </w:r>
      <w:r>
        <w:rPr>
          <w:rFonts w:hint="eastAsia" w:ascii="仿宋_GB2312" w:hAnsi="Arial" w:eastAsia="仿宋_GB2312" w:cs="Arial"/>
          <w:b w:val="0"/>
          <w:color w:val="auto"/>
          <w:sz w:val="32"/>
          <w:szCs w:val="32"/>
          <w:shd w:val="clear" w:color="auto" w:fill="FFFFFF"/>
          <w:lang w:val="en-US" w:eastAsia="zh-CN"/>
        </w:rPr>
        <w:t>占</w:t>
      </w:r>
      <w:r>
        <w:rPr>
          <w:rFonts w:hint="eastAsia" w:ascii="仿宋_GB2312" w:hAnsi="Arial" w:eastAsia="仿宋_GB2312" w:cs="Arial"/>
          <w:b w:val="0"/>
          <w:color w:val="auto"/>
          <w:sz w:val="32"/>
          <w:szCs w:val="32"/>
          <w:shd w:val="clear" w:color="auto" w:fill="FFFFFF"/>
        </w:rPr>
        <w:t>用城市道路、广场以及其他公共场地</w:t>
      </w:r>
      <w:r>
        <w:rPr>
          <w:rFonts w:hint="eastAsia" w:ascii="仿宋_GB2312" w:hAnsi="Arial" w:eastAsia="仿宋_GB2312" w:cs="Arial"/>
          <w:b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Arial" w:eastAsia="仿宋_GB2312" w:cs="Arial"/>
          <w:b w:val="0"/>
          <w:color w:val="auto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不影响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群众生活、交通通行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的情况下，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临时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占用城市道路或公共场地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，用于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开展民俗文化、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群众性体育等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公益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活动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b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b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Arial" w:eastAsia="仿宋_GB2312" w:cs="Arial"/>
          <w:b w:val="0"/>
          <w:bCs/>
          <w:sz w:val="32"/>
          <w:szCs w:val="32"/>
          <w:shd w:val="clear" w:color="auto" w:fill="FFFFFF"/>
          <w:lang w:val="en-US" w:eastAsia="zh-CN"/>
        </w:rPr>
        <w:t>.民俗文化公益</w:t>
      </w:r>
      <w:r>
        <w:rPr>
          <w:rFonts w:hint="eastAsia" w:ascii="仿宋_GB2312" w:hAnsi="Arial" w:eastAsia="仿宋_GB2312" w:cs="Arial"/>
          <w:b w:val="0"/>
          <w:bCs/>
          <w:sz w:val="32"/>
          <w:szCs w:val="32"/>
          <w:shd w:val="clear" w:color="auto" w:fill="FFFFFF"/>
        </w:rPr>
        <w:t>活动时间原则上不超过7天，期满确需延长占用城市道路、广场等公共空间的，主办单位须在期满期前提出续期申请。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b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主办单位作为活动的第一责任人，应制定现场管理方案和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安全</w:t>
      </w:r>
      <w:r>
        <w:rPr>
          <w:rFonts w:hint="eastAsia" w:ascii="仿宋_GB2312" w:eastAsia="仿宋_GB2312"/>
          <w:sz w:val="32"/>
          <w:szCs w:val="32"/>
        </w:rPr>
        <w:t>应急预案，参照“门前三包”及“环境卫生责任区”等制度，做好现场管理，确保活动场地环境卫生秩序。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做好活动现场绿地、市政设施防护工作，防止现场草地、花卉、树木被践踏和毁损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三、实施流程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1.临时商业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活动、</w:t>
      </w:r>
      <w:r>
        <w:rPr>
          <w:rFonts w:hint="eastAsia" w:ascii="仿宋_GB2312" w:hAnsi="Arial" w:eastAsia="仿宋_GB2312" w:cs="Arial"/>
          <w:b w:val="0"/>
          <w:bCs/>
          <w:sz w:val="32"/>
          <w:szCs w:val="32"/>
          <w:shd w:val="clear" w:color="auto" w:fill="FFFFFF"/>
          <w:lang w:val="en-US" w:eastAsia="zh-CN"/>
        </w:rPr>
        <w:t>民俗文化公益</w:t>
      </w:r>
      <w:r>
        <w:rPr>
          <w:rFonts w:hint="eastAsia" w:ascii="仿宋_GB2312" w:hAnsi="Arial" w:eastAsia="仿宋_GB2312" w:cs="Arial"/>
          <w:b w:val="0"/>
          <w:bCs/>
          <w:sz w:val="32"/>
          <w:szCs w:val="32"/>
          <w:shd w:val="clear" w:color="auto" w:fill="FFFFFF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主办单位向属地执法中队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提出申请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属地执法中队按照“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一街一策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一场一案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的要求，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明确意见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确定允许设置的区域、规模、数量和时间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等具体方案。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3.临时商业活动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主办单位应向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周边市民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征求意见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经公示无意见并经</w:t>
      </w:r>
      <w:r>
        <w:rPr>
          <w:rFonts w:hint="eastAsia" w:ascii="仿宋_GB2312" w:hAnsi="仿宋_GB2312" w:eastAsia="仿宋_GB2312" w:cs="仿宋_GB2312"/>
          <w:sz w:val="32"/>
          <w:szCs w:val="32"/>
        </w:rPr>
        <w:t>属地街镇同意后，报区综合行政执法局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kern w:val="32"/>
          <w:sz w:val="32"/>
          <w:szCs w:val="32"/>
        </w:rPr>
        <w:t>临时疏导点设置</w:t>
      </w:r>
      <w:r>
        <w:rPr>
          <w:rFonts w:hint="eastAsia" w:ascii="仿宋_GB2312" w:hAnsi="宋体" w:eastAsia="仿宋_GB2312"/>
          <w:color w:val="000000"/>
          <w:kern w:val="32"/>
          <w:sz w:val="32"/>
          <w:szCs w:val="32"/>
          <w:lang w:val="en-US" w:eastAsia="zh-CN"/>
        </w:rPr>
        <w:t>申请按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温州市城区临时疏导点设置和管理标准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温城管办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TW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TW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12号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文件要求执行。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实施要求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临时商业活动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需提供以下资料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活动信息表；活动方案；企业单位营业执照复印件；法定代表人身份证明复印件；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平面布局图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；相关业主同意设置证明材料；设置方案意见征求公示材料；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现场环境卫生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垃圾分类收集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自我管理承诺书。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Arial" w:eastAsia="仿宋_GB2312" w:cs="Arial"/>
          <w:b w:val="0"/>
          <w:bCs/>
          <w:sz w:val="32"/>
          <w:szCs w:val="32"/>
          <w:shd w:val="clear" w:color="auto" w:fill="FFFFFF"/>
          <w:lang w:val="en-US" w:eastAsia="zh-CN"/>
        </w:rPr>
        <w:t>民俗文化公益活动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需提供活动信息表、活动方案、自我管理承诺书及相关文件支撑材料。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下列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占用城市道路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事项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审批程序办理：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店招更换或维修；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外立面装修；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基建项目；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公用事业服务。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3.临时活动不得有以下行为：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在党政机关、学校、医院周边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临时商业活动；⑵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损坏市政设施、绿地或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挤占人行道开展各类经营活动；⑶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设置重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油烟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噪声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污染等严重扰民业态；⑷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搭建固定建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筑物或者其他设施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；⑸其他影响市容环境或居民正常生活等不宜开展临时外摆活动的情形。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五、监管指导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坚持“便民不扰民，放开不放任”原则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属地街镇及相关单位应建立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服务机制，提供全方位指导、高效率服务和个性化管理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进一步激发市场主体活力，以“管”促“优”，持续维护市容环境秩序，提升城市治理精细化水平。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2.强化市容环境执法保障。对同意举办的各类临时活动，相关执法中队、大队应根据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重大执法任务保障方案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温鹿综发〔2019〕43号）文件要求，启动相应级别的执法保障，</w:t>
      </w:r>
      <w:r>
        <w:rPr>
          <w:rFonts w:hint="eastAsia" w:ascii="仿宋_GB2312" w:eastAsia="仿宋_GB2312"/>
          <w:bCs/>
          <w:sz w:val="32"/>
          <w:szCs w:val="32"/>
        </w:rPr>
        <w:t>明确职责、紧密配合，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确保各项活动有序进行。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3.坚持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柔性执法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助力营商环境提升。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在行政执法中实施“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首违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免罚”制度，初次违法或违法行为轻微并及时改正，没有造成危害后果的，可以不予行政处罚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对拒不整改或多次未按要求落实相关管理要求的，依法立案处罚。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FF0000"/>
          <w:kern w:val="2"/>
          <w:sz w:val="32"/>
          <w:szCs w:val="32"/>
          <w:lang w:eastAsia="zh-CN" w:bidi="ar"/>
        </w:rPr>
        <w:t xml:space="preserve"> 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本意见由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eastAsia="zh-CN" w:bidi="ar"/>
        </w:rPr>
        <w:t>温州市鹿城区综合行政执法局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负责解释，自文件下发之日起施行。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附件：鹿城区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临时</w:t>
      </w:r>
      <w:r>
        <w:rPr>
          <w:rFonts w:hint="eastAsia" w:ascii="仿宋_GB2312" w:hAnsi="仿宋_GB2312" w:eastAsia="仿宋_GB2312" w:cs="仿宋_GB2312"/>
          <w:sz w:val="32"/>
          <w:szCs w:val="32"/>
        </w:rPr>
        <w:t>外摆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ascii="方正小标宋简体" w:hAnsi="宋体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shd w:val="clear" w:color="auto" w:fill="FFFFFF"/>
          <w:lang w:val="en-US" w:eastAsia="zh-CN"/>
        </w:rPr>
        <w:t>鹿城区临时外摆</w:t>
      </w:r>
      <w:r>
        <w:rPr>
          <w:rFonts w:hint="eastAsia" w:ascii="方正小标宋简体" w:hAnsi="宋体" w:eastAsia="方正小标宋简体"/>
          <w:bCs/>
          <w:sz w:val="44"/>
          <w:szCs w:val="44"/>
          <w:shd w:val="clear" w:color="auto" w:fill="FFFFFF"/>
        </w:rPr>
        <w:t>活动信息表</w:t>
      </w:r>
    </w:p>
    <w:tbl>
      <w:tblPr>
        <w:tblStyle w:val="6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85"/>
        <w:gridCol w:w="2034"/>
        <w:gridCol w:w="515"/>
        <w:gridCol w:w="533"/>
        <w:gridCol w:w="811"/>
        <w:gridCol w:w="693"/>
        <w:gridCol w:w="708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申请单位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8"/>
                <w:position w:val="-56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联系人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电话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-38"/>
                <w:position w:val="-56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活动规模</w:t>
            </w:r>
          </w:p>
        </w:tc>
        <w:tc>
          <w:tcPr>
            <w:tcW w:w="3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主办单位</w:t>
            </w:r>
          </w:p>
        </w:tc>
        <w:tc>
          <w:tcPr>
            <w:tcW w:w="3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承办单位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事由</w:t>
            </w:r>
          </w:p>
        </w:tc>
        <w:tc>
          <w:tcPr>
            <w:tcW w:w="3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地段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活动时间</w:t>
            </w:r>
          </w:p>
        </w:tc>
        <w:tc>
          <w:tcPr>
            <w:tcW w:w="6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    月    日    时至   年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进场时间以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及退场时间</w:t>
            </w:r>
          </w:p>
        </w:tc>
        <w:tc>
          <w:tcPr>
            <w:tcW w:w="6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地段示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意图及方案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（可采用附件）</w:t>
            </w:r>
          </w:p>
        </w:tc>
        <w:tc>
          <w:tcPr>
            <w:tcW w:w="68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8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申请人承诺：</w:t>
            </w:r>
          </w:p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1.本表所填报的内容及提交的所有材料原件或复印件全部真实有效；</w:t>
            </w:r>
          </w:p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2.活动期间不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设置重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油烟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高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噪声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 xml:space="preserve">污染等严重扰民业态；  </w:t>
            </w:r>
          </w:p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不占用、堵塞、封闭安全出口、消防车通道等影响周边居民正常生活；</w:t>
            </w:r>
          </w:p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不损坏活动现场市政、绿化等设施，如有损坏由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申请人负责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修复；</w:t>
            </w:r>
          </w:p>
          <w:p>
            <w:pPr>
              <w:rPr>
                <w:rFonts w:hint="default" w:ascii="楷体_GB2312" w:hAnsi="楷体_GB2312" w:eastAsia="楷体_GB2312" w:cs="楷体_GB2312"/>
                <w:sz w:val="20"/>
                <w:szCs w:val="20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活动安保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食品安全及依法需要取得营业执照等相关证照的活动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由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申请人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自行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负责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协调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办理；</w:t>
            </w:r>
          </w:p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val="en-US" w:eastAsia="zh-CN"/>
              </w:rPr>
              <w:t>其他因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管理工作要求，申请人无条件配合相关部门取消或暂停活动。</w:t>
            </w:r>
          </w:p>
          <w:p>
            <w:pPr>
              <w:widowControl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申请单位（盖章/签名）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执法中队现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勘查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签名/盖章          年 月 日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属地街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（街区办）意见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签名/盖章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区综合行政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执法局意见</w:t>
            </w:r>
          </w:p>
        </w:tc>
        <w:tc>
          <w:tcPr>
            <w:tcW w:w="72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610"/>
              <w:jc w:val="righ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                签名/盖章             年   月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154" w:right="1531" w:bottom="215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jAxYjU5OWQ2YmZkNjE5ZjU3ZTBmY2IwNjUwYWYifQ=="/>
  </w:docVars>
  <w:rsids>
    <w:rsidRoot w:val="00920621"/>
    <w:rsid w:val="000168C8"/>
    <w:rsid w:val="001628FF"/>
    <w:rsid w:val="002529EF"/>
    <w:rsid w:val="00261912"/>
    <w:rsid w:val="00290D2E"/>
    <w:rsid w:val="00544049"/>
    <w:rsid w:val="00584F8C"/>
    <w:rsid w:val="00872B03"/>
    <w:rsid w:val="008F31AD"/>
    <w:rsid w:val="00920621"/>
    <w:rsid w:val="00A86D82"/>
    <w:rsid w:val="00B70BC5"/>
    <w:rsid w:val="00C03934"/>
    <w:rsid w:val="00C36D30"/>
    <w:rsid w:val="00D07D21"/>
    <w:rsid w:val="00D42541"/>
    <w:rsid w:val="00E73D62"/>
    <w:rsid w:val="00F7756B"/>
    <w:rsid w:val="02ED3791"/>
    <w:rsid w:val="067D59FE"/>
    <w:rsid w:val="06FD08ED"/>
    <w:rsid w:val="0E405E31"/>
    <w:rsid w:val="15E540DD"/>
    <w:rsid w:val="15F93211"/>
    <w:rsid w:val="188B5D59"/>
    <w:rsid w:val="1CBD66FD"/>
    <w:rsid w:val="1E3F7E7A"/>
    <w:rsid w:val="24E84174"/>
    <w:rsid w:val="25BF3704"/>
    <w:rsid w:val="263A05A8"/>
    <w:rsid w:val="26F70D2E"/>
    <w:rsid w:val="28D27543"/>
    <w:rsid w:val="2A5C7F8E"/>
    <w:rsid w:val="2ACD0453"/>
    <w:rsid w:val="33E4572D"/>
    <w:rsid w:val="34E44B15"/>
    <w:rsid w:val="34F64218"/>
    <w:rsid w:val="36315D3A"/>
    <w:rsid w:val="36AF0147"/>
    <w:rsid w:val="3A971EE4"/>
    <w:rsid w:val="3BFF96AA"/>
    <w:rsid w:val="439B2A45"/>
    <w:rsid w:val="479C322F"/>
    <w:rsid w:val="490613E3"/>
    <w:rsid w:val="4BC12B4C"/>
    <w:rsid w:val="4C5C1CBE"/>
    <w:rsid w:val="50660D16"/>
    <w:rsid w:val="57342B3C"/>
    <w:rsid w:val="5F6B1475"/>
    <w:rsid w:val="66B47A81"/>
    <w:rsid w:val="69B21B8D"/>
    <w:rsid w:val="6A58493C"/>
    <w:rsid w:val="6AA438FB"/>
    <w:rsid w:val="6EDF73DA"/>
    <w:rsid w:val="707472D1"/>
    <w:rsid w:val="76DF0784"/>
    <w:rsid w:val="79B97811"/>
    <w:rsid w:val="79D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jc w:val="left"/>
    </w:pPr>
    <w:rPr>
      <w:rFonts w:ascii="黑体" w:hAnsi="黑体" w:eastAsia="黑体" w:cs="宋体"/>
      <w:b/>
      <w:bCs/>
      <w:kern w:val="0"/>
      <w:sz w:val="44"/>
      <w:szCs w:val="44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lczf</Company>
  <Pages>6</Pages>
  <Words>2597</Words>
  <Characters>2639</Characters>
  <Lines>1</Lines>
  <Paragraphs>1</Paragraphs>
  <TotalTime>18</TotalTime>
  <ScaleCrop>false</ScaleCrop>
  <LinksUpToDate>false</LinksUpToDate>
  <CharactersWithSpaces>2799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2021-07-03T20:19:00Z</dcterms:created>
  <dc:creator>邵</dc:creator>
  <cp:lastModifiedBy>邵</cp:lastModifiedBy>
  <cp:lastPrinted>2023-06-08T04:20:00Z</cp:lastPrinted>
  <dcterms:modified xsi:type="dcterms:W3CDTF">2023-06-08T08:41:37Z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4435B789E64C4D08A7DD25197EE9A25F_13</vt:lpwstr>
  </property>
</Properties>
</file>