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beforeAutospacing="0" w:afterAutospacing="0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台州市互联网租赁自行车、互联网租赁电动</w:t>
      </w:r>
    </w:p>
    <w:p>
      <w:pPr>
        <w:pStyle w:val="7"/>
        <w:adjustRightInd w:val="0"/>
        <w:snapToGrid w:val="0"/>
        <w:spacing w:beforeAutospacing="0" w:afterAutospacing="0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自行车经营企业规范运营承诺书</w:t>
      </w:r>
    </w:p>
    <w:p>
      <w:pPr>
        <w:pStyle w:val="7"/>
        <w:adjustRightInd w:val="0"/>
        <w:snapToGrid w:val="0"/>
        <w:spacing w:beforeAutospacing="0" w:afterAutospacing="0"/>
        <w:jc w:val="center"/>
        <w:rPr>
          <w:rFonts w:ascii="楷体" w:hAnsi="楷体" w:eastAsia="楷体" w:cs="楷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征求意见稿</w:t>
      </w:r>
      <w:bookmarkStart w:id="0" w:name="_GoBack"/>
      <w:bookmarkEnd w:id="0"/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spacing w:beforeAutospacing="0" w:afterAutospacing="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Autospacing="0" w:afterAutospacing="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区交通运输局、区综合行政执法局、区公安局交通警察直属大队：</w:t>
      </w:r>
    </w:p>
    <w:p>
      <w:pPr>
        <w:pStyle w:val="7"/>
        <w:spacing w:beforeAutospacing="0" w:afterAutospacing="0"/>
        <w:ind w:firstLine="640" w:firstLineChars="200"/>
        <w:jc w:val="both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促进互联网租赁自行车、互联网租赁电动自行车（以下简称共享单车、共享电单车）规范、协调和可持续发展，根据《关于加强市区互联网租赁自行车、互联网租赁电动自行车规范运营的通知》有关要求，现就规范经营承诺如下：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一、车辆符合相关标准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1.车辆符合现行国家标准和行业标准规定，配备符合相关技术要求的卫星定位和具有数据通讯技术的智能锁，具有统一的品牌标志和唯一的车辆识别编码。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2.车辆配备防带人设施，未加装影响安全骑行的附属设备。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3.共享电单车具备精准停车、90度规范停车等技术标准，能够甄别车身是否完整停入停车框内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判断车辆的摆放角度是否能够满足停车点等要求。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4.共享电单车配备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国标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头盔，且头盔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具有智能摘盔断电功能，有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可靠的卫生、保洁方案。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5.共享电单车在公安交警部门办理注册登记，统一使用车架号、车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牌号“码牌合一”的号牌。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6.车辆投放营运前向行业主管部门出具质量检验合格证明。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二、规范企业运营行为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 w:cs="Times New Roman"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C00000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 w:cs="Times New Roman"/>
          <w:color w:val="C00000"/>
          <w:sz w:val="32"/>
          <w:szCs w:val="32"/>
          <w:shd w:val="clear" w:color="auto" w:fill="FFFFFF"/>
          <w:lang w:val="en-US" w:eastAsia="zh-CN"/>
        </w:rPr>
        <w:t>按照政府核定的总量限额投放车辆，并接受政府的服务评价结果与投放总量挂钩的要求，按规定增减投放运行车辆总数</w:t>
      </w:r>
      <w:r>
        <w:rPr>
          <w:rFonts w:ascii="Times New Roman" w:hAnsi="Times New Roman" w:eastAsia="仿宋_GB2312" w:cs="Times New Roman"/>
          <w:color w:val="C00000"/>
          <w:sz w:val="32"/>
          <w:szCs w:val="32"/>
          <w:shd w:val="clear" w:color="auto" w:fill="FFFFFF"/>
        </w:rPr>
        <w:t>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.遵守城市管理法律法规规定，积极配合政府监管，接受社会监督。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建立健全运营管理、巡检维修、安全保养、报废回收等机制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对用户进行实名制注册登记，并与用户签订格式规范、内容公平合理的租赁服务协议，明确双方权利义务，明确用户骑行、停放等方面的要求。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.禁止向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周岁以下的未成年人提供注册、租赁服务。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公布符合国家有关规定的服务计费方式、收费标准，不得侵害用户合法权益和社会公共利益，做到守法经营、公平竞争。</w:t>
      </w:r>
    </w:p>
    <w:p>
      <w:pPr>
        <w:pStyle w:val="2"/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.车辆投放前将车辆数据接入政府共享单车数据管理平台，共享电单车要在申领车牌7天内主动接入。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.公布服务质量承诺，公开24小时服务监督电话，建立应急处置预案及用户、市民投诉处理制度，及时处置突发事件和投诉。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.履行安全生产主体责任，严格落实相关法律法规和企业安全生产各项规章制度，定期进行车辆维护保养，确保车辆完好。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.为用户购买人身意外伤害保险、购买非机动车交通事故责任强制保险，向社会公示事故赔偿流程、标准，并协助办理保险理赔。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.遵守国家网络和信息安全有关规定，不得擅自泄露注册用户个人信息，不得利用其服务平台发布法律法规禁止发布的信息，不得为企业、个人及其他团体、组织发布违法有害信息提供便利。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三、加强</w:t>
      </w: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用</w:t>
      </w: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车</w:t>
      </w: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管理</w:t>
      </w:r>
    </w:p>
    <w:p>
      <w:pPr>
        <w:pStyle w:val="7"/>
        <w:spacing w:beforeAutospacing="0" w:afterAutospacing="0"/>
        <w:ind w:firstLine="64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1.匹配城市空间承载能力、停放设施资源、公众出行需求，严格按照核定数量合理有序投放车辆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2.及时清理违规停放车辆，保持车身清洁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3.及时维修损坏车辆，定期回收闲置车辆、报废车辆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4.积极研发新技术，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做好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电子围栏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、停车感应等科技应用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，提高车辆停放定位的精准度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组建专业运营团队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配备与车辆投放规模相适应的运营维护队伍。每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100辆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共享电单车配备不少于1名维护人员，每200辆运营车辆配备不少于1辆调度车。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.构建信用管理体系，引导用户规范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车辆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，对违规使用车辆人员实施“黑名单”等联合惩戒制度。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四、承诺主动退出情形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发生下述情形，承诺主动退出市场：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1.根据考核结果给予车辆回收入库处罚，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在处罚期间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未按要求回收车辆，弄虚作假、拒不执行、不按比例回收。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2.根据考核结果给予暂停运营处罚，在处罚期内继续营运。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3.年度考核评分低于700分且综合排名最后一名。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运营车辆未向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公安交警部门办理注册登记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使用假牌、套牌。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5.违规超投运营车辆三次（含）以上。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6.未按照要求接入政府共享单车数据管理平台。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未按照要求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车辆技术改进、日常巡查、常态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监管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等工作，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未在大型商业区域、重要城市道路、公共交通枢纽站、学校、医院、公园等人口密集区实行专人定点驻守管理，无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法达到当地运营要求。 </w:t>
      </w: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Autospacing="0" w:afterAutospacing="0"/>
        <w:ind w:firstLine="4800" w:firstLineChars="15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承诺企业（盖章）</w:t>
      </w:r>
    </w:p>
    <w:p>
      <w:pPr>
        <w:pStyle w:val="7"/>
        <w:spacing w:beforeAutospacing="0" w:afterAutospacing="0"/>
        <w:ind w:firstLine="960" w:firstLineChars="3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法定代表人（负责人）签字：</w:t>
      </w:r>
    </w:p>
    <w:p>
      <w:pPr>
        <w:pStyle w:val="7"/>
        <w:spacing w:beforeAutospacing="0" w:afterAutospacing="0"/>
        <w:ind w:firstLine="5120" w:firstLineChars="1600"/>
        <w:jc w:val="both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2098" w:right="1474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2001305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DA2MTQ5ZTk5ZDRjNWMyNTM2MTQwNGM1MDBlZTUifQ=="/>
  </w:docVars>
  <w:rsids>
    <w:rsidRoot w:val="527D5481"/>
    <w:rsid w:val="00071EF3"/>
    <w:rsid w:val="002852AF"/>
    <w:rsid w:val="00375532"/>
    <w:rsid w:val="003D410B"/>
    <w:rsid w:val="00560158"/>
    <w:rsid w:val="005E5C3B"/>
    <w:rsid w:val="008D3778"/>
    <w:rsid w:val="00CA7363"/>
    <w:rsid w:val="00D471E3"/>
    <w:rsid w:val="00DA1D04"/>
    <w:rsid w:val="03343D40"/>
    <w:rsid w:val="07720FCA"/>
    <w:rsid w:val="0C725E98"/>
    <w:rsid w:val="0CDB667B"/>
    <w:rsid w:val="0E5334E7"/>
    <w:rsid w:val="105762E5"/>
    <w:rsid w:val="13B47625"/>
    <w:rsid w:val="18C349A1"/>
    <w:rsid w:val="1DF47EFC"/>
    <w:rsid w:val="200D6FE7"/>
    <w:rsid w:val="23111EA0"/>
    <w:rsid w:val="248B488C"/>
    <w:rsid w:val="25113F7C"/>
    <w:rsid w:val="2F211BCE"/>
    <w:rsid w:val="2F3548E7"/>
    <w:rsid w:val="31C63B43"/>
    <w:rsid w:val="32F64468"/>
    <w:rsid w:val="3872653E"/>
    <w:rsid w:val="3DF57EEE"/>
    <w:rsid w:val="3F160C14"/>
    <w:rsid w:val="405D0862"/>
    <w:rsid w:val="413C7D83"/>
    <w:rsid w:val="41491FEF"/>
    <w:rsid w:val="42480DF0"/>
    <w:rsid w:val="428B50FE"/>
    <w:rsid w:val="473168B5"/>
    <w:rsid w:val="49E369F7"/>
    <w:rsid w:val="4AF61616"/>
    <w:rsid w:val="527D5481"/>
    <w:rsid w:val="533047BC"/>
    <w:rsid w:val="53A86D27"/>
    <w:rsid w:val="56C47F42"/>
    <w:rsid w:val="5C0D177B"/>
    <w:rsid w:val="5DBC388C"/>
    <w:rsid w:val="62F110AA"/>
    <w:rsid w:val="67337688"/>
    <w:rsid w:val="674E5F8C"/>
    <w:rsid w:val="6A6E5AAD"/>
    <w:rsid w:val="6D0B5A92"/>
    <w:rsid w:val="70D05C6E"/>
    <w:rsid w:val="760853BF"/>
    <w:rsid w:val="7CB41DC4"/>
    <w:rsid w:val="7D213D5D"/>
    <w:rsid w:val="7FAE5E6F"/>
    <w:rsid w:val="7FE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semiHidden/>
    <w:qFormat/>
    <w:uiPriority w:val="0"/>
    <w:pPr>
      <w:spacing w:line="580" w:lineRule="exact"/>
      <w:ind w:firstLine="645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32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1552</Words>
  <Characters>1593</Characters>
  <Lines>10</Lines>
  <Paragraphs>3</Paragraphs>
  <TotalTime>5</TotalTime>
  <ScaleCrop>false</ScaleCrop>
  <LinksUpToDate>false</LinksUpToDate>
  <CharactersWithSpaces>1617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2023-04-01T14:36:00Z</dcterms:created>
  <dc:creator>Administrator</dc:creator>
  <cp:lastModifiedBy>T</cp:lastModifiedBy>
  <cp:lastPrinted>2023-05-10T11:21:00Z</cp:lastPrinted>
  <dcterms:modified xsi:type="dcterms:W3CDTF">2023-06-08T03:19:21Z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FFEC558C101C493DBA65CCE17BDCF8B5_12</vt:lpwstr>
  </property>
</Properties>
</file>