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u w:val="none"/>
          <w:lang w:val="en-US" w:eastAsia="zh-CN"/>
        </w:rPr>
        <w:t>《玉环市新兴产业园区“国企拿地，厂房招商，先租再购”工作实施意见》（送审稿）起草说明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一、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u w:val="none"/>
        </w:rPr>
        <w:t>制定文件的必要性和可行性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产业是经济之本、发展之基。聚焦“强产优城”，打造先进制造基地关键在于推动产业迭代升级。目前，我市诸多中小企业在历史发展过程中涌现出许多细分领域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或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产品的隐形冠军，面临未来发展大势，大多数企业都有转型升级的迫切需求。由于发展势头较好，许多中小企业在进一步发展过程中存在扩大投资再生产的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内在要求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但更多的企业，尤其是一些产值在亿元以下的规上制造业企业，在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现实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中遇到了“发展陷阱”。从近三年来的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外部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环境来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，一方面企业存在着订单萎缩、生产成本不断上涨的困难，投资动力不足；另一方面我市购地难的问题仍然十分突出，中小企业的投资需求得不到及时满足。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中小企业普遍存在“想投而不敢投”的现象。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当前，从我市土地市场来看，面积在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5-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20亩左右的小幅土地，市场供应少、土拍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贵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，大部分企业无法竞拍得到，即使成功的，因单价奇高造成企业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运营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成本大，不利于企业后续发展。现有的小微园区普遍为标准厂房，存在着供应不足、单价偏高、适用性不强、配套设施不全等诸多问题，难以有效解决企业需求困难。以上种种困难，让许多企业无法及时进行投资扩产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形成进退两难的局面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：不投资，错失发展机会、坐等市场淘汰；要投资，因未来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运营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成本过高、丧失竞争力、还是会被市场淘汰；因此，一些有投资扩产冲动的有体量又有质量的企业谋求外迁，寻找更大的发展空间，影响了我市未来工业的高质量发展和产业的转型升级。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企业用地难，用房贵的现状亟待我们重视和解决。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根据市政府统一战略部署，明确“国企拿地、厂房招商、先租再购”的工作思路：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由“1+N”国企作为产业园的建设经营主体，按照“四统一”标准建设标准厂房和定制厂房，出租给优质项目业主单位，切实解决规上中小企业扩大再生产和招引项目的土地需求难题，从而实现加速引领传统产业的转型升级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二、起草过程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yellow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2023年2月27日我局开始制定《新能源功能部件产业园入园方案》（初稿），并在局内部征求意见予以修改完善。4月21日由詹常委牵头召开讨论会并确定将题目修改为《玉环市新兴产业园区“国企拿地，厂房招商，先租再购”工作实施意见》并形成修改稿。4月23日由詹常委再次牵头召开讨论会，形成《玉环市新兴产业园区“国企拿地，厂房招商，先租再购”工作实施意见》（征求意见稿）。5月5日再次发函至各部门开展意见征求并修改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6月26日再次召开讨论会，市领导及各相关部门提出修改意见。10月13日詹常委召开政策方案研究讨论会，会后征求各部门意见。10月17日杜市长听取“国企拿地，厂房招商，先租再购”工作实施意见汇报并提出意见，修改后形成送审稿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三、主要内容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本实施意见主要由实施范围、开发模式、运营模式、准入条件、实施流程、优惠政策、退出机制和保障机制等八部分组成。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（一）实施范围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主要针对入驻国投、城建、交投、南部湾区和文旅等“1+N”国企建设运营产业园区的新兴产业项目。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（二）开发模式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FF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每年推出一定规模的工业用地，由“1+N”国企作为产业园的建设经营主体。经领导小组审批，确定具体的国企作为建设经营主体、拿地价格上限、拿地规模，按照统一规划设计、统一工程建设、统一功能配套、统一运营管理等“四统一”标准建设标准厂房和定制厂房，出租给优质项目业主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（三）运营模式</w:t>
      </w:r>
    </w:p>
    <w:p>
      <w:pPr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运营模式实行先租再购。国企拿地后，在3个月内完成厂房规划设计，凭平面规划图纸对外招租，经谈判遴选等程序后与遴选的优质项目业主单位签订意向租赁协议。企业租赁工业用地面积原则上需在10-20亩之间。入园企业严格履行租赁协议条件的，且因上市所需，可提出厂房购置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（四）准入条件、优惠政策和退出机制</w:t>
      </w:r>
    </w:p>
    <w:p>
      <w:pPr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设定了项目产业定位、经营情况、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投资强度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和企业优质性等七个准入条件，制定了五条优惠政策，明确了四个予以清退的情况。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（五）实施流程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eastAsia="zh-CN" w:bidi="ar"/>
        </w:rPr>
        <w:t>一是建立“国企拿地，厂房招商，先租再购”优质项目库。优质项目库由本地优质留驻项目库和招商引资优质项目库组成。根据《玉环市“产业争先”项目评价管理办法》相关要求进行评价，择优入库并进行动态增补更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eastAsia="zh-CN" w:bidi="ar"/>
        </w:rPr>
        <w:t>二是开展对接谈判。领导小组办公室牵头与列入优质项目库企业就厂房需求、承租年限、培育目标、租金要求、扶持措施、责任义务等方面进行谈判对接，形成书面意见报送领导小组，并形成意向租赁白名单企业（以下简称白名单企业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eastAsia="zh-CN" w:bidi="ar"/>
        </w:rPr>
        <w:t>三是面向白名单企业招租。国企根据平面规划图，以幢为单位开展招租，招租底价不超过市场评估价的90%。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eastAsia="zh-CN" w:bidi="ar"/>
        </w:rPr>
        <w:t>四是签订租赁协议。标准厂房项目由领导小组办公室终审后，企业与国企直接签订厂房租赁协议。定制厂房项目由领导小组成员单位联合终审后，经领导小组同意，企业与国企签订框架合作协议，并支付一定金额的保证金。在工程竣工验收后，国企与约定的目标企业，针对其定制的厂房签订租赁协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eastAsia="zh-CN" w:bidi="ar"/>
        </w:rPr>
        <w:t>五是购买程序。对于符合上述规定的“再购”企业，其转让方式可以有以下两种：1.通过公开拍卖的方式，拍卖目标厂房,起拍价根据评估报告而定；2.通过”一企一议”的方式由领导小组报至市政府审批后，采用协议转让方式，最终确定的转让价格不低于当时的评估价。涉及土地分割的，需按照相关规定和程序按幢进行分割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autoSpaceDE/>
        <w:autoSpaceDN/>
        <w:bidi w:val="0"/>
        <w:spacing w:line="56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（六）保障机制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成立玉环市新兴产业园区“国企拿地，厂房招商，先租再购”工作领导小组，成员单位由发改、经信、科技、司法、财政、自规、住建、应急、市监、环保、投促、金融、税务、国投、城建、交投、文旅、南部湾区等部门和市属企业共同组成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明确了各单位的工作职责，形成合力，共同推进工作顺利开展。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ZDNmMDM2YzNjNTA4NjYyOWFmOWM5NWUzOTBmNDkifQ=="/>
    <w:docVar w:name="KSO_WPS_MARK_KEY" w:val="f290f78c-6a65-44cb-a088-64cd3c9d9c9b"/>
  </w:docVars>
  <w:rsids>
    <w:rsidRoot w:val="00000000"/>
    <w:rsid w:val="00DA242E"/>
    <w:rsid w:val="015E1144"/>
    <w:rsid w:val="05FD7236"/>
    <w:rsid w:val="0635266C"/>
    <w:rsid w:val="06E63968"/>
    <w:rsid w:val="07D954F3"/>
    <w:rsid w:val="0BC1013B"/>
    <w:rsid w:val="0BF7064B"/>
    <w:rsid w:val="0C3147DF"/>
    <w:rsid w:val="0D2F378F"/>
    <w:rsid w:val="1164274C"/>
    <w:rsid w:val="12F65A86"/>
    <w:rsid w:val="134F2B61"/>
    <w:rsid w:val="13646867"/>
    <w:rsid w:val="13770674"/>
    <w:rsid w:val="1B096A16"/>
    <w:rsid w:val="1D684249"/>
    <w:rsid w:val="20984E66"/>
    <w:rsid w:val="2C2A4395"/>
    <w:rsid w:val="388A79BA"/>
    <w:rsid w:val="3A0001DD"/>
    <w:rsid w:val="3A29010D"/>
    <w:rsid w:val="3A6349F6"/>
    <w:rsid w:val="3C3115A8"/>
    <w:rsid w:val="3E7359E0"/>
    <w:rsid w:val="3F054B52"/>
    <w:rsid w:val="3F4A1C1A"/>
    <w:rsid w:val="44DA4B02"/>
    <w:rsid w:val="45AE0F70"/>
    <w:rsid w:val="495C3172"/>
    <w:rsid w:val="4D1A4FA9"/>
    <w:rsid w:val="543809A2"/>
    <w:rsid w:val="591B7A06"/>
    <w:rsid w:val="5A0F024D"/>
    <w:rsid w:val="5A2D4DD4"/>
    <w:rsid w:val="5DFB3782"/>
    <w:rsid w:val="60AF47F2"/>
    <w:rsid w:val="614272EF"/>
    <w:rsid w:val="628D45D8"/>
    <w:rsid w:val="6651729A"/>
    <w:rsid w:val="66AE223C"/>
    <w:rsid w:val="67402D70"/>
    <w:rsid w:val="69B33242"/>
    <w:rsid w:val="6AD76650"/>
    <w:rsid w:val="6BA81F99"/>
    <w:rsid w:val="6DD92A7E"/>
    <w:rsid w:val="6FEA003F"/>
    <w:rsid w:val="71947BC8"/>
    <w:rsid w:val="75315F2E"/>
    <w:rsid w:val="76FA1125"/>
    <w:rsid w:val="7CCE68D2"/>
    <w:rsid w:val="7DF312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4325</Words>
  <Characters>4419</Characters>
  <Lines>0</Lines>
  <Paragraphs>0</Paragraphs>
  <TotalTime>2</TotalTime>
  <ScaleCrop>false</ScaleCrop>
  <LinksUpToDate>false</LinksUpToDate>
  <CharactersWithSpaces>4420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2022-10-14T16:10:00Z</dcterms:created>
  <dc:creator>Administrator</dc:creator>
  <cp:lastModifiedBy>王晗晗</cp:lastModifiedBy>
  <cp:lastPrinted>2023-06-26T02:24:00Z</cp:lastPrinted>
  <dcterms:modified xsi:type="dcterms:W3CDTF">2024-07-29T01:30:43Z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3313CE5DB0E30B919045496358AA54EC</vt:lpwstr>
  </property>
</Properties>
</file>