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11"/>
          <w:sz w:val="44"/>
          <w:szCs w:val="44"/>
        </w:rPr>
        <w:t>《浙江省药品监督管理局关于印发〈浙江省药品</w:t>
      </w:r>
      <w:r>
        <w:rPr>
          <w:rFonts w:hint="eastAsia" w:ascii="方正小标宋简体" w:hAnsi="方正小标宋简体" w:eastAsia="方正小标宋简体" w:cs="方正小标宋简体"/>
          <w:bCs/>
          <w:sz w:val="44"/>
          <w:szCs w:val="44"/>
        </w:rPr>
        <w:t>批发企业行政许可</w:t>
      </w:r>
      <w:r>
        <w:rPr>
          <w:rFonts w:hint="eastAsia" w:ascii="方正小标宋简体" w:hAnsi="方正小标宋简体" w:eastAsia="方正小标宋简体" w:cs="方正小标宋简体"/>
          <w:bCs/>
          <w:sz w:val="44"/>
          <w:szCs w:val="44"/>
          <w:lang w:eastAsia="zh-CN"/>
        </w:rPr>
        <w:t>规定（试行）</w:t>
      </w:r>
      <w:r>
        <w:rPr>
          <w:rFonts w:hint="eastAsia" w:ascii="方正小标宋简体" w:hAnsi="方正小标宋简体" w:eastAsia="方正小标宋简体" w:cs="方正小标宋简体"/>
          <w:bCs/>
          <w:sz w:val="44"/>
          <w:szCs w:val="44"/>
        </w:rPr>
        <w:t>〉〈浙江省</w:t>
      </w:r>
    </w:p>
    <w:p>
      <w:pPr>
        <w:keepNext w:val="0"/>
        <w:keepLines w:val="0"/>
        <w:pageBreakBefore w:val="0"/>
        <w:widowControl/>
        <w:shd w:val="clear" w:color="auto" w:fill="FFFFFF"/>
        <w:kinsoku/>
        <w:wordWrap/>
        <w:overflowPunct/>
        <w:topLinePunct w:val="0"/>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药品零售连锁企业（总部）行政许可</w:t>
      </w:r>
      <w:r>
        <w:rPr>
          <w:rFonts w:hint="eastAsia" w:ascii="方正小标宋简体" w:hAnsi="方正小标宋简体" w:eastAsia="方正小标宋简体" w:cs="方正小标宋简体"/>
          <w:bCs/>
          <w:sz w:val="44"/>
          <w:szCs w:val="44"/>
          <w:lang w:eastAsia="zh-CN"/>
        </w:rPr>
        <w:t>规定</w:t>
      </w:r>
    </w:p>
    <w:p>
      <w:pPr>
        <w:keepNext w:val="0"/>
        <w:keepLines w:val="0"/>
        <w:pageBreakBefore w:val="0"/>
        <w:widowControl/>
        <w:shd w:val="clear" w:color="auto" w:fill="FFFFFF"/>
        <w:kinsoku/>
        <w:wordWrap/>
        <w:overflowPunct/>
        <w:topLinePunct w:val="0"/>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（试行）</w:t>
      </w:r>
      <w:r>
        <w:rPr>
          <w:rFonts w:hint="eastAsia" w:ascii="方正小标宋简体" w:hAnsi="方正小标宋简体" w:eastAsia="方正小标宋简体" w:cs="方正小标宋简体"/>
          <w:bCs/>
          <w:sz w:val="44"/>
          <w:szCs w:val="44"/>
        </w:rPr>
        <w:t>〉〈浙江省药品零售企业行政</w:t>
      </w:r>
    </w:p>
    <w:p>
      <w:pPr>
        <w:keepNext w:val="0"/>
        <w:keepLines w:val="0"/>
        <w:pageBreakBefore w:val="0"/>
        <w:widowControl/>
        <w:shd w:val="clear" w:color="auto" w:fill="FFFFFF"/>
        <w:kinsoku/>
        <w:wordWrap/>
        <w:overflowPunct/>
        <w:topLinePunct w:val="0"/>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许可</w:t>
      </w:r>
      <w:r>
        <w:rPr>
          <w:rFonts w:hint="eastAsia" w:ascii="方正小标宋简体" w:hAnsi="方正小标宋简体" w:eastAsia="方正小标宋简体" w:cs="方正小标宋简体"/>
          <w:bCs/>
          <w:sz w:val="44"/>
          <w:szCs w:val="44"/>
          <w:lang w:eastAsia="zh-CN"/>
        </w:rPr>
        <w:t>指导意见（试行）</w:t>
      </w:r>
      <w:r>
        <w:rPr>
          <w:rFonts w:hint="eastAsia" w:ascii="方正小标宋简体" w:hAnsi="方正小标宋简体" w:eastAsia="方正小标宋简体" w:cs="方正小标宋简体"/>
          <w:bCs/>
          <w:sz w:val="44"/>
          <w:szCs w:val="44"/>
        </w:rPr>
        <w:t>〉的通知</w:t>
      </w:r>
    </w:p>
    <w:p>
      <w:pPr>
        <w:keepNext w:val="0"/>
        <w:keepLines w:val="0"/>
        <w:pageBreakBefore w:val="0"/>
        <w:widowControl/>
        <w:shd w:val="clear" w:color="auto" w:fill="FFFFFF"/>
        <w:kinsoku/>
        <w:wordWrap/>
        <w:overflowPunct/>
        <w:topLinePunct w:val="0"/>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起草说明</w:t>
      </w:r>
    </w:p>
    <w:p>
      <w:pPr>
        <w:pStyle w:val="9"/>
        <w:keepNext w:val="0"/>
        <w:keepLines w:val="0"/>
        <w:pageBreakBefore w:val="0"/>
        <w:widowControl/>
        <w:kinsoku/>
        <w:wordWrap/>
        <w:overflowPunct/>
        <w:topLinePunct w:val="0"/>
        <w:autoSpaceDN/>
        <w:bidi w:val="0"/>
        <w:adjustRightInd/>
        <w:snapToGrid/>
        <w:spacing w:line="6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Cs/>
          <w:sz w:val="32"/>
          <w:szCs w:val="32"/>
          <w:shd w:val="clear" w:color="auto" w:fill="FFFFFF"/>
        </w:rPr>
        <w:t>一、起草</w:t>
      </w:r>
      <w:r>
        <w:rPr>
          <w:rFonts w:hint="eastAsia" w:ascii="黑体" w:hAnsi="黑体" w:eastAsia="黑体" w:cs="黑体"/>
          <w:sz w:val="32"/>
          <w:szCs w:val="32"/>
        </w:rPr>
        <w:t>背景</w:t>
      </w:r>
    </w:p>
    <w:p>
      <w:pPr>
        <w:keepNext w:val="0"/>
        <w:keepLines w:val="0"/>
        <w:pageBreakBefore w:val="0"/>
        <w:kinsoku/>
        <w:wordWrap/>
        <w:overflowPunct/>
        <w:topLinePunct w:val="0"/>
        <w:autoSpaceDN/>
        <w:bidi w:val="0"/>
        <w:adjustRightInd/>
        <w:snapToGrid/>
        <w:spacing w:line="660" w:lineRule="exact"/>
        <w:ind w:firstLine="643" w:firstLineChars="200"/>
        <w:textAlignment w:val="auto"/>
        <w:outlineLvl w:val="4"/>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rPr>
        <w:t>（一）</w:t>
      </w:r>
      <w:r>
        <w:rPr>
          <w:rFonts w:hint="default" w:ascii="Times New Roman" w:hAnsi="Times New Roman" w:eastAsia="楷体_GB2312" w:cs="Times New Roman"/>
          <w:b/>
          <w:bCs/>
          <w:color w:val="000000"/>
          <w:kern w:val="0"/>
          <w:sz w:val="32"/>
          <w:szCs w:val="32"/>
          <w:shd w:val="clear" w:color="auto" w:fill="FFFFFF"/>
          <w:lang w:val="en"/>
        </w:rPr>
        <w:t>《许可规定》</w:t>
      </w:r>
      <w:r>
        <w:rPr>
          <w:rFonts w:hint="default" w:ascii="Times New Roman" w:hAnsi="Times New Roman" w:eastAsia="楷体_GB2312" w:cs="Times New Roman"/>
          <w:b/>
          <w:bCs/>
          <w:color w:val="000000"/>
          <w:kern w:val="0"/>
          <w:sz w:val="32"/>
          <w:szCs w:val="32"/>
          <w:shd w:val="clear" w:color="auto" w:fill="FFFFFF"/>
        </w:rPr>
        <w:t>的制定是落实“四个最严”要求，防范化解药品流通领域重大风险的需要。</w:t>
      </w:r>
      <w:r>
        <w:rPr>
          <w:rFonts w:hint="default" w:ascii="Times New Roman" w:hAnsi="Times New Roman" w:eastAsia="仿宋_GB2312" w:cs="Times New Roman"/>
          <w:color w:val="000000"/>
          <w:kern w:val="0"/>
          <w:sz w:val="32"/>
          <w:szCs w:val="32"/>
          <w:shd w:val="clear" w:color="auto" w:fill="FFFFFF"/>
        </w:rPr>
        <w:t>2017年，原浙江省食品药品监督管理局发布了《关于进一步深化药品医疗器械“最多跑一次”改革的若干意见》（浙食药监规〔2017〕14号，以下简称《跑改文件》），明确自2017年11月17日起，取消药品经营企业的房屋层高、面积、货架、机车、传送带等限制，药品批发企业不再执行</w:t>
      </w:r>
      <w:r>
        <w:rPr>
          <w:rFonts w:hint="default" w:ascii="Times New Roman" w:hAnsi="Times New Roman" w:eastAsia="仿宋_GB2312" w:cs="Times New Roman"/>
          <w:color w:val="000000"/>
          <w:kern w:val="0"/>
          <w:sz w:val="32"/>
          <w:szCs w:val="32"/>
          <w:shd w:val="clear" w:color="auto" w:fill="FFFFFF"/>
          <w:lang w:eastAsia="zh-CN"/>
        </w:rPr>
        <w:t>此前的许可标准</w:t>
      </w:r>
      <w:r>
        <w:rPr>
          <w:rFonts w:hint="default" w:ascii="Times New Roman" w:hAnsi="Times New Roman" w:eastAsia="仿宋_GB2312" w:cs="Times New Roman"/>
          <w:color w:val="000000"/>
          <w:kern w:val="0"/>
          <w:sz w:val="32"/>
          <w:szCs w:val="32"/>
          <w:shd w:val="clear" w:color="auto" w:fill="FFFFFF"/>
        </w:rPr>
        <w:t>。</w:t>
      </w:r>
      <w:r>
        <w:rPr>
          <w:rFonts w:hint="default" w:ascii="Times New Roman" w:hAnsi="Times New Roman" w:eastAsia="仿宋_GB2312" w:cs="Times New Roman"/>
          <w:color w:val="000000"/>
          <w:kern w:val="0"/>
          <w:sz w:val="32"/>
          <w:szCs w:val="32"/>
          <w:shd w:val="clear" w:color="auto" w:fill="FFFFFF"/>
          <w:lang w:val="en-US" w:eastAsia="zh-CN"/>
        </w:rPr>
        <w:t>2021年</w:t>
      </w:r>
      <w:r>
        <w:rPr>
          <w:rFonts w:hint="default" w:ascii="Times New Roman" w:hAnsi="Times New Roman" w:eastAsia="仿宋_GB2312" w:cs="Times New Roman"/>
          <w:color w:val="000000"/>
          <w:kern w:val="0"/>
          <w:sz w:val="32"/>
          <w:szCs w:val="32"/>
          <w:shd w:val="clear" w:color="auto" w:fill="FFFFFF"/>
        </w:rPr>
        <w:t>3月，《浙江省药品监督管理局关于公布行政规范性文件清理结果的通知》（浙药监规〔2021〕1号）</w:t>
      </w:r>
      <w:r>
        <w:rPr>
          <w:rFonts w:hint="default" w:ascii="Times New Roman" w:hAnsi="Times New Roman" w:eastAsia="仿宋_GB2312" w:cs="Times New Roman"/>
          <w:color w:val="000000"/>
          <w:kern w:val="0"/>
          <w:sz w:val="32"/>
          <w:szCs w:val="32"/>
          <w:shd w:val="clear" w:color="auto" w:fill="FFFFFF"/>
          <w:lang w:eastAsia="zh-CN"/>
        </w:rPr>
        <w:t>公布</w:t>
      </w:r>
      <w:r>
        <w:rPr>
          <w:rFonts w:hint="default" w:ascii="Times New Roman" w:hAnsi="Times New Roman" w:eastAsia="仿宋_GB2312" w:cs="Times New Roman"/>
          <w:color w:val="000000"/>
          <w:kern w:val="0"/>
          <w:sz w:val="32"/>
          <w:szCs w:val="32"/>
          <w:shd w:val="clear" w:color="auto" w:fill="FFFFFF"/>
        </w:rPr>
        <w:t>，《跑改文件》废止。标准的缺失，催生药品安全风险。因此有必要从全省层面明确相关标准，把住药品经营企业的入门关，从根本上防范化解各类药品安全重大风险。</w:t>
      </w:r>
    </w:p>
    <w:p>
      <w:pPr>
        <w:keepNext w:val="0"/>
        <w:keepLines w:val="0"/>
        <w:pageBreakBefore w:val="0"/>
        <w:kinsoku/>
        <w:wordWrap/>
        <w:overflowPunct/>
        <w:topLinePunct w:val="0"/>
        <w:autoSpaceDN/>
        <w:bidi w:val="0"/>
        <w:adjustRightInd/>
        <w:snapToGrid/>
        <w:spacing w:line="660" w:lineRule="exact"/>
        <w:ind w:firstLine="643" w:firstLineChars="200"/>
        <w:textAlignment w:val="auto"/>
        <w:outlineLvl w:val="4"/>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rPr>
        <w:t>（二）</w:t>
      </w:r>
      <w:r>
        <w:rPr>
          <w:rFonts w:hint="default" w:ascii="Times New Roman" w:hAnsi="Times New Roman" w:eastAsia="楷体_GB2312" w:cs="Times New Roman"/>
          <w:b/>
          <w:bCs/>
          <w:color w:val="000000"/>
          <w:kern w:val="0"/>
          <w:sz w:val="32"/>
          <w:szCs w:val="32"/>
          <w:shd w:val="clear" w:color="auto" w:fill="FFFFFF"/>
          <w:lang w:val="en"/>
        </w:rPr>
        <w:t>《许可规定》</w:t>
      </w:r>
      <w:r>
        <w:rPr>
          <w:rFonts w:hint="default" w:ascii="Times New Roman" w:hAnsi="Times New Roman" w:eastAsia="楷体_GB2312" w:cs="Times New Roman"/>
          <w:b/>
          <w:bCs/>
          <w:color w:val="000000"/>
          <w:kern w:val="0"/>
          <w:sz w:val="32"/>
          <w:szCs w:val="32"/>
          <w:shd w:val="clear" w:color="auto" w:fill="FFFFFF"/>
        </w:rPr>
        <w:t>的制定是推进药品流通监管制度建设，落实法定监管职责的需要。</w:t>
      </w:r>
      <w:r>
        <w:rPr>
          <w:rFonts w:hint="default" w:ascii="Times New Roman" w:hAnsi="Times New Roman" w:eastAsia="仿宋_GB2312" w:cs="Times New Roman"/>
          <w:color w:val="000000"/>
          <w:kern w:val="0"/>
          <w:sz w:val="32"/>
          <w:szCs w:val="32"/>
          <w:shd w:val="clear" w:color="auto" w:fill="FFFFFF"/>
        </w:rPr>
        <w:t>《关于进一步明确开办药品批发企业验收有关标准的通知》（浙食药监规〔2011〕3号</w:t>
      </w:r>
      <w:r>
        <w:rPr>
          <w:rFonts w:hint="eastAsia" w:eastAsia="仿宋_GB2312" w:cs="Times New Roman"/>
          <w:color w:val="000000"/>
          <w:kern w:val="0"/>
          <w:sz w:val="32"/>
          <w:szCs w:val="32"/>
          <w:shd w:val="clear" w:color="auto" w:fill="FFFFFF"/>
          <w:lang w:eastAsia="zh-CN"/>
        </w:rPr>
        <w:t>，以下简称《</w:t>
      </w:r>
      <w:r>
        <w:rPr>
          <w:rFonts w:hint="eastAsia" w:eastAsia="仿宋_GB2312" w:cs="Times New Roman"/>
          <w:color w:val="000000"/>
          <w:kern w:val="0"/>
          <w:sz w:val="32"/>
          <w:szCs w:val="32"/>
          <w:shd w:val="clear" w:color="auto" w:fill="FFFFFF"/>
          <w:lang w:val="en-US" w:eastAsia="zh-CN"/>
        </w:rPr>
        <w:t>2011标准</w:t>
      </w:r>
      <w:r>
        <w:rPr>
          <w:rFonts w:hint="eastAsia"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自2011年7月颁布以来，对规范我省药品批发企业发展发挥了重要作用。但随着监管要求的不断提升、法定职责的不断调整、行业发展的不断变化，上述标准不适应性日益凸显；且我省尚未从省级层面制定相关文件明确零售连锁企业（总部）和药品零售企业的行政许可标准。因此，为进一步落实好法定监管职责，亟待制定和完善相关标准。</w:t>
      </w:r>
    </w:p>
    <w:p>
      <w:pPr>
        <w:keepNext w:val="0"/>
        <w:keepLines w:val="0"/>
        <w:pageBreakBefore w:val="0"/>
        <w:kinsoku/>
        <w:wordWrap/>
        <w:overflowPunct/>
        <w:topLinePunct w:val="0"/>
        <w:autoSpaceDN/>
        <w:bidi w:val="0"/>
        <w:adjustRightInd/>
        <w:snapToGrid/>
        <w:spacing w:line="660" w:lineRule="exact"/>
        <w:ind w:firstLine="643" w:firstLineChars="200"/>
        <w:textAlignment w:val="auto"/>
        <w:outlineLvl w:val="4"/>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rPr>
        <w:t>（三）</w:t>
      </w:r>
      <w:r>
        <w:rPr>
          <w:rFonts w:hint="default" w:ascii="Times New Roman" w:hAnsi="Times New Roman" w:eastAsia="楷体_GB2312" w:cs="Times New Roman"/>
          <w:b/>
          <w:bCs/>
          <w:color w:val="000000"/>
          <w:kern w:val="0"/>
          <w:sz w:val="32"/>
          <w:szCs w:val="32"/>
          <w:shd w:val="clear" w:color="auto" w:fill="FFFFFF"/>
          <w:lang w:val="en"/>
        </w:rPr>
        <w:t>《许可规定》</w:t>
      </w:r>
      <w:r>
        <w:rPr>
          <w:rFonts w:hint="default" w:ascii="Times New Roman" w:hAnsi="Times New Roman" w:eastAsia="楷体_GB2312" w:cs="Times New Roman"/>
          <w:b/>
          <w:bCs/>
          <w:color w:val="000000"/>
          <w:kern w:val="0"/>
          <w:sz w:val="32"/>
          <w:szCs w:val="32"/>
          <w:shd w:val="clear" w:color="auto" w:fill="FFFFFF"/>
        </w:rPr>
        <w:t>的制定是顺应我省医药经济形势，推动行业健康有序发展的需要。</w:t>
      </w:r>
      <w:r>
        <w:rPr>
          <w:rFonts w:hint="default" w:ascii="Times New Roman" w:hAnsi="Times New Roman" w:eastAsia="仿宋_GB2312" w:cs="Times New Roman"/>
          <w:color w:val="000000"/>
          <w:kern w:val="0"/>
          <w:sz w:val="32"/>
          <w:szCs w:val="32"/>
          <w:shd w:val="clear" w:color="auto" w:fill="FFFFFF"/>
        </w:rPr>
        <w:t>自《跑改文件》出台以来，全省新增药品批发企业211家，企业数量较此前增加60.3%，激发了市场主体活力，促进了我省药品流通行业的发展。但四年来，新开办的药品批发企业大多规模有限，药品质量安全管理水平参差不齐，加之集中招标采购、“两票制”等制度的出台，药品批发企业盈利空间被进一步压缩，行业内竞争进一步加剧，在群众用药需求没有显著增加</w:t>
      </w:r>
      <w:r>
        <w:rPr>
          <w:rFonts w:hint="default" w:ascii="Times New Roman" w:hAnsi="Times New Roman" w:eastAsia="仿宋_GB2312" w:cs="Times New Roman"/>
          <w:color w:val="000000"/>
          <w:kern w:val="0"/>
          <w:sz w:val="32"/>
          <w:szCs w:val="32"/>
          <w:shd w:val="clear" w:color="auto" w:fill="FFFFFF"/>
          <w:lang w:eastAsia="zh-CN"/>
        </w:rPr>
        <w:t>的</w:t>
      </w:r>
      <w:r>
        <w:rPr>
          <w:rFonts w:hint="default" w:ascii="Times New Roman" w:hAnsi="Times New Roman" w:eastAsia="仿宋_GB2312" w:cs="Times New Roman"/>
          <w:color w:val="000000"/>
          <w:kern w:val="0"/>
          <w:sz w:val="32"/>
          <w:szCs w:val="32"/>
          <w:shd w:val="clear" w:color="auto" w:fill="FFFFFF"/>
        </w:rPr>
        <w:t>情况下，企业数量的无序增长，不利于行业的健康有序发展。因此，不应单纯以企业数量来衡量产业发展形势，要通过明确我省药品批发企业、药品零售连锁企业（总部）和药品零售企业的行政许可标准，逐渐引导行业实现有序竞争、有序发展，促进我省药品流通行业的安全规范发展。</w:t>
      </w:r>
    </w:p>
    <w:p>
      <w:pPr>
        <w:pStyle w:val="9"/>
        <w:keepNext w:val="0"/>
        <w:keepLines w:val="0"/>
        <w:pageBreakBefore w:val="0"/>
        <w:widowControl/>
        <w:kinsoku/>
        <w:wordWrap/>
        <w:overflowPunct/>
        <w:topLinePunct w:val="0"/>
        <w:autoSpaceDN/>
        <w:bidi w:val="0"/>
        <w:adjustRightInd/>
        <w:snapToGrid/>
        <w:spacing w:line="660" w:lineRule="exact"/>
        <w:ind w:firstLine="640" w:firstLineChars="200"/>
        <w:jc w:val="both"/>
        <w:textAlignment w:val="auto"/>
        <w:rPr>
          <w:rFonts w:hint="default" w:ascii="黑体" w:hAnsi="黑体" w:eastAsia="黑体" w:cs="黑体"/>
          <w:bCs/>
          <w:sz w:val="32"/>
          <w:szCs w:val="32"/>
          <w:shd w:val="clear" w:color="auto" w:fill="FFFFFF"/>
        </w:rPr>
      </w:pPr>
      <w:r>
        <w:rPr>
          <w:rFonts w:hint="default" w:ascii="黑体" w:hAnsi="黑体" w:eastAsia="黑体" w:cs="黑体"/>
          <w:bCs/>
          <w:sz w:val="32"/>
          <w:szCs w:val="32"/>
          <w:shd w:val="clear" w:color="auto" w:fill="FFFFFF"/>
        </w:rPr>
        <w:t>二、编制依据</w:t>
      </w:r>
    </w:p>
    <w:p>
      <w:pPr>
        <w:pStyle w:val="9"/>
        <w:keepNext w:val="0"/>
        <w:keepLines w:val="0"/>
        <w:pageBreakBefore w:val="0"/>
        <w:widowControl/>
        <w:kinsoku/>
        <w:wordWrap/>
        <w:overflowPunct/>
        <w:topLinePunct w:val="0"/>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1.中华人民共和国药品管理法（主席令第</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号）；</w:t>
      </w:r>
    </w:p>
    <w:p>
      <w:pPr>
        <w:pStyle w:val="9"/>
        <w:keepNext w:val="0"/>
        <w:keepLines w:val="0"/>
        <w:pageBreakBefore w:val="0"/>
        <w:shd w:val="clear" w:color="auto" w:fill="FFFFFF"/>
        <w:kinsoku/>
        <w:wordWrap/>
        <w:overflowPunct/>
        <w:topLinePunct w:val="0"/>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2.中华人民共和国行政许可法（主席令第7号）；</w:t>
      </w:r>
    </w:p>
    <w:p>
      <w:pPr>
        <w:keepNext w:val="0"/>
        <w:keepLines w:val="0"/>
        <w:pageBreakBefore w:val="0"/>
        <w:widowControl/>
        <w:shd w:val="clear" w:color="auto" w:fill="FFFFFF"/>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sz w:val="32"/>
          <w:szCs w:val="32"/>
        </w:rPr>
        <w:t>中华人民共和国药品管理法实施条例（国务院令第360号）</w:t>
      </w:r>
    </w:p>
    <w:p>
      <w:pPr>
        <w:keepNext w:val="0"/>
        <w:keepLines w:val="0"/>
        <w:pageBreakBefore w:val="0"/>
        <w:widowControl/>
        <w:shd w:val="clear" w:color="auto" w:fill="FFFFFF"/>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药品经营许可证管理办法（原国家食品药品监督管理</w:t>
      </w:r>
      <w:r>
        <w:rPr>
          <w:rFonts w:hint="default" w:ascii="Times New Roman" w:hAnsi="Times New Roman" w:eastAsia="仿宋_GB2312" w:cs="Times New Roman"/>
          <w:kern w:val="0"/>
          <w:sz w:val="32"/>
          <w:szCs w:val="32"/>
          <w:lang w:eastAsia="zh-CN"/>
        </w:rPr>
        <w:t>总</w:t>
      </w:r>
      <w:r>
        <w:rPr>
          <w:rFonts w:hint="default" w:ascii="Times New Roman" w:hAnsi="Times New Roman" w:eastAsia="仿宋_GB2312" w:cs="Times New Roman"/>
          <w:kern w:val="0"/>
          <w:sz w:val="32"/>
          <w:szCs w:val="32"/>
        </w:rPr>
        <w:t>局令第10号）；</w:t>
      </w:r>
    </w:p>
    <w:p>
      <w:pPr>
        <w:pStyle w:val="9"/>
        <w:keepNext w:val="0"/>
        <w:keepLines w:val="0"/>
        <w:pageBreakBefore w:val="0"/>
        <w:shd w:val="clear" w:color="auto" w:fill="FFFFFF"/>
        <w:kinsoku/>
        <w:wordWrap/>
        <w:overflowPunct/>
        <w:topLinePunct w:val="0"/>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5.药品经营质量管理规范（原国家食品药品监督管理总局令第28号）;</w:t>
      </w:r>
    </w:p>
    <w:p>
      <w:pPr>
        <w:pStyle w:val="9"/>
        <w:keepNext w:val="0"/>
        <w:keepLines w:val="0"/>
        <w:pageBreakBefore w:val="0"/>
        <w:shd w:val="clear" w:color="auto" w:fill="FFFFFF"/>
        <w:kinsoku/>
        <w:wordWrap/>
        <w:overflowPunct/>
        <w:topLinePunct w:val="0"/>
        <w:autoSpaceDN/>
        <w:bidi w:val="0"/>
        <w:adjustRightInd/>
        <w:snapToGrid/>
        <w:spacing w:line="660" w:lineRule="exact"/>
        <w:ind w:firstLine="640" w:firstLineChars="200"/>
        <w:jc w:val="both"/>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仿宋_GB2312" w:cs="Times New Roman"/>
          <w:sz w:val="32"/>
          <w:szCs w:val="32"/>
        </w:rPr>
        <w:t>6.《国务院关于同意在浙江省暂时调整实施有关行政法规规定的批复》（国函〔2020〕140号）。</w:t>
      </w:r>
    </w:p>
    <w:p>
      <w:pPr>
        <w:pStyle w:val="9"/>
        <w:keepNext w:val="0"/>
        <w:keepLines w:val="0"/>
        <w:pageBreakBefore w:val="0"/>
        <w:widowControl/>
        <w:kinsoku/>
        <w:wordWrap/>
        <w:overflowPunct/>
        <w:topLinePunct w:val="0"/>
        <w:autoSpaceDN/>
        <w:bidi w:val="0"/>
        <w:adjustRightInd/>
        <w:snapToGrid/>
        <w:spacing w:line="660" w:lineRule="exact"/>
        <w:ind w:firstLine="640" w:firstLineChars="200"/>
        <w:jc w:val="both"/>
        <w:textAlignment w:val="auto"/>
        <w:rPr>
          <w:rFonts w:hint="default" w:ascii="黑体" w:hAnsi="黑体" w:eastAsia="黑体" w:cs="黑体"/>
          <w:bCs/>
          <w:sz w:val="32"/>
          <w:szCs w:val="32"/>
          <w:shd w:val="clear" w:color="auto" w:fill="FFFFFF"/>
        </w:rPr>
      </w:pPr>
      <w:r>
        <w:rPr>
          <w:rFonts w:hint="default" w:ascii="黑体" w:hAnsi="黑体" w:eastAsia="黑体" w:cs="黑体"/>
          <w:bCs/>
          <w:sz w:val="32"/>
          <w:szCs w:val="32"/>
          <w:shd w:val="clear" w:color="auto" w:fill="FFFFFF"/>
        </w:rPr>
        <w:t>三、起草过程</w:t>
      </w:r>
    </w:p>
    <w:p>
      <w:pPr>
        <w:keepNext w:val="0"/>
        <w:keepLines w:val="0"/>
        <w:pageBreakBefore w:val="0"/>
        <w:shd w:val="clear" w:color="auto" w:fill="FFFFFF"/>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2021年3月</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省局</w:t>
      </w:r>
      <w:r>
        <w:rPr>
          <w:rFonts w:hint="default" w:ascii="Times New Roman" w:hAnsi="Times New Roman" w:eastAsia="仿宋_GB2312" w:cs="Times New Roman"/>
          <w:color w:val="000000"/>
          <w:kern w:val="0"/>
          <w:sz w:val="32"/>
          <w:szCs w:val="32"/>
          <w:shd w:val="clear" w:color="auto" w:fill="FFFFFF"/>
        </w:rPr>
        <w:t>药品流通监管处</w:t>
      </w:r>
      <w:r>
        <w:rPr>
          <w:rFonts w:hint="default" w:ascii="Times New Roman" w:hAnsi="Times New Roman" w:eastAsia="仿宋_GB2312" w:cs="Times New Roman"/>
          <w:kern w:val="0"/>
          <w:sz w:val="32"/>
          <w:szCs w:val="32"/>
        </w:rPr>
        <w:t>立项起草</w:t>
      </w:r>
      <w:r>
        <w:rPr>
          <w:rFonts w:hint="default" w:ascii="Times New Roman" w:hAnsi="Times New Roman" w:eastAsia="仿宋_GB2312" w:cs="Times New Roman"/>
          <w:color w:val="000000"/>
          <w:kern w:val="0"/>
          <w:sz w:val="32"/>
          <w:szCs w:val="32"/>
          <w:shd w:val="clear" w:color="auto" w:fill="FFFFFF"/>
          <w:lang w:val="en"/>
        </w:rPr>
        <w:t>《许可规定》</w:t>
      </w:r>
      <w:r>
        <w:rPr>
          <w:rFonts w:hint="default" w:ascii="Times New Roman" w:hAnsi="Times New Roman" w:eastAsia="仿宋_GB2312" w:cs="Times New Roman"/>
          <w:kern w:val="0"/>
          <w:sz w:val="32"/>
          <w:szCs w:val="32"/>
        </w:rPr>
        <w:t>，并列入省局2021年度行政规范性文件制定计划。</w:t>
      </w:r>
    </w:p>
    <w:p>
      <w:pPr>
        <w:keepNext w:val="0"/>
        <w:keepLines w:val="0"/>
        <w:pageBreakBefore w:val="0"/>
        <w:widowControl/>
        <w:shd w:val="clear" w:color="auto" w:fill="FFFFFF"/>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shd w:val="clear" w:color="auto" w:fill="FFFFFF"/>
        </w:rPr>
        <w:t>2021年3月至8月，</w:t>
      </w:r>
      <w:r>
        <w:rPr>
          <w:rFonts w:hint="default" w:ascii="Times New Roman" w:hAnsi="Times New Roman" w:eastAsia="仿宋_GB2312" w:cs="Times New Roman"/>
          <w:kern w:val="0"/>
          <w:sz w:val="32"/>
          <w:szCs w:val="32"/>
        </w:rPr>
        <w:t>省局</w:t>
      </w:r>
      <w:r>
        <w:rPr>
          <w:rFonts w:hint="default" w:ascii="Times New Roman" w:hAnsi="Times New Roman" w:eastAsia="仿宋_GB2312" w:cs="Times New Roman"/>
          <w:color w:val="000000"/>
          <w:kern w:val="0"/>
          <w:sz w:val="32"/>
          <w:szCs w:val="32"/>
          <w:shd w:val="clear" w:color="auto" w:fill="FFFFFF"/>
        </w:rPr>
        <w:t>药品流通监管处组织部分设区市市场监管局，部分药品批发、零售企业和第三方物流企业多次召开由专题研讨会，研讨药品经营企业许可标准政策方向和主要许可条件。2</w:t>
      </w:r>
      <w:r>
        <w:rPr>
          <w:rFonts w:hint="default" w:ascii="Times New Roman" w:hAnsi="Times New Roman" w:eastAsia="仿宋_GB2312" w:cs="Times New Roman"/>
          <w:kern w:val="0"/>
          <w:sz w:val="32"/>
          <w:szCs w:val="32"/>
        </w:rPr>
        <w:t>021年8月，形成</w:t>
      </w:r>
      <w:r>
        <w:rPr>
          <w:rFonts w:hint="default" w:ascii="Times New Roman" w:hAnsi="Times New Roman" w:eastAsia="仿宋_GB2312" w:cs="Times New Roman"/>
          <w:color w:val="000000"/>
          <w:kern w:val="0"/>
          <w:sz w:val="32"/>
          <w:szCs w:val="32"/>
          <w:shd w:val="clear" w:color="auto" w:fill="FFFFFF"/>
          <w:lang w:val="en"/>
        </w:rPr>
        <w:t>《许可规定》</w:t>
      </w:r>
      <w:r>
        <w:rPr>
          <w:rFonts w:hint="default" w:ascii="Times New Roman" w:hAnsi="Times New Roman" w:eastAsia="仿宋_GB2312" w:cs="Times New Roman"/>
          <w:color w:val="000000"/>
          <w:sz w:val="32"/>
          <w:szCs w:val="32"/>
          <w:shd w:val="clear" w:color="auto" w:fill="FFFFFF"/>
        </w:rPr>
        <w:t>（第一次</w:t>
      </w:r>
      <w:r>
        <w:rPr>
          <w:rFonts w:hint="default" w:ascii="Times New Roman" w:hAnsi="Times New Roman" w:eastAsia="仿宋_GB2312" w:cs="Times New Roman"/>
          <w:kern w:val="0"/>
          <w:sz w:val="32"/>
          <w:szCs w:val="32"/>
        </w:rPr>
        <w:t>征求意见稿）。</w:t>
      </w:r>
    </w:p>
    <w:p>
      <w:pPr>
        <w:keepNext w:val="0"/>
        <w:keepLines w:val="0"/>
        <w:pageBreakBefore w:val="0"/>
        <w:widowControl/>
        <w:shd w:val="clear" w:color="auto" w:fill="FFFFFF"/>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2021年8月31日至9月15日，书面征求了11个设区市市场监督管理局的意见建议，合并相同或相似的意见后，共收到修改意见22条，梳理逐条意见建议，并与意见建议单位进行沟通，采纳12条，2021年9月17日，形成</w:t>
      </w:r>
      <w:r>
        <w:rPr>
          <w:rFonts w:hint="default" w:ascii="Times New Roman" w:hAnsi="Times New Roman" w:eastAsia="仿宋_GB2312" w:cs="Times New Roman"/>
          <w:color w:val="000000"/>
          <w:kern w:val="0"/>
          <w:sz w:val="32"/>
          <w:szCs w:val="32"/>
          <w:shd w:val="clear" w:color="auto" w:fill="FFFFFF"/>
          <w:lang w:val="en"/>
        </w:rPr>
        <w:t>《许可规定》</w:t>
      </w:r>
      <w:r>
        <w:rPr>
          <w:rFonts w:hint="default" w:ascii="Times New Roman" w:hAnsi="Times New Roman" w:eastAsia="仿宋_GB2312" w:cs="Times New Roman"/>
          <w:color w:val="000000"/>
          <w:sz w:val="32"/>
          <w:szCs w:val="32"/>
          <w:shd w:val="clear" w:color="auto" w:fill="FFFFFF"/>
        </w:rPr>
        <w:t>（第二次</w:t>
      </w:r>
      <w:r>
        <w:rPr>
          <w:rFonts w:hint="default" w:ascii="Times New Roman" w:hAnsi="Times New Roman" w:eastAsia="仿宋_GB2312" w:cs="Times New Roman"/>
          <w:kern w:val="0"/>
          <w:sz w:val="32"/>
          <w:szCs w:val="32"/>
        </w:rPr>
        <w:t>征求意见稿）；9月17</w:t>
      </w:r>
      <w:r>
        <w:rPr>
          <w:rFonts w:hint="eastAsia" w:eastAsia="仿宋_GB2312" w:cs="Times New Roman"/>
          <w:kern w:val="0"/>
          <w:sz w:val="32"/>
          <w:szCs w:val="32"/>
          <w:lang w:eastAsia="zh-CN"/>
        </w:rPr>
        <w:t>日</w:t>
      </w:r>
      <w:r>
        <w:rPr>
          <w:rFonts w:hint="default" w:ascii="Times New Roman" w:hAnsi="Times New Roman" w:eastAsia="仿宋_GB2312" w:cs="Times New Roman"/>
          <w:kern w:val="0"/>
          <w:sz w:val="32"/>
          <w:szCs w:val="32"/>
        </w:rPr>
        <w:t>至18日，省局分管领导组织11个设区市、部分县（市、区）市场监督管理局召开专题会议，研究讨论</w:t>
      </w:r>
      <w:r>
        <w:rPr>
          <w:rFonts w:hint="default" w:ascii="Times New Roman" w:hAnsi="Times New Roman" w:eastAsia="仿宋_GB2312" w:cs="Times New Roman"/>
          <w:color w:val="000000"/>
          <w:kern w:val="0"/>
          <w:sz w:val="32"/>
          <w:szCs w:val="32"/>
          <w:shd w:val="clear" w:color="auto" w:fill="FFFFFF"/>
          <w:lang w:val="en"/>
        </w:rPr>
        <w:t>《许可规定》</w:t>
      </w:r>
      <w:r>
        <w:rPr>
          <w:rFonts w:hint="default" w:ascii="Times New Roman" w:hAnsi="Times New Roman" w:eastAsia="仿宋_GB2312" w:cs="Times New Roman"/>
          <w:color w:val="000000"/>
          <w:kern w:val="0"/>
          <w:sz w:val="32"/>
          <w:szCs w:val="32"/>
          <w:shd w:val="clear" w:color="auto" w:fill="FFFFFF"/>
        </w:rPr>
        <w:t>；10月13日，组织部分药品批发企业、药品零售企业和第三方物流企业召开座谈会，</w:t>
      </w:r>
      <w:r>
        <w:rPr>
          <w:rFonts w:hint="default" w:ascii="Times New Roman" w:hAnsi="Times New Roman" w:eastAsia="仿宋_GB2312" w:cs="Times New Roman"/>
          <w:kern w:val="0"/>
          <w:sz w:val="32"/>
          <w:szCs w:val="32"/>
        </w:rPr>
        <w:t>合并相同或相似的意见后，收到修改意见17条，采纳5条。</w:t>
      </w:r>
    </w:p>
    <w:p>
      <w:pPr>
        <w:keepNext w:val="0"/>
        <w:keepLines w:val="0"/>
        <w:pageBreakBefore w:val="0"/>
        <w:widowControl/>
        <w:shd w:val="clear" w:color="auto" w:fill="FFFFFF"/>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kern w:val="0"/>
          <w:sz w:val="32"/>
          <w:szCs w:val="32"/>
        </w:rPr>
        <w:t>2021年10月18日至11月28日，通过省局政务网站向社会公开征求意见建议。</w:t>
      </w:r>
    </w:p>
    <w:p>
      <w:pPr>
        <w:pStyle w:val="9"/>
        <w:keepNext w:val="0"/>
        <w:keepLines w:val="0"/>
        <w:pageBreakBefore w:val="0"/>
        <w:widowControl/>
        <w:kinsoku/>
        <w:wordWrap/>
        <w:overflowPunct/>
        <w:topLinePunct w:val="0"/>
        <w:autoSpaceDN/>
        <w:bidi w:val="0"/>
        <w:adjustRightInd/>
        <w:snapToGrid/>
        <w:spacing w:line="660" w:lineRule="exact"/>
        <w:ind w:firstLine="640" w:firstLineChars="200"/>
        <w:jc w:val="both"/>
        <w:textAlignment w:val="auto"/>
        <w:rPr>
          <w:rFonts w:hint="default" w:ascii="黑体" w:hAnsi="黑体" w:eastAsia="黑体" w:cs="黑体"/>
          <w:bCs/>
          <w:sz w:val="32"/>
          <w:szCs w:val="32"/>
          <w:shd w:val="clear" w:color="auto" w:fill="FFFFFF"/>
        </w:rPr>
      </w:pPr>
      <w:r>
        <w:rPr>
          <w:rFonts w:hint="default" w:ascii="黑体" w:hAnsi="黑体" w:eastAsia="黑体" w:cs="黑体"/>
          <w:bCs/>
          <w:sz w:val="32"/>
          <w:szCs w:val="32"/>
          <w:shd w:val="clear" w:color="auto" w:fill="FFFFFF"/>
        </w:rPr>
        <w:t>四、主要内容</w:t>
      </w:r>
    </w:p>
    <w:p>
      <w:pPr>
        <w:keepNext w:val="0"/>
        <w:keepLines w:val="0"/>
        <w:pageBreakBefore w:val="0"/>
        <w:widowControl/>
        <w:shd w:val="clear" w:color="auto" w:fill="FFFFFF"/>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color w:val="auto"/>
          <w:sz w:val="32"/>
          <w:szCs w:val="32"/>
          <w:shd w:val="clear" w:color="auto" w:fill="FFFFFF"/>
          <w:lang w:val="en"/>
        </w:rPr>
        <w:t>《许可规定》</w:t>
      </w:r>
      <w:r>
        <w:rPr>
          <w:rFonts w:hint="default" w:ascii="Times New Roman" w:hAnsi="Times New Roman" w:eastAsia="仿宋_GB2312" w:cs="Times New Roman"/>
          <w:color w:val="auto"/>
          <w:sz w:val="32"/>
          <w:szCs w:val="32"/>
          <w:shd w:val="clear" w:color="auto" w:fill="FFFFFF"/>
        </w:rPr>
        <w:t>包括《浙江省药品批发企业行政许可</w:t>
      </w:r>
      <w:r>
        <w:rPr>
          <w:rFonts w:hint="default" w:ascii="Times New Roman" w:hAnsi="Times New Roman" w:eastAsia="仿宋_GB2312" w:cs="Times New Roman"/>
          <w:color w:val="auto"/>
          <w:sz w:val="32"/>
          <w:szCs w:val="32"/>
          <w:shd w:val="clear" w:color="auto" w:fill="FFFFFF"/>
          <w:lang w:eastAsia="zh-CN"/>
        </w:rPr>
        <w:t>规定（试行）</w:t>
      </w:r>
      <w:r>
        <w:rPr>
          <w:rFonts w:hint="default" w:ascii="Times New Roman" w:hAnsi="Times New Roman" w:eastAsia="仿宋_GB2312" w:cs="Times New Roman"/>
          <w:color w:val="auto"/>
          <w:sz w:val="32"/>
          <w:szCs w:val="32"/>
          <w:shd w:val="clear" w:color="auto" w:fill="FFFFFF"/>
        </w:rPr>
        <w:t>》《浙江省药品零售连锁企业（总部）行政许可</w:t>
      </w:r>
      <w:r>
        <w:rPr>
          <w:rFonts w:hint="default" w:ascii="Times New Roman" w:hAnsi="Times New Roman" w:eastAsia="仿宋_GB2312" w:cs="Times New Roman"/>
          <w:color w:val="auto"/>
          <w:sz w:val="32"/>
          <w:szCs w:val="32"/>
          <w:shd w:val="clear" w:color="auto" w:fill="FFFFFF"/>
          <w:lang w:eastAsia="zh-CN"/>
        </w:rPr>
        <w:t>规定（试行）</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kern w:val="0"/>
          <w:sz w:val="32"/>
          <w:szCs w:val="32"/>
          <w:shd w:val="clear" w:color="auto" w:fill="FFFFFF"/>
        </w:rPr>
        <w:t>浙江省药品零售企业行政许可指导意见（试行）</w:t>
      </w:r>
      <w:r>
        <w:rPr>
          <w:rFonts w:hint="default" w:ascii="Times New Roman" w:hAnsi="Times New Roman" w:eastAsia="仿宋_GB2312" w:cs="Times New Roman"/>
          <w:color w:val="auto"/>
          <w:sz w:val="32"/>
          <w:szCs w:val="32"/>
          <w:shd w:val="clear" w:color="auto" w:fill="FFFFFF"/>
        </w:rPr>
        <w:t>》，分别包含总则、机构与人员、设施与设备和附则4章。其中，《浙江省药品批发企业行政许可</w:t>
      </w:r>
      <w:r>
        <w:rPr>
          <w:rFonts w:hint="default" w:ascii="Times New Roman" w:hAnsi="Times New Roman" w:eastAsia="仿宋_GB2312" w:cs="Times New Roman"/>
          <w:color w:val="auto"/>
          <w:sz w:val="32"/>
          <w:szCs w:val="32"/>
          <w:shd w:val="clear" w:color="auto" w:fill="FFFFFF"/>
          <w:lang w:eastAsia="zh-CN"/>
        </w:rPr>
        <w:t>规定（试行）</w:t>
      </w:r>
      <w:r>
        <w:rPr>
          <w:rFonts w:hint="default" w:ascii="Times New Roman" w:hAnsi="Times New Roman" w:eastAsia="仿宋_GB2312" w:cs="Times New Roman"/>
          <w:color w:val="auto"/>
          <w:sz w:val="32"/>
          <w:szCs w:val="32"/>
          <w:shd w:val="clear" w:color="auto" w:fill="FFFFFF"/>
        </w:rPr>
        <w:t>》共20条，《浙江省药品零售连锁企业（总部）行政许可</w:t>
      </w:r>
      <w:r>
        <w:rPr>
          <w:rFonts w:hint="default" w:ascii="Times New Roman" w:hAnsi="Times New Roman" w:eastAsia="仿宋_GB2312" w:cs="Times New Roman"/>
          <w:color w:val="auto"/>
          <w:sz w:val="32"/>
          <w:szCs w:val="32"/>
          <w:shd w:val="clear" w:color="auto" w:fill="FFFFFF"/>
          <w:lang w:eastAsia="zh-CN"/>
        </w:rPr>
        <w:t>规定（试行）</w:t>
      </w:r>
      <w:r>
        <w:rPr>
          <w:rFonts w:hint="default" w:ascii="Times New Roman" w:hAnsi="Times New Roman" w:eastAsia="仿宋_GB2312" w:cs="Times New Roman"/>
          <w:color w:val="auto"/>
          <w:sz w:val="32"/>
          <w:szCs w:val="32"/>
          <w:shd w:val="clear" w:color="auto" w:fill="FFFFFF"/>
        </w:rPr>
        <w:t>》共12条，《</w:t>
      </w:r>
      <w:r>
        <w:rPr>
          <w:rFonts w:hint="default" w:ascii="Times New Roman" w:hAnsi="Times New Roman" w:eastAsia="仿宋_GB2312" w:cs="Times New Roman"/>
          <w:color w:val="auto"/>
          <w:kern w:val="0"/>
          <w:sz w:val="32"/>
          <w:szCs w:val="32"/>
          <w:shd w:val="clear" w:color="auto" w:fill="FFFFFF"/>
        </w:rPr>
        <w:t>浙江省药品零售企业行政许可指导意见（试行）</w:t>
      </w:r>
      <w:r>
        <w:rPr>
          <w:rFonts w:hint="default" w:ascii="Times New Roman" w:hAnsi="Times New Roman" w:eastAsia="仿宋_GB2312" w:cs="Times New Roman"/>
          <w:color w:val="auto"/>
          <w:sz w:val="32"/>
          <w:szCs w:val="32"/>
          <w:shd w:val="clear" w:color="auto" w:fill="FFFFFF"/>
        </w:rPr>
        <w:t>》共14条。</w:t>
      </w:r>
    </w:p>
    <w:p>
      <w:pPr>
        <w:keepNext w:val="0"/>
        <w:keepLines w:val="0"/>
        <w:pageBreakBefore w:val="0"/>
        <w:kinsoku/>
        <w:wordWrap/>
        <w:overflowPunct/>
        <w:topLinePunct w:val="0"/>
        <w:autoSpaceDN/>
        <w:bidi w:val="0"/>
        <w:adjustRightInd/>
        <w:snapToGrid/>
        <w:spacing w:line="660" w:lineRule="exact"/>
        <w:ind w:firstLine="643"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rPr>
        <w:t>（一）明确了制定依据和基本要求。</w:t>
      </w:r>
      <w:r>
        <w:rPr>
          <w:rFonts w:hint="default" w:ascii="Times New Roman" w:hAnsi="Times New Roman" w:eastAsia="仿宋_GB2312" w:cs="Times New Roman"/>
          <w:color w:val="auto"/>
          <w:sz w:val="32"/>
          <w:szCs w:val="32"/>
          <w:shd w:val="clear" w:color="auto" w:fill="FFFFFF"/>
        </w:rPr>
        <w:t>目前，国家层面有《中华人民共和国药品管理法》《</w:t>
      </w:r>
      <w:r>
        <w:rPr>
          <w:rFonts w:hint="default" w:ascii="Times New Roman" w:hAnsi="Times New Roman" w:eastAsia="仿宋_GB2312" w:cs="Times New Roman"/>
          <w:color w:val="auto"/>
          <w:sz w:val="32"/>
          <w:szCs w:val="32"/>
        </w:rPr>
        <w:t>中华人民共和国行政许可法</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中华人民共和国药品管理法实施条例</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kern w:val="0"/>
          <w:sz w:val="32"/>
          <w:szCs w:val="32"/>
        </w:rPr>
        <w:t>药品经营许可证管理办法</w:t>
      </w:r>
      <w:r>
        <w:rPr>
          <w:rFonts w:hint="default" w:ascii="Times New Roman" w:hAnsi="Times New Roman" w:eastAsia="仿宋_GB2312" w:cs="Times New Roman"/>
          <w:color w:val="auto"/>
          <w:sz w:val="32"/>
          <w:szCs w:val="32"/>
          <w:shd w:val="clear" w:color="auto" w:fill="FFFFFF"/>
        </w:rPr>
        <w:t>》《药品流通监督管理办法》《</w:t>
      </w:r>
      <w:r>
        <w:rPr>
          <w:rFonts w:hint="default" w:ascii="Times New Roman" w:hAnsi="Times New Roman" w:eastAsia="仿宋_GB2312" w:cs="Times New Roman"/>
          <w:color w:val="auto"/>
          <w:sz w:val="32"/>
          <w:szCs w:val="32"/>
        </w:rPr>
        <w:t>药品经营质</w:t>
      </w:r>
      <w:r>
        <w:rPr>
          <w:rFonts w:hint="default" w:ascii="Times New Roman" w:hAnsi="Times New Roman" w:eastAsia="仿宋_GB2312" w:cs="Times New Roman"/>
          <w:sz w:val="32"/>
          <w:szCs w:val="32"/>
        </w:rPr>
        <w:t>量管理规范</w:t>
      </w:r>
      <w:r>
        <w:rPr>
          <w:rFonts w:hint="default" w:ascii="Times New Roman" w:hAnsi="Times New Roman" w:eastAsia="仿宋_GB2312" w:cs="Times New Roman"/>
          <w:color w:val="000000"/>
          <w:sz w:val="32"/>
          <w:szCs w:val="32"/>
          <w:shd w:val="clear" w:color="auto" w:fill="FFFFFF"/>
        </w:rPr>
        <w:t>》等法律、行政法规，</w:t>
      </w:r>
      <w:r>
        <w:rPr>
          <w:rFonts w:hint="default" w:ascii="Times New Roman" w:hAnsi="Times New Roman" w:eastAsia="仿宋_GB2312" w:cs="Times New Roman"/>
          <w:color w:val="000000"/>
          <w:sz w:val="32"/>
          <w:szCs w:val="32"/>
          <w:shd w:val="clear" w:color="auto" w:fill="FFFFFF"/>
          <w:lang w:val="en"/>
        </w:rPr>
        <w:t>《许可规定》</w:t>
      </w:r>
      <w:r>
        <w:rPr>
          <w:rFonts w:hint="default" w:ascii="Times New Roman" w:hAnsi="Times New Roman" w:eastAsia="仿宋_GB2312" w:cs="Times New Roman"/>
          <w:color w:val="000000"/>
          <w:sz w:val="32"/>
          <w:szCs w:val="32"/>
          <w:shd w:val="clear" w:color="auto" w:fill="FFFFFF"/>
        </w:rPr>
        <w:t>的制定主要着眼于细化完善上位法的规定，结合我省实际，对我省药品经营企业行政许可具体标准作一明确。</w:t>
      </w:r>
      <w:r>
        <w:rPr>
          <w:rFonts w:hint="default" w:ascii="Times New Roman" w:hAnsi="Times New Roman" w:eastAsia="仿宋_GB2312" w:cs="Times New Roman"/>
          <w:color w:val="000000"/>
          <w:sz w:val="32"/>
          <w:szCs w:val="32"/>
          <w:shd w:val="clear" w:color="auto" w:fill="FFFFFF"/>
          <w:lang w:val="en"/>
        </w:rPr>
        <w:t>《许可规定》</w:t>
      </w:r>
      <w:r>
        <w:rPr>
          <w:rFonts w:hint="default" w:ascii="Times New Roman" w:hAnsi="Times New Roman" w:eastAsia="仿宋_GB2312" w:cs="Times New Roman"/>
          <w:color w:val="000000"/>
          <w:sz w:val="32"/>
          <w:szCs w:val="32"/>
          <w:shd w:val="clear" w:color="auto" w:fill="FFFFFF"/>
        </w:rPr>
        <w:t>明确，《药品经营质量管理规范》是开办药品批发企业基本要求，与《药品经营质量管理规范》中重复的要求不再具体表述，仅对在机构与人员、设施与设备等方面，且上位法尚未明确规定的内容进行了规定。</w:t>
      </w:r>
    </w:p>
    <w:p>
      <w:pPr>
        <w:keepNext w:val="0"/>
        <w:keepLines w:val="0"/>
        <w:pageBreakBefore w:val="0"/>
        <w:kinsoku/>
        <w:wordWrap/>
        <w:overflowPunct/>
        <w:topLinePunct w:val="0"/>
        <w:autoSpaceDN/>
        <w:bidi w:val="0"/>
        <w:adjustRightInd/>
        <w:snapToGrid/>
        <w:spacing w:line="660" w:lineRule="exact"/>
        <w:ind w:firstLine="643"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rPr>
        <w:t>（二）明确各类药品经营企业机构与人员的要求。</w:t>
      </w:r>
      <w:r>
        <w:rPr>
          <w:rFonts w:hint="default" w:ascii="Times New Roman" w:hAnsi="Times New Roman" w:eastAsia="仿宋_GB2312" w:cs="Times New Roman"/>
          <w:color w:val="000000" w:themeColor="text1"/>
          <w:sz w:val="32"/>
          <w:szCs w:val="32"/>
          <w14:textFill>
            <w14:solidFill>
              <w14:schemeClr w14:val="tx1"/>
            </w14:solidFill>
          </w14:textFill>
        </w:rPr>
        <w:t>除必须符合</w:t>
      </w:r>
      <w:r>
        <w:rPr>
          <w:rFonts w:hint="default" w:ascii="Times New Roman" w:hAnsi="Times New Roman" w:eastAsia="仿宋_GB2312" w:cs="Times New Roman"/>
          <w:color w:val="000000"/>
          <w:sz w:val="32"/>
          <w:szCs w:val="32"/>
          <w:shd w:val="clear" w:color="auto" w:fill="FFFFFF"/>
        </w:rPr>
        <w:t>《药品经营质量管理规范》外，针对各类药品经营企业质量管理机构、质量负责人、执业药师，以及从事验收、采购、计算机等工作人员要求作了逐一明确。针对经营中药饮片、冷藏冷冻药品、体外诊断试剂等药品品种企业在机构与人员方面的特殊要求也进行了明确。</w:t>
      </w:r>
    </w:p>
    <w:p>
      <w:pPr>
        <w:keepNext w:val="0"/>
        <w:keepLines w:val="0"/>
        <w:pageBreakBefore w:val="0"/>
        <w:kinsoku/>
        <w:wordWrap/>
        <w:overflowPunct/>
        <w:topLinePunct w:val="0"/>
        <w:autoSpaceDN/>
        <w:bidi w:val="0"/>
        <w:adjustRightInd/>
        <w:snapToGrid/>
        <w:spacing w:line="6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kern w:val="0"/>
          <w:sz w:val="32"/>
          <w:szCs w:val="32"/>
          <w:shd w:val="clear" w:color="auto" w:fill="FFFFFF"/>
        </w:rPr>
        <w:t>（三）明确各类药品经营企业设施与设备的要求。</w:t>
      </w:r>
      <w:r>
        <w:rPr>
          <w:rFonts w:hint="default" w:ascii="Times New Roman" w:hAnsi="Times New Roman" w:eastAsia="仿宋_GB2312" w:cs="Times New Roman"/>
          <w:color w:val="000000" w:themeColor="text1"/>
          <w:sz w:val="32"/>
          <w:szCs w:val="32"/>
          <w14:textFill>
            <w14:solidFill>
              <w14:schemeClr w14:val="tx1"/>
            </w14:solidFill>
          </w14:textFill>
        </w:rPr>
        <w:t>除必须符合</w:t>
      </w:r>
      <w:r>
        <w:rPr>
          <w:rFonts w:hint="default" w:ascii="Times New Roman" w:hAnsi="Times New Roman" w:eastAsia="仿宋_GB2312" w:cs="Times New Roman"/>
          <w:color w:val="000000"/>
          <w:sz w:val="32"/>
          <w:szCs w:val="32"/>
          <w:shd w:val="clear" w:color="auto" w:fill="FFFFFF"/>
        </w:rPr>
        <w:t>《药品经营质量管理规范》外，针对各类药品经营企业用房用地性质、经营（储存）场所面积等要求作了逐一明确</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sz w:val="32"/>
          <w:szCs w:val="32"/>
          <w:shd w:val="clear" w:color="auto" w:fill="FFFFFF"/>
        </w:rPr>
        <w:t>针对药品批发企业跨注册地所在设区市增设仓库的面积要求、温湿度监控设备、手持终端拣选系统以及现代物流条件等方面作了详细规定。</w:t>
      </w:r>
      <w:r>
        <w:rPr>
          <w:rFonts w:hint="default" w:ascii="Times New Roman" w:hAnsi="Times New Roman" w:eastAsia="仿宋_GB2312" w:cs="Times New Roman"/>
          <w:color w:val="000000" w:themeColor="text1"/>
          <w:sz w:val="32"/>
          <w:szCs w:val="32"/>
          <w14:textFill>
            <w14:solidFill>
              <w14:schemeClr w14:val="tx1"/>
            </w14:solidFill>
          </w14:textFill>
        </w:rPr>
        <w:t>对药品批发企业</w:t>
      </w:r>
      <w:r>
        <w:rPr>
          <w:rFonts w:hint="default" w:ascii="Times New Roman" w:hAnsi="Times New Roman" w:eastAsia="仿宋_GB2312" w:cs="Times New Roman"/>
          <w:color w:val="000000"/>
          <w:sz w:val="32"/>
          <w:szCs w:val="32"/>
          <w:shd w:val="clear" w:color="auto" w:fill="FFFFFF"/>
        </w:rPr>
        <w:t>经营中药饮片、冷藏冷冻药品、体外诊断试剂等药品品种企业在设施和设备方面的特殊要求也进行了明确。</w:t>
      </w:r>
    </w:p>
    <w:p>
      <w:pPr>
        <w:keepNext w:val="0"/>
        <w:keepLines w:val="0"/>
        <w:pageBreakBefore w:val="0"/>
        <w:kinsoku/>
        <w:wordWrap/>
        <w:overflowPunct/>
        <w:topLinePunct w:val="0"/>
        <w:autoSpaceDE w:val="0"/>
        <w:autoSpaceDN/>
        <w:bidi w:val="0"/>
        <w:adjustRightInd/>
        <w:snapToGrid/>
        <w:spacing w:line="6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000000"/>
          <w:kern w:val="0"/>
          <w:sz w:val="32"/>
          <w:szCs w:val="32"/>
          <w:shd w:val="clear" w:color="auto" w:fill="FFFFFF"/>
        </w:rPr>
        <w:t>（四）明确药品经营企业行政许可的其他要求。</w:t>
      </w:r>
      <w:r>
        <w:rPr>
          <w:rFonts w:hint="default" w:ascii="Times New Roman" w:hAnsi="Times New Roman" w:eastAsia="仿宋_GB2312" w:cs="Times New Roman"/>
          <w:color w:val="000000" w:themeColor="text1"/>
          <w:sz w:val="32"/>
          <w:szCs w:val="32"/>
          <w:lang w:val="en"/>
          <w14:textFill>
            <w14:solidFill>
              <w14:schemeClr w14:val="tx1"/>
            </w14:solidFill>
          </w14:textFill>
        </w:rPr>
        <w:t>《许可规定》</w:t>
      </w:r>
      <w:r>
        <w:rPr>
          <w:rFonts w:hint="default" w:ascii="Times New Roman" w:hAnsi="Times New Roman" w:eastAsia="仿宋_GB2312" w:cs="Times New Roman"/>
          <w:color w:val="000000" w:themeColor="text1"/>
          <w:sz w:val="32"/>
          <w:szCs w:val="32"/>
          <w14:textFill>
            <w14:solidFill>
              <w14:schemeClr w14:val="tx1"/>
            </w14:solidFill>
          </w14:textFill>
        </w:rPr>
        <w:t>明确，药品经营企业申请经营特殊药品品种的，还应符合国家相关规定。另外，要求药品批发企业必须依法设置企业药品仓库并用于本企业药品储存。在</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0"/>
          <w:sz w:val="32"/>
          <w:szCs w:val="32"/>
          <w:shd w:val="clear" w:color="auto" w:fill="FFFFFF"/>
        </w:rPr>
        <w:t>浙江省药品零售企业行政</w:t>
      </w:r>
      <w:r>
        <w:rPr>
          <w:rFonts w:hint="default" w:ascii="Times New Roman" w:hAnsi="Times New Roman" w:eastAsia="仿宋_GB2312" w:cs="Times New Roman"/>
          <w:color w:val="auto"/>
          <w:kern w:val="0"/>
          <w:sz w:val="32"/>
          <w:szCs w:val="32"/>
          <w:shd w:val="clear" w:color="auto" w:fill="FFFFFF"/>
        </w:rPr>
        <w:t>许可指导意见（试行）</w:t>
      </w:r>
      <w:r>
        <w:rPr>
          <w:rFonts w:hint="default" w:ascii="Times New Roman" w:hAnsi="Times New Roman" w:eastAsia="仿宋_GB2312" w:cs="Times New Roman"/>
          <w:color w:val="auto"/>
          <w:sz w:val="32"/>
          <w:szCs w:val="32"/>
          <w:shd w:val="clear" w:color="auto" w:fill="FFFFFF"/>
        </w:rPr>
        <w:t>》中，明确</w:t>
      </w:r>
      <w:r>
        <w:rPr>
          <w:rFonts w:hint="default" w:ascii="Times New Roman" w:hAnsi="Times New Roman" w:eastAsia="仿宋_GB2312" w:cs="Times New Roman"/>
          <w:color w:val="auto"/>
          <w:sz w:val="32"/>
          <w:szCs w:val="32"/>
        </w:rPr>
        <w:t>各设区市药品监督管理部门可结合本标准和本地区实际，细化本地区药品零售企业行政许可标准。</w:t>
      </w:r>
    </w:p>
    <w:p>
      <w:pPr>
        <w:pStyle w:val="9"/>
        <w:keepNext w:val="0"/>
        <w:keepLines w:val="0"/>
        <w:pageBreakBefore w:val="0"/>
        <w:widowControl/>
        <w:kinsoku/>
        <w:wordWrap/>
        <w:overflowPunct/>
        <w:topLinePunct w:val="0"/>
        <w:autoSpaceDN/>
        <w:bidi w:val="0"/>
        <w:adjustRightInd/>
        <w:snapToGrid/>
        <w:spacing w:line="6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000000"/>
          <w:kern w:val="0"/>
          <w:sz w:val="32"/>
          <w:szCs w:val="32"/>
          <w:shd w:val="clear" w:color="auto" w:fill="FFFFFF"/>
          <w:lang w:val="en-US" w:eastAsia="zh-CN" w:bidi="ar-SA"/>
        </w:rPr>
        <w:t>（五）明确药品经营企业实施时间。</w:t>
      </w:r>
      <w:r>
        <w:rPr>
          <w:rFonts w:hint="default" w:ascii="Times New Roman" w:hAnsi="Times New Roman" w:eastAsia="仿宋_GB2312" w:cs="Times New Roman"/>
          <w:color w:val="auto"/>
          <w:sz w:val="32"/>
          <w:szCs w:val="32"/>
          <w:lang w:val="en"/>
        </w:rPr>
        <w:t>《许可规定》</w:t>
      </w:r>
      <w:r>
        <w:rPr>
          <w:rFonts w:hint="default" w:ascii="Times New Roman" w:hAnsi="Times New Roman" w:eastAsia="仿宋_GB2312" w:cs="Times New Roman"/>
          <w:color w:val="auto"/>
          <w:sz w:val="32"/>
          <w:szCs w:val="32"/>
        </w:rPr>
        <w:t>明确，</w:t>
      </w:r>
      <w:r>
        <w:rPr>
          <w:rFonts w:hint="default" w:ascii="Times New Roman" w:hAnsi="Times New Roman" w:eastAsia="仿宋_GB2312" w:cs="Times New Roman"/>
          <w:color w:val="auto"/>
          <w:sz w:val="32"/>
          <w:szCs w:val="32"/>
          <w:lang w:eastAsia="zh-CN"/>
        </w:rPr>
        <w:t>本规定自印发之日起</w:t>
      </w:r>
      <w:r>
        <w:rPr>
          <w:rFonts w:hint="default" w:ascii="Times New Roman" w:hAnsi="Times New Roman" w:eastAsia="仿宋_GB2312" w:cs="Times New Roman"/>
          <w:color w:val="auto"/>
          <w:sz w:val="32"/>
          <w:szCs w:val="32"/>
          <w:lang w:val="en-US" w:eastAsia="zh-CN"/>
        </w:rPr>
        <w:t>30日后实施。其中，部分涉及储存条件、设施设备的条款自本规定</w:t>
      </w:r>
      <w:r>
        <w:rPr>
          <w:rFonts w:hint="default" w:ascii="Times New Roman" w:hAnsi="Times New Roman" w:eastAsia="仿宋_GB2312" w:cs="Times New Roman"/>
          <w:color w:val="auto"/>
          <w:kern w:val="0"/>
          <w:sz w:val="32"/>
          <w:szCs w:val="32"/>
          <w:shd w:val="clear" w:color="auto" w:fill="FFFFFF"/>
          <w:lang w:eastAsia="zh-CN"/>
        </w:rPr>
        <w:t>其他条款实施之日起两年后实施</w:t>
      </w:r>
      <w:r>
        <w:rPr>
          <w:rFonts w:hint="default" w:ascii="Times New Roman" w:hAnsi="Times New Roman" w:eastAsia="仿宋_GB2312" w:cs="Times New Roman"/>
          <w:color w:val="auto"/>
          <w:sz w:val="32"/>
          <w:szCs w:val="32"/>
          <w:lang w:val="en-US" w:eastAsia="zh-CN"/>
        </w:rPr>
        <w:t>。</w:t>
      </w:r>
    </w:p>
    <w:p>
      <w:pPr>
        <w:pStyle w:val="9"/>
        <w:keepNext w:val="0"/>
        <w:keepLines w:val="0"/>
        <w:pageBreakBefore w:val="0"/>
        <w:widowControl/>
        <w:kinsoku/>
        <w:wordWrap/>
        <w:overflowPunct/>
        <w:topLinePunct w:val="0"/>
        <w:autoSpaceDN/>
        <w:bidi w:val="0"/>
        <w:adjustRightInd/>
        <w:snapToGrid/>
        <w:spacing w:line="660" w:lineRule="exact"/>
        <w:ind w:firstLine="640" w:firstLineChars="200"/>
        <w:jc w:val="both"/>
        <w:textAlignment w:val="auto"/>
        <w:rPr>
          <w:rFonts w:hint="default" w:ascii="黑体" w:hAnsi="黑体" w:eastAsia="黑体" w:cs="黑体"/>
          <w:bCs/>
          <w:sz w:val="32"/>
          <w:szCs w:val="32"/>
          <w:shd w:val="clear" w:color="auto" w:fill="FFFFFF"/>
        </w:rPr>
      </w:pPr>
      <w:r>
        <w:rPr>
          <w:rFonts w:hint="default" w:ascii="黑体" w:hAnsi="黑体" w:eastAsia="黑体" w:cs="黑体"/>
          <w:bCs/>
          <w:sz w:val="32"/>
          <w:szCs w:val="32"/>
          <w:shd w:val="clear" w:color="auto" w:fill="FFFFFF"/>
        </w:rPr>
        <w:t>五、特别说明</w:t>
      </w:r>
    </w:p>
    <w:p>
      <w:pPr>
        <w:pStyle w:val="9"/>
        <w:keepNext w:val="0"/>
        <w:keepLines w:val="0"/>
        <w:pageBreakBefore w:val="0"/>
        <w:kinsoku/>
        <w:wordWrap/>
        <w:overflowPunct/>
        <w:topLinePunct w:val="0"/>
        <w:autoSpaceDN/>
        <w:bidi w:val="0"/>
        <w:adjustRightInd/>
        <w:snapToGrid/>
        <w:spacing w:line="66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楷体_GB2312" w:cs="Times New Roman"/>
          <w:b/>
          <w:bCs/>
          <w:color w:val="000000"/>
          <w:kern w:val="0"/>
          <w:sz w:val="32"/>
          <w:szCs w:val="32"/>
          <w:shd w:val="clear" w:color="auto" w:fill="FFFFFF"/>
          <w:lang w:val="en-US" w:eastAsia="zh-CN" w:bidi="ar-SA"/>
        </w:rPr>
        <w:t>（一）关于</w:t>
      </w:r>
      <w:r>
        <w:rPr>
          <w:rFonts w:hint="default" w:ascii="Times New Roman" w:hAnsi="Times New Roman" w:eastAsia="楷体_GB2312" w:cs="Times New Roman"/>
          <w:b/>
          <w:bCs/>
          <w:color w:val="000000"/>
          <w:kern w:val="0"/>
          <w:sz w:val="32"/>
          <w:szCs w:val="32"/>
          <w:shd w:val="clear" w:color="auto" w:fill="FFFFFF"/>
          <w:lang w:val="en" w:eastAsia="zh-CN" w:bidi="ar-SA"/>
        </w:rPr>
        <w:t>《许可规定》</w:t>
      </w:r>
      <w:r>
        <w:rPr>
          <w:rFonts w:hint="default" w:ascii="Times New Roman" w:hAnsi="Times New Roman" w:eastAsia="楷体_GB2312" w:cs="Times New Roman"/>
          <w:b/>
          <w:bCs/>
          <w:color w:val="000000"/>
          <w:kern w:val="0"/>
          <w:sz w:val="32"/>
          <w:szCs w:val="32"/>
          <w:shd w:val="clear" w:color="auto" w:fill="FFFFFF"/>
          <w:lang w:val="en-US" w:eastAsia="zh-CN" w:bidi="ar-SA"/>
        </w:rPr>
        <w:t>中部分许可条件的设置依据。</w:t>
      </w:r>
      <w:r>
        <w:rPr>
          <w:rFonts w:hint="default" w:ascii="Times New Roman" w:hAnsi="Times New Roman" w:eastAsia="仿宋_GB2312" w:cs="Times New Roman"/>
          <w:color w:val="000000"/>
          <w:sz w:val="32"/>
          <w:szCs w:val="32"/>
          <w:shd w:val="clear" w:color="auto" w:fill="FFFFFF"/>
        </w:rPr>
        <w:t>《中华人民共和国药品管理法》</w:t>
      </w:r>
      <w:bookmarkStart w:id="0" w:name="_GoBack"/>
      <w:bookmarkEnd w:id="0"/>
      <w:r>
        <w:rPr>
          <w:rFonts w:hint="default" w:ascii="Times New Roman" w:hAnsi="Times New Roman" w:eastAsia="仿宋_GB2312" w:cs="Times New Roman"/>
          <w:color w:val="000000"/>
          <w:sz w:val="32"/>
          <w:szCs w:val="32"/>
          <w:shd w:val="clear" w:color="auto" w:fill="FFFFFF"/>
        </w:rPr>
        <w:t>《药品经营许可证管理办法》《药品流通监督管理办法》《药品经营质量管理规范》等国家层面的法律、行政规章未对企业机构与人员、设施与设备等方面具体要求，特别是</w:t>
      </w:r>
      <w:r>
        <w:rPr>
          <w:rFonts w:hint="eastAsia" w:eastAsia="仿宋_GB2312" w:cs="Times New Roman"/>
          <w:color w:val="000000"/>
          <w:sz w:val="32"/>
          <w:szCs w:val="32"/>
          <w:shd w:val="clear" w:color="auto" w:fill="FFFFFF"/>
          <w:lang w:eastAsia="zh-CN"/>
        </w:rPr>
        <w:t>未对</w:t>
      </w:r>
      <w:r>
        <w:rPr>
          <w:rFonts w:hint="default" w:ascii="Times New Roman" w:hAnsi="Times New Roman" w:eastAsia="仿宋_GB2312" w:cs="Times New Roman"/>
          <w:color w:val="000000"/>
          <w:sz w:val="32"/>
          <w:szCs w:val="32"/>
          <w:shd w:val="clear" w:color="auto" w:fill="FFFFFF"/>
        </w:rPr>
        <w:t>药品经营企业关键人员资质、数量，仓库面积等影响药品质量安全的关键性因素予以细化明确。2011年，《2011标准》出台，规定企业质量负责人应具有五年以上（含五年）从事药品经营或质量管理的实践经验，药品储存区（指专门存放药品的区域）总建筑面积应在4000平方米以上等细化规定；2017年，《跑改文件》出台，取消了药品经营企业关于房屋层高、面积、货架、机车、传送带等限制，我省新开办药品批发企业不再执行2011年标准。</w:t>
      </w:r>
      <w:r>
        <w:rPr>
          <w:rFonts w:hint="default" w:ascii="Times New Roman" w:hAnsi="Times New Roman" w:eastAsia="仿宋_GB2312" w:cs="Times New Roman"/>
          <w:color w:val="000000"/>
          <w:sz w:val="32"/>
          <w:szCs w:val="32"/>
          <w:shd w:val="clear" w:color="auto" w:fill="FFFFFF"/>
          <w:lang w:eastAsia="zh-CN"/>
        </w:rPr>
        <w:t>现分别就药品批发、零售企业许可条件设置的测算依据予以说明：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color w:val="auto"/>
          <w:kern w:val="0"/>
          <w:sz w:val="32"/>
          <w:szCs w:val="32"/>
          <w:shd w:val="clear" w:color="auto" w:fill="FFFFFF"/>
          <w:lang w:val="en-US" w:eastAsia="zh-CN"/>
        </w:rPr>
      </w:pPr>
      <w:r>
        <w:rPr>
          <w:rFonts w:hint="default" w:ascii="Times New Roman" w:hAnsi="Times New Roman" w:eastAsia="仿宋_GB2312" w:cs="Times New Roman"/>
          <w:b/>
          <w:bCs/>
          <w:color w:val="000000"/>
          <w:sz w:val="32"/>
          <w:szCs w:val="32"/>
          <w:shd w:val="clear" w:color="auto" w:fill="FFFFFF"/>
          <w:lang w:val="en-US" w:eastAsia="zh-CN"/>
        </w:rPr>
        <w:t>1</w:t>
      </w:r>
      <w:r>
        <w:rPr>
          <w:rFonts w:hint="default" w:ascii="Times New Roman" w:hAnsi="Times New Roman" w:eastAsia="仿宋_GB2312" w:cs="Times New Roman"/>
          <w:b/>
          <w:bCs/>
          <w:color w:val="auto"/>
          <w:kern w:val="0"/>
          <w:sz w:val="32"/>
          <w:szCs w:val="32"/>
          <w:shd w:val="clear" w:color="auto" w:fill="FFFFFF"/>
          <w:lang w:val="en-US" w:eastAsia="zh-CN" w:bidi="ar-SA"/>
        </w:rPr>
        <w:t>.药品</w:t>
      </w:r>
      <w:r>
        <w:rPr>
          <w:rFonts w:hint="default" w:ascii="Times New Roman" w:hAnsi="Times New Roman" w:eastAsia="仿宋_GB2312" w:cs="Times New Roman"/>
          <w:b/>
          <w:bCs/>
          <w:color w:val="auto"/>
          <w:kern w:val="0"/>
          <w:sz w:val="32"/>
          <w:szCs w:val="32"/>
          <w:shd w:val="clear" w:color="auto" w:fill="FFFFFF"/>
          <w:lang w:val="en" w:eastAsia="zh-CN" w:bidi="ar-SA"/>
        </w:rPr>
        <w:t>批发企业，</w:t>
      </w:r>
      <w:r>
        <w:rPr>
          <w:rFonts w:hint="default" w:ascii="Times New Roman" w:hAnsi="Times New Roman" w:eastAsia="仿宋_GB2312" w:cs="Times New Roman"/>
          <w:b/>
          <w:bCs/>
          <w:color w:val="auto"/>
          <w:kern w:val="0"/>
          <w:sz w:val="32"/>
          <w:szCs w:val="32"/>
          <w:shd w:val="clear" w:color="auto" w:fill="FFFFFF"/>
          <w:lang w:val="en-US" w:eastAsia="zh-CN"/>
        </w:rPr>
        <w:t>主要基于两方面的测算：</w:t>
      </w:r>
    </w:p>
    <w:p>
      <w:pPr>
        <w:pStyle w:val="9"/>
        <w:keepNext w:val="0"/>
        <w:keepLines w:val="0"/>
        <w:pageBreakBefore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一是基于目前状况：</w:t>
      </w:r>
      <w:r>
        <w:rPr>
          <w:rFonts w:hint="default" w:ascii="Times New Roman" w:hAnsi="Times New Roman" w:eastAsia="仿宋_GB2312" w:cs="Times New Roman"/>
          <w:color w:val="auto"/>
          <w:kern w:val="0"/>
          <w:sz w:val="32"/>
          <w:szCs w:val="32"/>
          <w:highlight w:val="none"/>
          <w:shd w:val="clear" w:color="auto" w:fill="FFFFFF"/>
          <w:lang w:val="en-US" w:eastAsia="zh-CN"/>
        </w:rPr>
        <w:t>经测算，我省药品批发企业平均仓库面积为6848.6平方米，中位数为2111.2平方米；</w:t>
      </w:r>
      <w:r>
        <w:rPr>
          <w:rFonts w:hint="default" w:ascii="Times New Roman" w:hAnsi="Times New Roman" w:eastAsia="仿宋_GB2312" w:cs="Times New Roman"/>
          <w:color w:val="auto"/>
          <w:kern w:val="0"/>
          <w:sz w:val="32"/>
          <w:szCs w:val="32"/>
          <w:highlight w:val="none"/>
          <w:shd w:val="clear" w:color="auto" w:fill="FFFFFF"/>
          <w:lang w:val="en" w:eastAsia="zh-CN"/>
        </w:rPr>
        <w:t>除去经营范围含特殊药品、冷藏冷冻药品的企业外，</w:t>
      </w:r>
      <w:r>
        <w:rPr>
          <w:rFonts w:hint="default" w:ascii="Times New Roman" w:hAnsi="Times New Roman" w:eastAsia="仿宋_GB2312" w:cs="Times New Roman"/>
          <w:color w:val="auto"/>
          <w:kern w:val="0"/>
          <w:sz w:val="32"/>
          <w:szCs w:val="32"/>
          <w:highlight w:val="none"/>
          <w:shd w:val="clear" w:color="auto" w:fill="FFFFFF"/>
          <w:lang w:val="en-US" w:eastAsia="zh-CN"/>
        </w:rPr>
        <w:t>平均仓库面积为</w:t>
      </w:r>
      <w:r>
        <w:rPr>
          <w:rFonts w:hint="default" w:ascii="Times New Roman" w:hAnsi="Times New Roman" w:eastAsia="仿宋_GB2312" w:cs="Times New Roman"/>
          <w:color w:val="auto"/>
          <w:kern w:val="0"/>
          <w:sz w:val="32"/>
          <w:szCs w:val="32"/>
          <w:highlight w:val="none"/>
          <w:shd w:val="clear" w:color="auto" w:fill="FFFFFF"/>
          <w:lang w:val="en" w:eastAsia="zh-CN"/>
        </w:rPr>
        <w:t>4126.1</w:t>
      </w:r>
      <w:r>
        <w:rPr>
          <w:rFonts w:hint="default" w:ascii="Times New Roman" w:hAnsi="Times New Roman" w:eastAsia="仿宋_GB2312" w:cs="Times New Roman"/>
          <w:color w:val="auto"/>
          <w:kern w:val="0"/>
          <w:sz w:val="32"/>
          <w:szCs w:val="32"/>
          <w:highlight w:val="none"/>
          <w:shd w:val="clear" w:color="auto" w:fill="FFFFFF"/>
          <w:lang w:val="en-US" w:eastAsia="zh-CN"/>
        </w:rPr>
        <w:t>平方米，中位数为</w:t>
      </w:r>
      <w:r>
        <w:rPr>
          <w:rFonts w:hint="default" w:ascii="Times New Roman" w:hAnsi="Times New Roman" w:eastAsia="仿宋_GB2312" w:cs="Times New Roman"/>
          <w:color w:val="auto"/>
          <w:kern w:val="0"/>
          <w:sz w:val="32"/>
          <w:szCs w:val="32"/>
          <w:highlight w:val="none"/>
          <w:shd w:val="clear" w:color="auto" w:fill="FFFFFF"/>
          <w:lang w:val="en" w:eastAsia="zh-CN"/>
        </w:rPr>
        <w:t>1966.0</w:t>
      </w:r>
      <w:r>
        <w:rPr>
          <w:rFonts w:hint="default" w:ascii="Times New Roman" w:hAnsi="Times New Roman" w:eastAsia="仿宋_GB2312" w:cs="Times New Roman"/>
          <w:color w:val="auto"/>
          <w:kern w:val="0"/>
          <w:sz w:val="32"/>
          <w:szCs w:val="32"/>
          <w:highlight w:val="none"/>
          <w:shd w:val="clear" w:color="auto" w:fill="FFFFFF"/>
          <w:lang w:val="en-US" w:eastAsia="zh-CN"/>
        </w:rPr>
        <w:t>平方米</w:t>
      </w:r>
      <w:r>
        <w:rPr>
          <w:rFonts w:hint="default" w:ascii="Times New Roman" w:hAnsi="Times New Roman" w:eastAsia="仿宋_GB2312" w:cs="Times New Roman"/>
          <w:color w:val="auto"/>
          <w:kern w:val="0"/>
          <w:sz w:val="32"/>
          <w:szCs w:val="32"/>
          <w:highlight w:val="none"/>
          <w:shd w:val="clear" w:color="auto" w:fill="FFFFFF"/>
          <w:lang w:val="en" w:eastAsia="zh-CN"/>
        </w:rPr>
        <w:t>；《跑改文件》出台后新开办</w:t>
      </w:r>
      <w:r>
        <w:rPr>
          <w:rFonts w:hint="default" w:ascii="Times New Roman" w:hAnsi="Times New Roman" w:eastAsia="仿宋_GB2312" w:cs="Times New Roman"/>
          <w:color w:val="auto"/>
          <w:kern w:val="0"/>
          <w:sz w:val="32"/>
          <w:szCs w:val="32"/>
          <w:highlight w:val="none"/>
          <w:shd w:val="clear" w:color="auto" w:fill="FFFFFF"/>
          <w:lang w:val="en-US" w:eastAsia="zh-CN"/>
        </w:rPr>
        <w:t>药品批发企业平均仓库面积为</w:t>
      </w:r>
      <w:r>
        <w:rPr>
          <w:rFonts w:hint="default" w:ascii="Times New Roman" w:hAnsi="Times New Roman" w:eastAsia="仿宋_GB2312" w:cs="Times New Roman"/>
          <w:color w:val="auto"/>
          <w:kern w:val="0"/>
          <w:sz w:val="32"/>
          <w:szCs w:val="32"/>
          <w:highlight w:val="none"/>
          <w:shd w:val="clear" w:color="auto" w:fill="FFFFFF"/>
          <w:lang w:val="en" w:eastAsia="zh-CN"/>
        </w:rPr>
        <w:t>2201.7</w:t>
      </w:r>
      <w:r>
        <w:rPr>
          <w:rFonts w:hint="default" w:ascii="Times New Roman" w:hAnsi="Times New Roman" w:eastAsia="仿宋_GB2312" w:cs="Times New Roman"/>
          <w:color w:val="auto"/>
          <w:kern w:val="0"/>
          <w:sz w:val="32"/>
          <w:szCs w:val="32"/>
          <w:highlight w:val="none"/>
          <w:shd w:val="clear" w:color="auto" w:fill="FFFFFF"/>
          <w:lang w:val="en-US" w:eastAsia="zh-CN"/>
        </w:rPr>
        <w:t>平方米，中位数为</w:t>
      </w:r>
      <w:r>
        <w:rPr>
          <w:rFonts w:hint="default" w:ascii="Times New Roman" w:hAnsi="Times New Roman" w:eastAsia="仿宋_GB2312" w:cs="Times New Roman"/>
          <w:color w:val="auto"/>
          <w:kern w:val="0"/>
          <w:sz w:val="32"/>
          <w:szCs w:val="32"/>
          <w:highlight w:val="none"/>
          <w:shd w:val="clear" w:color="auto" w:fill="FFFFFF"/>
          <w:lang w:val="en" w:eastAsia="zh-CN"/>
        </w:rPr>
        <w:t>1192.5</w:t>
      </w:r>
      <w:r>
        <w:rPr>
          <w:rFonts w:hint="default" w:ascii="Times New Roman" w:hAnsi="Times New Roman" w:eastAsia="仿宋_GB2312" w:cs="Times New Roman"/>
          <w:color w:val="auto"/>
          <w:kern w:val="0"/>
          <w:sz w:val="32"/>
          <w:szCs w:val="32"/>
          <w:highlight w:val="none"/>
          <w:shd w:val="clear" w:color="auto" w:fill="FFFFFF"/>
          <w:lang w:val="en-US" w:eastAsia="zh-CN"/>
        </w:rPr>
        <w:t>平方米</w:t>
      </w:r>
      <w:r>
        <w:rPr>
          <w:rFonts w:hint="default" w:ascii="Times New Roman" w:hAnsi="Times New Roman" w:eastAsia="仿宋_GB2312" w:cs="Times New Roman"/>
          <w:color w:val="auto"/>
          <w:kern w:val="0"/>
          <w:sz w:val="32"/>
          <w:szCs w:val="32"/>
          <w:highlight w:val="none"/>
          <w:shd w:val="clear" w:color="auto" w:fill="FFFFFF"/>
          <w:lang w:val="en" w:eastAsia="zh-CN"/>
        </w:rPr>
        <w:t>。</w:t>
      </w:r>
      <w:r>
        <w:rPr>
          <w:rFonts w:hint="default" w:ascii="Times New Roman" w:hAnsi="Times New Roman" w:eastAsia="仿宋_GB2312" w:cs="Times New Roman"/>
          <w:color w:val="auto"/>
          <w:kern w:val="0"/>
          <w:sz w:val="32"/>
          <w:szCs w:val="32"/>
          <w:shd w:val="clear" w:color="auto" w:fill="FFFFFF"/>
          <w:lang w:val="en-US" w:eastAsia="zh-CN"/>
        </w:rPr>
        <w:t>我们对上海、广东、江苏、安徽等地区药品批发企业行政许可条件进行了调研，其中对药品批发企业仓库面积的要求分别为不低于1000平方米、不低于500平方米、不低于3000平方米且层高不低于4.5米、不低于4000平方米。</w:t>
      </w:r>
    </w:p>
    <w:p>
      <w:pPr>
        <w:pStyle w:val="9"/>
        <w:keepNext w:val="0"/>
        <w:keepLines w:val="0"/>
        <w:pageBreakBefore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二是基于经营需要：</w:t>
      </w:r>
      <w:r>
        <w:rPr>
          <w:rFonts w:hint="default" w:ascii="Times New Roman" w:hAnsi="Times New Roman" w:eastAsia="仿宋_GB2312" w:cs="Times New Roman"/>
          <w:color w:val="auto"/>
          <w:kern w:val="0"/>
          <w:sz w:val="32"/>
          <w:szCs w:val="32"/>
          <w:shd w:val="clear" w:color="auto" w:fill="FFFFFF"/>
          <w:lang w:val="en" w:eastAsia="zh-CN"/>
        </w:rPr>
        <w:t>据统计，</w:t>
      </w:r>
      <w:r>
        <w:rPr>
          <w:rFonts w:hint="default" w:ascii="Times New Roman" w:hAnsi="Times New Roman" w:eastAsia="仿宋_GB2312" w:cs="Times New Roman"/>
          <w:color w:val="auto"/>
          <w:kern w:val="0"/>
          <w:sz w:val="32"/>
          <w:szCs w:val="32"/>
          <w:shd w:val="clear" w:color="auto" w:fill="FFFFFF"/>
          <w:lang w:val="en-US" w:eastAsia="zh-CN"/>
        </w:rPr>
        <w:t>2020年我省药品批发企业销售收入约1206.87亿元，同比下降5.31%。经测算，全省571家药品批发企业年平均销售总额为2.11亿元，我省医保药品平均价格为135元/销售单位（盒、支、瓶），全省药品批发企业年销售量约为156.30个万销售单位，按每个药品品种平均占地面积0.01平方米、年周转频率8次计算，所需仓库面积为1953.75平方米；考虑仓库必须设置的待验区、不合格品区等需求，在不委托第三方物流或其他药品批发企业储存配送的情况下，药品经营需至少具备2000平方米的仓库。</w:t>
      </w:r>
    </w:p>
    <w:p>
      <w:pPr>
        <w:pStyle w:val="9"/>
        <w:keepNext w:val="0"/>
        <w:keepLines w:val="0"/>
        <w:pageBreakBefore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另外，除华东、英特、国药、上药等占据主要市场份额的头部企业外，其他药品批发企业实际利润远低于平均水平。目前我省药品批发企业营业额增加基本趋于饱和，企业数量完全能够满足药品供应。在此背景下，无序增加不具备规模优势的企业，不仅无益于行业发展，更会带来潜在的违法风险。</w:t>
      </w:r>
    </w:p>
    <w:p>
      <w:pPr>
        <w:pStyle w:val="9"/>
        <w:keepNext w:val="0"/>
        <w:keepLines w:val="0"/>
        <w:pageBreakBefore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综上，考虑到《跑改文件》废止后我省监管实际和药品经营企业现状，综合当前政策、行业发展趋势等因素，参考先进及周边</w:t>
      </w:r>
      <w:r>
        <w:rPr>
          <w:rFonts w:hint="eastAsia" w:eastAsia="仿宋_GB2312" w:cs="Times New Roman"/>
          <w:color w:val="auto"/>
          <w:kern w:val="0"/>
          <w:sz w:val="32"/>
          <w:szCs w:val="32"/>
          <w:shd w:val="clear" w:color="auto" w:fill="FFFFFF"/>
          <w:lang w:val="en-US" w:eastAsia="zh-CN"/>
        </w:rPr>
        <w:t>省市</w:t>
      </w:r>
      <w:r>
        <w:rPr>
          <w:rFonts w:hint="default" w:ascii="Times New Roman" w:hAnsi="Times New Roman" w:eastAsia="仿宋_GB2312" w:cs="Times New Roman"/>
          <w:color w:val="auto"/>
          <w:kern w:val="0"/>
          <w:sz w:val="32"/>
          <w:szCs w:val="32"/>
          <w:shd w:val="clear" w:color="auto" w:fill="FFFFFF"/>
          <w:lang w:val="en-US" w:eastAsia="zh-CN"/>
        </w:rPr>
        <w:t>行政许可条件。对我省新开办批发企业仓库面积的要求为不低于2000平方米。</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color w:val="auto"/>
          <w:kern w:val="0"/>
          <w:sz w:val="32"/>
          <w:szCs w:val="32"/>
          <w:shd w:val="clear" w:color="auto" w:fill="FFFFFF"/>
          <w:lang w:val="en-US" w:eastAsia="zh-CN"/>
        </w:rPr>
      </w:pPr>
      <w:r>
        <w:rPr>
          <w:rFonts w:hint="default" w:ascii="Times New Roman" w:hAnsi="Times New Roman" w:eastAsia="仿宋_GB2312" w:cs="Times New Roman"/>
          <w:b/>
          <w:bCs/>
          <w:color w:val="auto"/>
          <w:kern w:val="0"/>
          <w:sz w:val="32"/>
          <w:szCs w:val="32"/>
          <w:shd w:val="clear" w:color="auto" w:fill="FFFFFF"/>
          <w:lang w:val="en-US" w:eastAsia="zh-CN"/>
        </w:rPr>
        <w:t>2.零售连锁总部，主要出于以下两方面考量：</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一是经测算，我省药品零售连锁企业（总部）平均仓库面积为2122.6平方米，中位数为1103.3平方米。对北京、上海、广东、江苏、安徽、湖南等地区药品零售连锁企业（总部）行政许可条件进行了调研，其中对药品药品零售连锁企业（总部）面积要求分别为，北京：不低于300平方米，广东、安徽：不低于500平方米，湖南：不低于1000平方米，江苏：不低于1500平方米。</w:t>
      </w:r>
    </w:p>
    <w:p>
      <w:pPr>
        <w:pStyle w:val="9"/>
        <w:keepNext w:val="0"/>
        <w:keepLines w:val="0"/>
        <w:pageBreakBefore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二是为引导和鼓励药品零售连锁的发展，我省一直允许药品零售连锁企业将仓储和配送委托给第三方医药物流公司或其主要药品采购渠道的药品批发企业。</w:t>
      </w:r>
    </w:p>
    <w:p>
      <w:pPr>
        <w:pStyle w:val="9"/>
        <w:keepNext w:val="0"/>
        <w:keepLines w:val="0"/>
        <w:pageBreakBefore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综上，拟在继续允许药品零售连锁企业委托储存配送的同时，将其仓库标准设为1000平方米，处在国内中游要求水平，且留有引导药品零售连锁发展的空间。</w:t>
      </w:r>
    </w:p>
    <w:p>
      <w:pPr>
        <w:pStyle w:val="9"/>
        <w:keepNext w:val="0"/>
        <w:keepLines w:val="0"/>
        <w:pageBreakBefore w:val="0"/>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楷体_GB2312" w:cs="Times New Roman"/>
          <w:b/>
          <w:bCs/>
          <w:color w:val="000000"/>
          <w:kern w:val="0"/>
          <w:sz w:val="32"/>
          <w:szCs w:val="32"/>
          <w:shd w:val="clear" w:color="auto" w:fill="FFFFFF"/>
          <w:lang w:val="en-US" w:eastAsia="zh-CN" w:bidi="ar-SA"/>
        </w:rPr>
        <w:t>（二）关于老企业如何执行</w:t>
      </w:r>
      <w:r>
        <w:rPr>
          <w:rFonts w:hint="default" w:ascii="Times New Roman" w:hAnsi="Times New Roman" w:eastAsia="楷体_GB2312" w:cs="Times New Roman"/>
          <w:b/>
          <w:bCs/>
          <w:color w:val="000000"/>
          <w:kern w:val="0"/>
          <w:sz w:val="32"/>
          <w:szCs w:val="32"/>
          <w:shd w:val="clear" w:color="auto" w:fill="FFFFFF"/>
          <w:lang w:val="en" w:eastAsia="zh-CN" w:bidi="ar-SA"/>
        </w:rPr>
        <w:t>《许可规定》</w:t>
      </w:r>
      <w:r>
        <w:rPr>
          <w:rFonts w:hint="default" w:ascii="Times New Roman" w:hAnsi="Times New Roman" w:eastAsia="楷体_GB2312" w:cs="Times New Roman"/>
          <w:b/>
          <w:bCs/>
          <w:color w:val="000000"/>
          <w:kern w:val="0"/>
          <w:sz w:val="32"/>
          <w:szCs w:val="32"/>
          <w:shd w:val="clear" w:color="auto" w:fill="FFFFFF"/>
          <w:lang w:val="en-US" w:eastAsia="zh-CN" w:bidi="ar-SA"/>
        </w:rPr>
        <w:t>的问题。</w:t>
      </w:r>
      <w:r>
        <w:rPr>
          <w:rFonts w:hint="default" w:ascii="Times New Roman" w:hAnsi="Times New Roman" w:eastAsia="仿宋_GB2312" w:cs="Times New Roman"/>
          <w:color w:val="000000"/>
          <w:sz w:val="32"/>
          <w:szCs w:val="32"/>
          <w:shd w:val="clear" w:color="auto" w:fill="FFFFFF"/>
        </w:rPr>
        <w:t>目前，我省药品批发企业主要分为三类，一是2011年3月7日前新开办的，即《2011标准》出台前即存续的药品批发企业；二是2011年3月7日后至2017年11月17日新开办的，即执行《2011标准》行政许可标准的企业；三是2017年11月17日后新开办的，即执行《跑改文件》有关标准的企业。药品零售企业则以《关于印发〈浙江省药品零售企业验收实施标准〉〈浙江省药品零售连锁企业验收实施标准〉》（浙食药监市〔2004〕23号）为分水岭，一类为该标准出台前即存续的企业，一类为该标准出台后新开办的企业。鉴于老企业类型复杂，执行</w:t>
      </w:r>
      <w:r>
        <w:rPr>
          <w:rFonts w:hint="default" w:ascii="Times New Roman" w:hAnsi="Times New Roman" w:eastAsia="仿宋_GB2312" w:cs="Times New Roman"/>
          <w:color w:val="auto"/>
          <w:sz w:val="32"/>
          <w:szCs w:val="32"/>
          <w:shd w:val="clear" w:color="auto" w:fill="FFFFFF"/>
        </w:rPr>
        <w:t>标准不一，部分企业难以短时间内达到</w:t>
      </w:r>
      <w:r>
        <w:rPr>
          <w:rFonts w:hint="default" w:ascii="Times New Roman" w:hAnsi="Times New Roman" w:eastAsia="仿宋_GB2312" w:cs="Times New Roman"/>
          <w:color w:val="auto"/>
          <w:sz w:val="32"/>
          <w:szCs w:val="32"/>
          <w:shd w:val="clear" w:color="auto" w:fill="FFFFFF"/>
          <w:lang w:val="en"/>
        </w:rPr>
        <w:t>《许可规定》</w:t>
      </w:r>
      <w:r>
        <w:rPr>
          <w:rFonts w:hint="default" w:ascii="Times New Roman" w:hAnsi="Times New Roman" w:eastAsia="仿宋_GB2312" w:cs="Times New Roman"/>
          <w:color w:val="auto"/>
          <w:sz w:val="32"/>
          <w:szCs w:val="32"/>
          <w:shd w:val="clear" w:color="auto" w:fill="FFFFFF"/>
        </w:rPr>
        <w:t>的有关要求</w:t>
      </w:r>
      <w:r>
        <w:rPr>
          <w:rFonts w:hint="default" w:ascii="Times New Roman" w:hAnsi="Times New Roman" w:eastAsia="仿宋_GB2312" w:cs="Times New Roman"/>
          <w:color w:val="auto"/>
          <w:sz w:val="32"/>
          <w:szCs w:val="32"/>
          <w:shd w:val="clear" w:color="auto" w:fill="FFFFFF"/>
          <w:lang w:eastAsia="zh-CN"/>
        </w:rPr>
        <w:t>的情况。我们认为，在保障公平性的前提下，</w:t>
      </w:r>
      <w:r>
        <w:rPr>
          <w:rFonts w:hint="default" w:ascii="Times New Roman" w:hAnsi="Times New Roman" w:eastAsia="仿宋_GB2312" w:cs="Times New Roman"/>
          <w:color w:val="auto"/>
          <w:kern w:val="0"/>
          <w:sz w:val="32"/>
          <w:szCs w:val="32"/>
          <w:shd w:val="clear" w:color="auto" w:fill="FFFFFF"/>
          <w:lang w:val="en-US" w:eastAsia="zh-CN"/>
        </w:rPr>
        <w:t>应立足于逐步并轨统一全省批发和零售连锁企业基本许可标准以及让老企业稳步过渡的基础上，设置为期2年的过渡期，老企业应在两年内达到《许可标准》要求。</w:t>
      </w:r>
    </w:p>
    <w:p>
      <w:pPr>
        <w:pStyle w:val="9"/>
        <w:keepNext w:val="0"/>
        <w:keepLines w:val="0"/>
        <w:pageBreakBefore w:val="0"/>
        <w:kinsoku/>
        <w:wordWrap/>
        <w:overflowPunct/>
        <w:topLinePunct w:val="0"/>
        <w:autoSpaceDN/>
        <w:bidi w:val="0"/>
        <w:adjustRightInd/>
        <w:snapToGrid/>
        <w:spacing w:line="66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bidi="ar-SA"/>
        </w:rPr>
        <w:t>（三）关于</w:t>
      </w:r>
      <w:r>
        <w:rPr>
          <w:rFonts w:hint="default" w:ascii="Times New Roman" w:hAnsi="Times New Roman" w:eastAsia="楷体_GB2312" w:cs="Times New Roman"/>
          <w:b/>
          <w:bCs/>
          <w:color w:val="000000"/>
          <w:kern w:val="0"/>
          <w:sz w:val="32"/>
          <w:szCs w:val="32"/>
          <w:shd w:val="clear" w:color="auto" w:fill="FFFFFF"/>
          <w:lang w:val="en" w:eastAsia="zh-CN" w:bidi="ar-SA"/>
        </w:rPr>
        <w:t>《许可规定》</w:t>
      </w:r>
      <w:r>
        <w:rPr>
          <w:rFonts w:hint="default" w:ascii="Times New Roman" w:hAnsi="Times New Roman" w:eastAsia="楷体_GB2312" w:cs="Times New Roman"/>
          <w:b/>
          <w:bCs/>
          <w:color w:val="000000"/>
          <w:kern w:val="0"/>
          <w:sz w:val="32"/>
          <w:szCs w:val="32"/>
          <w:shd w:val="clear" w:color="auto" w:fill="FFFFFF"/>
          <w:lang w:val="en-US" w:eastAsia="zh-CN" w:bidi="ar-SA"/>
        </w:rPr>
        <w:t>与《药品经营使用监督管理办法》（国家局未出台）的衔接。</w:t>
      </w:r>
      <w:r>
        <w:rPr>
          <w:rFonts w:hint="default" w:ascii="Times New Roman" w:hAnsi="Times New Roman" w:eastAsia="仿宋_GB2312" w:cs="Times New Roman"/>
          <w:color w:val="000000"/>
          <w:sz w:val="32"/>
          <w:szCs w:val="32"/>
          <w:shd w:val="clear" w:color="auto" w:fill="FFFFFF"/>
          <w:lang w:val="en"/>
        </w:rPr>
        <w:t>《许可规定》</w:t>
      </w:r>
      <w:r>
        <w:rPr>
          <w:rFonts w:hint="default" w:ascii="Times New Roman" w:hAnsi="Times New Roman" w:eastAsia="仿宋_GB2312" w:cs="Times New Roman"/>
          <w:color w:val="000000"/>
          <w:sz w:val="32"/>
          <w:szCs w:val="32"/>
          <w:shd w:val="clear" w:color="auto" w:fill="FFFFFF"/>
        </w:rPr>
        <w:t>仅对药品经营企业行政许可条件进行了明确，未对药品经营企业委托储存配送、跨行政区域设立储存配送机构等事宜进行规定。待国家药监局《药品经营使用监督管理办法》出台后，我们将根据上位法要求，及时调整</w:t>
      </w:r>
      <w:r>
        <w:rPr>
          <w:rFonts w:hint="default" w:ascii="Times New Roman" w:hAnsi="Times New Roman" w:eastAsia="仿宋_GB2312" w:cs="Times New Roman"/>
          <w:color w:val="000000"/>
          <w:sz w:val="32"/>
          <w:szCs w:val="32"/>
          <w:shd w:val="clear" w:color="auto" w:fill="FFFFFF"/>
          <w:lang w:val="en"/>
        </w:rPr>
        <w:t>《许可规定》</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同时，</w:t>
      </w:r>
      <w:r>
        <w:rPr>
          <w:rFonts w:hint="default" w:ascii="Times New Roman" w:hAnsi="Times New Roman" w:eastAsia="仿宋_GB2312" w:cs="Times New Roman"/>
          <w:color w:val="000000"/>
          <w:sz w:val="32"/>
          <w:szCs w:val="32"/>
          <w:shd w:val="clear" w:color="auto" w:fill="FFFFFF"/>
          <w:lang w:eastAsia="zh-CN"/>
        </w:rPr>
        <w:t>另行制定规范性文件</w:t>
      </w:r>
      <w:r>
        <w:rPr>
          <w:rFonts w:hint="default" w:ascii="Times New Roman" w:hAnsi="Times New Roman" w:eastAsia="仿宋_GB2312" w:cs="Times New Roman"/>
          <w:color w:val="000000"/>
          <w:sz w:val="32"/>
          <w:szCs w:val="32"/>
          <w:shd w:val="clear" w:color="auto" w:fill="FFFFFF"/>
        </w:rPr>
        <w:t>对药品经营企业委托储存配送、跨行政区域设立储存配送机构等</w:t>
      </w:r>
      <w:r>
        <w:rPr>
          <w:rFonts w:hint="default" w:ascii="Times New Roman" w:hAnsi="Times New Roman" w:eastAsia="仿宋_GB2312" w:cs="Times New Roman"/>
          <w:color w:val="000000"/>
          <w:sz w:val="32"/>
          <w:szCs w:val="32"/>
          <w:shd w:val="clear" w:color="auto" w:fill="FFFFFF"/>
          <w:lang w:val="en"/>
        </w:rPr>
        <w:t>《许可规定》</w:t>
      </w:r>
      <w:r>
        <w:rPr>
          <w:rFonts w:hint="default" w:ascii="Times New Roman" w:hAnsi="Times New Roman" w:eastAsia="仿宋_GB2312" w:cs="Times New Roman"/>
          <w:color w:val="000000"/>
          <w:sz w:val="32"/>
          <w:szCs w:val="32"/>
          <w:shd w:val="clear" w:color="auto" w:fill="FFFFFF"/>
        </w:rPr>
        <w:t>中的未尽事宜予以明确。</w:t>
      </w:r>
    </w:p>
    <w:p>
      <w:pPr>
        <w:pStyle w:val="9"/>
        <w:keepNext w:val="0"/>
        <w:keepLines w:val="0"/>
        <w:pageBreakBefore w:val="0"/>
        <w:kinsoku/>
        <w:wordWrap/>
        <w:overflowPunct/>
        <w:topLinePunct w:val="0"/>
        <w:autoSpaceDN/>
        <w:bidi w:val="0"/>
        <w:adjustRightInd/>
        <w:snapToGrid/>
        <w:spacing w:line="66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bidi="ar-SA"/>
        </w:rPr>
        <w:t>（四）关于各设区市制定本地区药品零售企业行政许可标准的原则。</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0"/>
          <w:sz w:val="32"/>
          <w:szCs w:val="32"/>
          <w:shd w:val="clear" w:color="auto" w:fill="FFFFFF"/>
        </w:rPr>
        <w:t>浙江省药品零售企业行政许可指导意见（试行）</w:t>
      </w:r>
      <w:r>
        <w:rPr>
          <w:rFonts w:hint="default" w:ascii="Times New Roman" w:hAnsi="Times New Roman" w:eastAsia="仿宋_GB2312" w:cs="Times New Roman"/>
          <w:color w:val="000000"/>
          <w:sz w:val="32"/>
          <w:szCs w:val="32"/>
          <w:shd w:val="clear" w:color="auto" w:fill="FFFFFF"/>
        </w:rPr>
        <w:t>》为省级层面的指导性规范，各设区市药品（市场）监管部门应当根据法定职责，各设区市药品（市场）监督管理部门可结合本标准和本地区实际，细化本地区药品零售企业行政许可标准。</w:t>
      </w:r>
    </w:p>
    <w:p>
      <w:pPr>
        <w:pStyle w:val="9"/>
        <w:keepNext w:val="0"/>
        <w:keepLines w:val="0"/>
        <w:pageBreakBefore w:val="0"/>
        <w:widowControl/>
        <w:kinsoku/>
        <w:wordWrap/>
        <w:overflowPunct/>
        <w:topLinePunct w:val="0"/>
        <w:autoSpaceDN/>
        <w:bidi w:val="0"/>
        <w:adjustRightInd/>
        <w:snapToGrid/>
        <w:spacing w:line="660" w:lineRule="exact"/>
        <w:ind w:firstLine="640" w:firstLineChars="200"/>
        <w:jc w:val="both"/>
        <w:textAlignment w:val="auto"/>
        <w:rPr>
          <w:rFonts w:hint="default" w:ascii="黑体" w:hAnsi="黑体" w:eastAsia="黑体" w:cs="黑体"/>
          <w:bCs/>
          <w:sz w:val="32"/>
          <w:szCs w:val="32"/>
          <w:shd w:val="clear" w:color="auto" w:fill="FFFFFF"/>
        </w:rPr>
      </w:pPr>
      <w:r>
        <w:rPr>
          <w:rFonts w:hint="default" w:ascii="黑体" w:hAnsi="黑体" w:eastAsia="黑体" w:cs="黑体"/>
          <w:bCs/>
          <w:sz w:val="32"/>
          <w:szCs w:val="32"/>
          <w:shd w:val="clear" w:color="auto" w:fill="FFFFFF"/>
        </w:rPr>
        <w:t>六、实施日期</w:t>
      </w:r>
    </w:p>
    <w:p>
      <w:pPr>
        <w:keepNext w:val="0"/>
        <w:keepLines w:val="0"/>
        <w:pageBreakBefore w:val="0"/>
        <w:kinsoku/>
        <w:wordWrap/>
        <w:overflowPunct/>
        <w:topLinePunct w:val="0"/>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lang w:val="en"/>
        </w:rPr>
        <w:t>《许可规定》</w:t>
      </w:r>
      <w:r>
        <w:rPr>
          <w:rFonts w:hint="default" w:ascii="Times New Roman" w:hAnsi="Times New Roman" w:eastAsia="仿宋_GB2312" w:cs="Times New Roman"/>
          <w:color w:val="333333"/>
          <w:sz w:val="32"/>
          <w:szCs w:val="32"/>
          <w:shd w:val="clear" w:color="auto" w:fill="FFFFFF"/>
        </w:rPr>
        <w:t>自文件发布之日起30日后施行。</w:t>
      </w:r>
    </w:p>
    <w:sectPr>
      <w:footerReference r:id="rId3" w:type="default"/>
      <w:pgSz w:w="11906" w:h="16838"/>
      <w:pgMar w:top="1644" w:right="1644" w:bottom="1644" w:left="1644" w:header="851" w:footer="992" w:gutter="0"/>
      <w:pgNumType w:fmt="decimal" w:start="4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BF"/>
    <w:rsid w:val="00000E37"/>
    <w:rsid w:val="00003FF5"/>
    <w:rsid w:val="00006756"/>
    <w:rsid w:val="00007C61"/>
    <w:rsid w:val="0001092C"/>
    <w:rsid w:val="00010F2C"/>
    <w:rsid w:val="00014C51"/>
    <w:rsid w:val="000170A2"/>
    <w:rsid w:val="00017D07"/>
    <w:rsid w:val="00022EC2"/>
    <w:rsid w:val="00023A8D"/>
    <w:rsid w:val="000332D2"/>
    <w:rsid w:val="00033787"/>
    <w:rsid w:val="00033F30"/>
    <w:rsid w:val="00034843"/>
    <w:rsid w:val="000353CD"/>
    <w:rsid w:val="000378D6"/>
    <w:rsid w:val="00037BAD"/>
    <w:rsid w:val="0004030B"/>
    <w:rsid w:val="00040913"/>
    <w:rsid w:val="00041EF2"/>
    <w:rsid w:val="0004330D"/>
    <w:rsid w:val="00044BA8"/>
    <w:rsid w:val="0004596D"/>
    <w:rsid w:val="00045A69"/>
    <w:rsid w:val="00046458"/>
    <w:rsid w:val="00046E35"/>
    <w:rsid w:val="00047959"/>
    <w:rsid w:val="00047B80"/>
    <w:rsid w:val="00051685"/>
    <w:rsid w:val="00051913"/>
    <w:rsid w:val="00052EFB"/>
    <w:rsid w:val="00053361"/>
    <w:rsid w:val="000567B8"/>
    <w:rsid w:val="0006022B"/>
    <w:rsid w:val="00060E57"/>
    <w:rsid w:val="000649F8"/>
    <w:rsid w:val="00064EF7"/>
    <w:rsid w:val="0006549A"/>
    <w:rsid w:val="00066D08"/>
    <w:rsid w:val="00067F15"/>
    <w:rsid w:val="00070FC8"/>
    <w:rsid w:val="000727AA"/>
    <w:rsid w:val="00075276"/>
    <w:rsid w:val="000777F1"/>
    <w:rsid w:val="00081947"/>
    <w:rsid w:val="000824E7"/>
    <w:rsid w:val="0008253F"/>
    <w:rsid w:val="00083227"/>
    <w:rsid w:val="0008555F"/>
    <w:rsid w:val="00093D90"/>
    <w:rsid w:val="00094DBF"/>
    <w:rsid w:val="00095331"/>
    <w:rsid w:val="00097ACB"/>
    <w:rsid w:val="000A0CFB"/>
    <w:rsid w:val="000A2209"/>
    <w:rsid w:val="000A2FE0"/>
    <w:rsid w:val="000A3CFC"/>
    <w:rsid w:val="000A5D2A"/>
    <w:rsid w:val="000A642A"/>
    <w:rsid w:val="000A6532"/>
    <w:rsid w:val="000A6ED0"/>
    <w:rsid w:val="000B1804"/>
    <w:rsid w:val="000B385C"/>
    <w:rsid w:val="000B5802"/>
    <w:rsid w:val="000B5853"/>
    <w:rsid w:val="000B76B7"/>
    <w:rsid w:val="000C0506"/>
    <w:rsid w:val="000C0F23"/>
    <w:rsid w:val="000C1241"/>
    <w:rsid w:val="000C4686"/>
    <w:rsid w:val="000C4B6C"/>
    <w:rsid w:val="000C4D36"/>
    <w:rsid w:val="000D423F"/>
    <w:rsid w:val="000D7023"/>
    <w:rsid w:val="000D7204"/>
    <w:rsid w:val="000D77C9"/>
    <w:rsid w:val="000E2395"/>
    <w:rsid w:val="000E644E"/>
    <w:rsid w:val="000E65AB"/>
    <w:rsid w:val="000F0A1B"/>
    <w:rsid w:val="000F1FDC"/>
    <w:rsid w:val="000F2EF3"/>
    <w:rsid w:val="000F5B2E"/>
    <w:rsid w:val="001013B8"/>
    <w:rsid w:val="00101F15"/>
    <w:rsid w:val="001021BF"/>
    <w:rsid w:val="0010340F"/>
    <w:rsid w:val="001113A6"/>
    <w:rsid w:val="00114E1E"/>
    <w:rsid w:val="0011578E"/>
    <w:rsid w:val="00115854"/>
    <w:rsid w:val="00116705"/>
    <w:rsid w:val="001170E4"/>
    <w:rsid w:val="001175BD"/>
    <w:rsid w:val="0012026F"/>
    <w:rsid w:val="00120610"/>
    <w:rsid w:val="00120C8A"/>
    <w:rsid w:val="00123DA7"/>
    <w:rsid w:val="00124378"/>
    <w:rsid w:val="00125A71"/>
    <w:rsid w:val="0012604E"/>
    <w:rsid w:val="00126432"/>
    <w:rsid w:val="00134022"/>
    <w:rsid w:val="00134C5F"/>
    <w:rsid w:val="001409EC"/>
    <w:rsid w:val="0014262B"/>
    <w:rsid w:val="001441FD"/>
    <w:rsid w:val="00144D77"/>
    <w:rsid w:val="001458D5"/>
    <w:rsid w:val="001500B5"/>
    <w:rsid w:val="0015388A"/>
    <w:rsid w:val="00155C03"/>
    <w:rsid w:val="00156D90"/>
    <w:rsid w:val="00162713"/>
    <w:rsid w:val="0016306C"/>
    <w:rsid w:val="001667A5"/>
    <w:rsid w:val="00167BC8"/>
    <w:rsid w:val="00170262"/>
    <w:rsid w:val="0017154A"/>
    <w:rsid w:val="00171D8D"/>
    <w:rsid w:val="001724EF"/>
    <w:rsid w:val="00173C57"/>
    <w:rsid w:val="0017495A"/>
    <w:rsid w:val="00177B65"/>
    <w:rsid w:val="00180168"/>
    <w:rsid w:val="00181131"/>
    <w:rsid w:val="00182A01"/>
    <w:rsid w:val="0018348A"/>
    <w:rsid w:val="0018795F"/>
    <w:rsid w:val="001904A9"/>
    <w:rsid w:val="00190B51"/>
    <w:rsid w:val="00192007"/>
    <w:rsid w:val="00193C12"/>
    <w:rsid w:val="00195482"/>
    <w:rsid w:val="001A4799"/>
    <w:rsid w:val="001A47E8"/>
    <w:rsid w:val="001A4947"/>
    <w:rsid w:val="001A4A54"/>
    <w:rsid w:val="001A5EFC"/>
    <w:rsid w:val="001A6679"/>
    <w:rsid w:val="001B1F07"/>
    <w:rsid w:val="001B2CB1"/>
    <w:rsid w:val="001C0378"/>
    <w:rsid w:val="001C17A3"/>
    <w:rsid w:val="001C3800"/>
    <w:rsid w:val="001C6209"/>
    <w:rsid w:val="001C7E41"/>
    <w:rsid w:val="001D161F"/>
    <w:rsid w:val="001D21D0"/>
    <w:rsid w:val="001D5A2C"/>
    <w:rsid w:val="001D7639"/>
    <w:rsid w:val="001D76E4"/>
    <w:rsid w:val="001E1360"/>
    <w:rsid w:val="001E19EB"/>
    <w:rsid w:val="001E591A"/>
    <w:rsid w:val="001E656C"/>
    <w:rsid w:val="001E7F18"/>
    <w:rsid w:val="001F15D3"/>
    <w:rsid w:val="001F3D81"/>
    <w:rsid w:val="00202293"/>
    <w:rsid w:val="002024E3"/>
    <w:rsid w:val="00204AB6"/>
    <w:rsid w:val="0020604C"/>
    <w:rsid w:val="002109AF"/>
    <w:rsid w:val="0021170D"/>
    <w:rsid w:val="00213C89"/>
    <w:rsid w:val="00214261"/>
    <w:rsid w:val="00220C22"/>
    <w:rsid w:val="002210DE"/>
    <w:rsid w:val="0022165A"/>
    <w:rsid w:val="00222C53"/>
    <w:rsid w:val="00222D85"/>
    <w:rsid w:val="0022345E"/>
    <w:rsid w:val="0023292A"/>
    <w:rsid w:val="00232A2E"/>
    <w:rsid w:val="00233DD5"/>
    <w:rsid w:val="002341A1"/>
    <w:rsid w:val="00234515"/>
    <w:rsid w:val="00236CF9"/>
    <w:rsid w:val="002405F2"/>
    <w:rsid w:val="002407EA"/>
    <w:rsid w:val="002428DA"/>
    <w:rsid w:val="00244AA7"/>
    <w:rsid w:val="00245425"/>
    <w:rsid w:val="0024766D"/>
    <w:rsid w:val="0025089D"/>
    <w:rsid w:val="0025231C"/>
    <w:rsid w:val="002535EC"/>
    <w:rsid w:val="00254D37"/>
    <w:rsid w:val="00255EDC"/>
    <w:rsid w:val="00256E72"/>
    <w:rsid w:val="00256F86"/>
    <w:rsid w:val="002629F4"/>
    <w:rsid w:val="0026386D"/>
    <w:rsid w:val="002655A6"/>
    <w:rsid w:val="00265BBD"/>
    <w:rsid w:val="00266190"/>
    <w:rsid w:val="00267B1B"/>
    <w:rsid w:val="00267B5E"/>
    <w:rsid w:val="00267BBB"/>
    <w:rsid w:val="00271FBC"/>
    <w:rsid w:val="00273DCC"/>
    <w:rsid w:val="0027430E"/>
    <w:rsid w:val="0027465B"/>
    <w:rsid w:val="00275C8A"/>
    <w:rsid w:val="0027666D"/>
    <w:rsid w:val="002803C7"/>
    <w:rsid w:val="00283D00"/>
    <w:rsid w:val="002849F8"/>
    <w:rsid w:val="00293B94"/>
    <w:rsid w:val="00296B81"/>
    <w:rsid w:val="00297DA5"/>
    <w:rsid w:val="00297F12"/>
    <w:rsid w:val="002A044E"/>
    <w:rsid w:val="002A0CF5"/>
    <w:rsid w:val="002A12EE"/>
    <w:rsid w:val="002A136A"/>
    <w:rsid w:val="002A1F98"/>
    <w:rsid w:val="002A3229"/>
    <w:rsid w:val="002A3A2C"/>
    <w:rsid w:val="002A64F4"/>
    <w:rsid w:val="002A6B5B"/>
    <w:rsid w:val="002B07B3"/>
    <w:rsid w:val="002B15F4"/>
    <w:rsid w:val="002B43BA"/>
    <w:rsid w:val="002B43FA"/>
    <w:rsid w:val="002B47E7"/>
    <w:rsid w:val="002B4A3B"/>
    <w:rsid w:val="002B56F9"/>
    <w:rsid w:val="002B72A1"/>
    <w:rsid w:val="002B7F9C"/>
    <w:rsid w:val="002C014D"/>
    <w:rsid w:val="002C32D3"/>
    <w:rsid w:val="002C4291"/>
    <w:rsid w:val="002C553F"/>
    <w:rsid w:val="002C626D"/>
    <w:rsid w:val="002D0CC2"/>
    <w:rsid w:val="002D1CA4"/>
    <w:rsid w:val="002D3162"/>
    <w:rsid w:val="002D5AE1"/>
    <w:rsid w:val="002D75C3"/>
    <w:rsid w:val="002E29C7"/>
    <w:rsid w:val="002E7540"/>
    <w:rsid w:val="002F2A20"/>
    <w:rsid w:val="002F34BB"/>
    <w:rsid w:val="002F37BC"/>
    <w:rsid w:val="002F3D69"/>
    <w:rsid w:val="002F4011"/>
    <w:rsid w:val="002F4D33"/>
    <w:rsid w:val="002F4DB3"/>
    <w:rsid w:val="00300580"/>
    <w:rsid w:val="00301920"/>
    <w:rsid w:val="0030266F"/>
    <w:rsid w:val="003030F6"/>
    <w:rsid w:val="00306B83"/>
    <w:rsid w:val="00307136"/>
    <w:rsid w:val="0031687D"/>
    <w:rsid w:val="00320D8D"/>
    <w:rsid w:val="0032152E"/>
    <w:rsid w:val="00321834"/>
    <w:rsid w:val="0032251A"/>
    <w:rsid w:val="00325A82"/>
    <w:rsid w:val="00332AF3"/>
    <w:rsid w:val="00333C80"/>
    <w:rsid w:val="00333D0A"/>
    <w:rsid w:val="00334223"/>
    <w:rsid w:val="00335EA4"/>
    <w:rsid w:val="0033711C"/>
    <w:rsid w:val="0033745A"/>
    <w:rsid w:val="00342E06"/>
    <w:rsid w:val="00343798"/>
    <w:rsid w:val="00343FEB"/>
    <w:rsid w:val="00344B2C"/>
    <w:rsid w:val="0034524A"/>
    <w:rsid w:val="00354E28"/>
    <w:rsid w:val="003559BE"/>
    <w:rsid w:val="00355D93"/>
    <w:rsid w:val="0036086C"/>
    <w:rsid w:val="00362130"/>
    <w:rsid w:val="0036353B"/>
    <w:rsid w:val="003661BF"/>
    <w:rsid w:val="00366FE4"/>
    <w:rsid w:val="00371C5C"/>
    <w:rsid w:val="00372C57"/>
    <w:rsid w:val="003754DA"/>
    <w:rsid w:val="0037608E"/>
    <w:rsid w:val="003825C9"/>
    <w:rsid w:val="003826A3"/>
    <w:rsid w:val="00385921"/>
    <w:rsid w:val="00390843"/>
    <w:rsid w:val="003A18CA"/>
    <w:rsid w:val="003A3991"/>
    <w:rsid w:val="003A3E7F"/>
    <w:rsid w:val="003A4921"/>
    <w:rsid w:val="003B2592"/>
    <w:rsid w:val="003B3B28"/>
    <w:rsid w:val="003C07E0"/>
    <w:rsid w:val="003C0A67"/>
    <w:rsid w:val="003C2895"/>
    <w:rsid w:val="003C2CC7"/>
    <w:rsid w:val="003C337B"/>
    <w:rsid w:val="003C5016"/>
    <w:rsid w:val="003C5FAF"/>
    <w:rsid w:val="003C6DE8"/>
    <w:rsid w:val="003D321E"/>
    <w:rsid w:val="003D3F75"/>
    <w:rsid w:val="003E0674"/>
    <w:rsid w:val="003E2062"/>
    <w:rsid w:val="003E400F"/>
    <w:rsid w:val="003E6954"/>
    <w:rsid w:val="003F3C1B"/>
    <w:rsid w:val="003F5A6F"/>
    <w:rsid w:val="00401B01"/>
    <w:rsid w:val="004107B9"/>
    <w:rsid w:val="0041410D"/>
    <w:rsid w:val="00421CA5"/>
    <w:rsid w:val="00424EB3"/>
    <w:rsid w:val="00427C20"/>
    <w:rsid w:val="004330E8"/>
    <w:rsid w:val="00433699"/>
    <w:rsid w:val="0043373F"/>
    <w:rsid w:val="00435BD8"/>
    <w:rsid w:val="004371C2"/>
    <w:rsid w:val="00437F8A"/>
    <w:rsid w:val="00441304"/>
    <w:rsid w:val="004416C5"/>
    <w:rsid w:val="0044503D"/>
    <w:rsid w:val="00446345"/>
    <w:rsid w:val="004464D5"/>
    <w:rsid w:val="00446E8A"/>
    <w:rsid w:val="00453117"/>
    <w:rsid w:val="0045463C"/>
    <w:rsid w:val="0046386D"/>
    <w:rsid w:val="00471457"/>
    <w:rsid w:val="00471A80"/>
    <w:rsid w:val="004748E4"/>
    <w:rsid w:val="004768E8"/>
    <w:rsid w:val="0048054E"/>
    <w:rsid w:val="00484328"/>
    <w:rsid w:val="00486DE3"/>
    <w:rsid w:val="00490C70"/>
    <w:rsid w:val="00495281"/>
    <w:rsid w:val="00496284"/>
    <w:rsid w:val="004A0AD3"/>
    <w:rsid w:val="004A0B81"/>
    <w:rsid w:val="004A0C1B"/>
    <w:rsid w:val="004A2234"/>
    <w:rsid w:val="004B11C9"/>
    <w:rsid w:val="004B2C10"/>
    <w:rsid w:val="004B2CFB"/>
    <w:rsid w:val="004B355B"/>
    <w:rsid w:val="004C037A"/>
    <w:rsid w:val="004C0598"/>
    <w:rsid w:val="004C0C25"/>
    <w:rsid w:val="004C115E"/>
    <w:rsid w:val="004C3110"/>
    <w:rsid w:val="004C3813"/>
    <w:rsid w:val="004C3E92"/>
    <w:rsid w:val="004C46D0"/>
    <w:rsid w:val="004C6BEB"/>
    <w:rsid w:val="004C73C3"/>
    <w:rsid w:val="004D1F1F"/>
    <w:rsid w:val="004D33C1"/>
    <w:rsid w:val="004D46DE"/>
    <w:rsid w:val="004D4DC0"/>
    <w:rsid w:val="004D7324"/>
    <w:rsid w:val="004D776E"/>
    <w:rsid w:val="004E0982"/>
    <w:rsid w:val="004E23CA"/>
    <w:rsid w:val="004E46E4"/>
    <w:rsid w:val="004E68AF"/>
    <w:rsid w:val="004E7BC4"/>
    <w:rsid w:val="004F1C23"/>
    <w:rsid w:val="004F2ED5"/>
    <w:rsid w:val="004F2ED6"/>
    <w:rsid w:val="004F3783"/>
    <w:rsid w:val="004F5AC2"/>
    <w:rsid w:val="004F696D"/>
    <w:rsid w:val="00501FBF"/>
    <w:rsid w:val="00502932"/>
    <w:rsid w:val="0050395E"/>
    <w:rsid w:val="005054DD"/>
    <w:rsid w:val="00505C8B"/>
    <w:rsid w:val="005071FD"/>
    <w:rsid w:val="00510763"/>
    <w:rsid w:val="0051089F"/>
    <w:rsid w:val="00512A5B"/>
    <w:rsid w:val="00513AAF"/>
    <w:rsid w:val="00520629"/>
    <w:rsid w:val="0052178E"/>
    <w:rsid w:val="005229DA"/>
    <w:rsid w:val="00524447"/>
    <w:rsid w:val="00525604"/>
    <w:rsid w:val="00530F0A"/>
    <w:rsid w:val="00531B42"/>
    <w:rsid w:val="005329F5"/>
    <w:rsid w:val="00536054"/>
    <w:rsid w:val="00536BFB"/>
    <w:rsid w:val="00537D12"/>
    <w:rsid w:val="00541888"/>
    <w:rsid w:val="00543F33"/>
    <w:rsid w:val="00544666"/>
    <w:rsid w:val="005450CB"/>
    <w:rsid w:val="00546807"/>
    <w:rsid w:val="00550D2D"/>
    <w:rsid w:val="005510CF"/>
    <w:rsid w:val="00554F44"/>
    <w:rsid w:val="00556B43"/>
    <w:rsid w:val="005643C1"/>
    <w:rsid w:val="0057366A"/>
    <w:rsid w:val="005801B4"/>
    <w:rsid w:val="00581542"/>
    <w:rsid w:val="00582CC0"/>
    <w:rsid w:val="00584579"/>
    <w:rsid w:val="0058536A"/>
    <w:rsid w:val="00585ED0"/>
    <w:rsid w:val="005868C3"/>
    <w:rsid w:val="0058799F"/>
    <w:rsid w:val="00590A60"/>
    <w:rsid w:val="00590E6B"/>
    <w:rsid w:val="00591B87"/>
    <w:rsid w:val="00592163"/>
    <w:rsid w:val="0059527E"/>
    <w:rsid w:val="00596427"/>
    <w:rsid w:val="005978BF"/>
    <w:rsid w:val="005A168F"/>
    <w:rsid w:val="005A3127"/>
    <w:rsid w:val="005A401F"/>
    <w:rsid w:val="005A5B3E"/>
    <w:rsid w:val="005A71AE"/>
    <w:rsid w:val="005B0AEC"/>
    <w:rsid w:val="005B11B3"/>
    <w:rsid w:val="005B3BDD"/>
    <w:rsid w:val="005B556D"/>
    <w:rsid w:val="005B79EB"/>
    <w:rsid w:val="005B7C97"/>
    <w:rsid w:val="005C08F9"/>
    <w:rsid w:val="005C1707"/>
    <w:rsid w:val="005C5D0D"/>
    <w:rsid w:val="005C6489"/>
    <w:rsid w:val="005D0E12"/>
    <w:rsid w:val="005D10B7"/>
    <w:rsid w:val="005D36F3"/>
    <w:rsid w:val="005D3955"/>
    <w:rsid w:val="005D46E2"/>
    <w:rsid w:val="005D51E4"/>
    <w:rsid w:val="005D5FD7"/>
    <w:rsid w:val="005E3039"/>
    <w:rsid w:val="005E3173"/>
    <w:rsid w:val="005E3C69"/>
    <w:rsid w:val="005E3FD7"/>
    <w:rsid w:val="005F2307"/>
    <w:rsid w:val="00602A11"/>
    <w:rsid w:val="00602BA3"/>
    <w:rsid w:val="006032D9"/>
    <w:rsid w:val="00603972"/>
    <w:rsid w:val="006043EC"/>
    <w:rsid w:val="0060481C"/>
    <w:rsid w:val="0060794A"/>
    <w:rsid w:val="006120C0"/>
    <w:rsid w:val="00612882"/>
    <w:rsid w:val="006128BE"/>
    <w:rsid w:val="00613642"/>
    <w:rsid w:val="00615663"/>
    <w:rsid w:val="00620078"/>
    <w:rsid w:val="006202EB"/>
    <w:rsid w:val="006227E7"/>
    <w:rsid w:val="00623513"/>
    <w:rsid w:val="00625609"/>
    <w:rsid w:val="00627228"/>
    <w:rsid w:val="006319AD"/>
    <w:rsid w:val="00633914"/>
    <w:rsid w:val="00637AC9"/>
    <w:rsid w:val="00641063"/>
    <w:rsid w:val="00643E76"/>
    <w:rsid w:val="006442E7"/>
    <w:rsid w:val="00645207"/>
    <w:rsid w:val="006472D3"/>
    <w:rsid w:val="006478BB"/>
    <w:rsid w:val="006507EA"/>
    <w:rsid w:val="00660E45"/>
    <w:rsid w:val="00662C4B"/>
    <w:rsid w:val="006672BC"/>
    <w:rsid w:val="006720AF"/>
    <w:rsid w:val="00673EB9"/>
    <w:rsid w:val="00674F00"/>
    <w:rsid w:val="00677557"/>
    <w:rsid w:val="00681D58"/>
    <w:rsid w:val="006821D4"/>
    <w:rsid w:val="006902AE"/>
    <w:rsid w:val="006A1ED4"/>
    <w:rsid w:val="006A493A"/>
    <w:rsid w:val="006B102F"/>
    <w:rsid w:val="006B69FF"/>
    <w:rsid w:val="006C0C48"/>
    <w:rsid w:val="006C194F"/>
    <w:rsid w:val="006C22CB"/>
    <w:rsid w:val="006C2347"/>
    <w:rsid w:val="006C4884"/>
    <w:rsid w:val="006C4D63"/>
    <w:rsid w:val="006C71EE"/>
    <w:rsid w:val="006D0732"/>
    <w:rsid w:val="006D23B9"/>
    <w:rsid w:val="006D2B18"/>
    <w:rsid w:val="006D5FED"/>
    <w:rsid w:val="006D73AA"/>
    <w:rsid w:val="006E032D"/>
    <w:rsid w:val="006E4BC4"/>
    <w:rsid w:val="006E548E"/>
    <w:rsid w:val="006E72BE"/>
    <w:rsid w:val="006F2251"/>
    <w:rsid w:val="006F22A1"/>
    <w:rsid w:val="006F3339"/>
    <w:rsid w:val="006F56BF"/>
    <w:rsid w:val="006F6FDD"/>
    <w:rsid w:val="006F7099"/>
    <w:rsid w:val="007014EB"/>
    <w:rsid w:val="00704756"/>
    <w:rsid w:val="0070588A"/>
    <w:rsid w:val="007100D6"/>
    <w:rsid w:val="007108F5"/>
    <w:rsid w:val="00711BB3"/>
    <w:rsid w:val="00711DA0"/>
    <w:rsid w:val="0071228B"/>
    <w:rsid w:val="007141C1"/>
    <w:rsid w:val="00723168"/>
    <w:rsid w:val="007231E8"/>
    <w:rsid w:val="007256C2"/>
    <w:rsid w:val="00730A0F"/>
    <w:rsid w:val="00732DD4"/>
    <w:rsid w:val="007367DF"/>
    <w:rsid w:val="00737103"/>
    <w:rsid w:val="007419A7"/>
    <w:rsid w:val="00742610"/>
    <w:rsid w:val="007477F3"/>
    <w:rsid w:val="00747E76"/>
    <w:rsid w:val="007550BE"/>
    <w:rsid w:val="0075668B"/>
    <w:rsid w:val="00756D1F"/>
    <w:rsid w:val="00760887"/>
    <w:rsid w:val="007647EC"/>
    <w:rsid w:val="0076620E"/>
    <w:rsid w:val="007666D6"/>
    <w:rsid w:val="00767E39"/>
    <w:rsid w:val="00774E52"/>
    <w:rsid w:val="00776431"/>
    <w:rsid w:val="00780961"/>
    <w:rsid w:val="00781C38"/>
    <w:rsid w:val="00782440"/>
    <w:rsid w:val="00782BB6"/>
    <w:rsid w:val="0078440B"/>
    <w:rsid w:val="00786C5E"/>
    <w:rsid w:val="00786D19"/>
    <w:rsid w:val="00793AB7"/>
    <w:rsid w:val="00793F62"/>
    <w:rsid w:val="00795AE6"/>
    <w:rsid w:val="007A1187"/>
    <w:rsid w:val="007A1E4D"/>
    <w:rsid w:val="007A4BD3"/>
    <w:rsid w:val="007A61FD"/>
    <w:rsid w:val="007A6CFA"/>
    <w:rsid w:val="007B3847"/>
    <w:rsid w:val="007B40DF"/>
    <w:rsid w:val="007B56F5"/>
    <w:rsid w:val="007B585F"/>
    <w:rsid w:val="007B5F02"/>
    <w:rsid w:val="007B6AAD"/>
    <w:rsid w:val="007C043E"/>
    <w:rsid w:val="007C06D7"/>
    <w:rsid w:val="007C1933"/>
    <w:rsid w:val="007C230F"/>
    <w:rsid w:val="007C3EE5"/>
    <w:rsid w:val="007C6FEE"/>
    <w:rsid w:val="007D39DC"/>
    <w:rsid w:val="007D44CF"/>
    <w:rsid w:val="007D6846"/>
    <w:rsid w:val="007E086A"/>
    <w:rsid w:val="007E0877"/>
    <w:rsid w:val="007E1033"/>
    <w:rsid w:val="007E4E32"/>
    <w:rsid w:val="007E4FBF"/>
    <w:rsid w:val="007E6046"/>
    <w:rsid w:val="007E70A6"/>
    <w:rsid w:val="007F089B"/>
    <w:rsid w:val="007F1337"/>
    <w:rsid w:val="007F1B74"/>
    <w:rsid w:val="007F3646"/>
    <w:rsid w:val="007F3BDE"/>
    <w:rsid w:val="007F5099"/>
    <w:rsid w:val="007F5865"/>
    <w:rsid w:val="007F5AA5"/>
    <w:rsid w:val="007F76B7"/>
    <w:rsid w:val="00801B01"/>
    <w:rsid w:val="00802A26"/>
    <w:rsid w:val="00802B30"/>
    <w:rsid w:val="00803131"/>
    <w:rsid w:val="00803547"/>
    <w:rsid w:val="00804939"/>
    <w:rsid w:val="008070F7"/>
    <w:rsid w:val="008124A3"/>
    <w:rsid w:val="008126D7"/>
    <w:rsid w:val="00815926"/>
    <w:rsid w:val="00815DE7"/>
    <w:rsid w:val="008174D3"/>
    <w:rsid w:val="00817C9E"/>
    <w:rsid w:val="00823B51"/>
    <w:rsid w:val="00824359"/>
    <w:rsid w:val="00825705"/>
    <w:rsid w:val="00826174"/>
    <w:rsid w:val="00826176"/>
    <w:rsid w:val="00827755"/>
    <w:rsid w:val="0083027C"/>
    <w:rsid w:val="00831150"/>
    <w:rsid w:val="00831653"/>
    <w:rsid w:val="0083223E"/>
    <w:rsid w:val="008409CA"/>
    <w:rsid w:val="00847F97"/>
    <w:rsid w:val="00850D2B"/>
    <w:rsid w:val="00851D36"/>
    <w:rsid w:val="00853F8F"/>
    <w:rsid w:val="008564B3"/>
    <w:rsid w:val="0085690E"/>
    <w:rsid w:val="00862FF1"/>
    <w:rsid w:val="0086637D"/>
    <w:rsid w:val="00870A0E"/>
    <w:rsid w:val="008732A9"/>
    <w:rsid w:val="008733EB"/>
    <w:rsid w:val="0087414A"/>
    <w:rsid w:val="00875C67"/>
    <w:rsid w:val="0087611A"/>
    <w:rsid w:val="008767A6"/>
    <w:rsid w:val="0087715C"/>
    <w:rsid w:val="008777D1"/>
    <w:rsid w:val="0088475E"/>
    <w:rsid w:val="008872D0"/>
    <w:rsid w:val="0088769F"/>
    <w:rsid w:val="00890469"/>
    <w:rsid w:val="008909ED"/>
    <w:rsid w:val="00897AB6"/>
    <w:rsid w:val="008A00A9"/>
    <w:rsid w:val="008A0207"/>
    <w:rsid w:val="008A1E8F"/>
    <w:rsid w:val="008A3335"/>
    <w:rsid w:val="008A3ECA"/>
    <w:rsid w:val="008A4971"/>
    <w:rsid w:val="008A5816"/>
    <w:rsid w:val="008A5826"/>
    <w:rsid w:val="008B186E"/>
    <w:rsid w:val="008B26CE"/>
    <w:rsid w:val="008B2CC6"/>
    <w:rsid w:val="008B2E21"/>
    <w:rsid w:val="008B31E6"/>
    <w:rsid w:val="008B62A0"/>
    <w:rsid w:val="008C0074"/>
    <w:rsid w:val="008C1450"/>
    <w:rsid w:val="008C1AA6"/>
    <w:rsid w:val="008C61B6"/>
    <w:rsid w:val="008C691E"/>
    <w:rsid w:val="008C6C65"/>
    <w:rsid w:val="008C6F7C"/>
    <w:rsid w:val="008C73A4"/>
    <w:rsid w:val="008D0DA9"/>
    <w:rsid w:val="008D38C9"/>
    <w:rsid w:val="008D741C"/>
    <w:rsid w:val="008E0321"/>
    <w:rsid w:val="008E1D30"/>
    <w:rsid w:val="008E474B"/>
    <w:rsid w:val="008E7169"/>
    <w:rsid w:val="008E7A03"/>
    <w:rsid w:val="008F0E3D"/>
    <w:rsid w:val="008F238F"/>
    <w:rsid w:val="008F4150"/>
    <w:rsid w:val="008F56EE"/>
    <w:rsid w:val="008F629F"/>
    <w:rsid w:val="0090057F"/>
    <w:rsid w:val="00901B76"/>
    <w:rsid w:val="00902575"/>
    <w:rsid w:val="00905E85"/>
    <w:rsid w:val="009119AC"/>
    <w:rsid w:val="00913A20"/>
    <w:rsid w:val="00917FDC"/>
    <w:rsid w:val="00920B8E"/>
    <w:rsid w:val="00921931"/>
    <w:rsid w:val="0092541D"/>
    <w:rsid w:val="00925D46"/>
    <w:rsid w:val="00926BF1"/>
    <w:rsid w:val="009314F3"/>
    <w:rsid w:val="00935E0F"/>
    <w:rsid w:val="00940591"/>
    <w:rsid w:val="00945084"/>
    <w:rsid w:val="0094666F"/>
    <w:rsid w:val="00951F77"/>
    <w:rsid w:val="00952270"/>
    <w:rsid w:val="00953053"/>
    <w:rsid w:val="009552AA"/>
    <w:rsid w:val="00957361"/>
    <w:rsid w:val="00957379"/>
    <w:rsid w:val="00961F46"/>
    <w:rsid w:val="00962B4D"/>
    <w:rsid w:val="00965978"/>
    <w:rsid w:val="00972993"/>
    <w:rsid w:val="0097715B"/>
    <w:rsid w:val="0097733A"/>
    <w:rsid w:val="009816B8"/>
    <w:rsid w:val="0098595A"/>
    <w:rsid w:val="00985B1F"/>
    <w:rsid w:val="00987E2D"/>
    <w:rsid w:val="0099148F"/>
    <w:rsid w:val="00992F7C"/>
    <w:rsid w:val="00994636"/>
    <w:rsid w:val="009A241F"/>
    <w:rsid w:val="009A3A71"/>
    <w:rsid w:val="009A550A"/>
    <w:rsid w:val="009A5E01"/>
    <w:rsid w:val="009A6866"/>
    <w:rsid w:val="009B4127"/>
    <w:rsid w:val="009B70C1"/>
    <w:rsid w:val="009C108E"/>
    <w:rsid w:val="009C3F79"/>
    <w:rsid w:val="009C69E9"/>
    <w:rsid w:val="009C6D54"/>
    <w:rsid w:val="009D23EC"/>
    <w:rsid w:val="009D317E"/>
    <w:rsid w:val="009D422D"/>
    <w:rsid w:val="009D4DA1"/>
    <w:rsid w:val="009D6D77"/>
    <w:rsid w:val="009D7E3B"/>
    <w:rsid w:val="009E1CA3"/>
    <w:rsid w:val="009E224F"/>
    <w:rsid w:val="009E6BD4"/>
    <w:rsid w:val="009F45B1"/>
    <w:rsid w:val="009F4C55"/>
    <w:rsid w:val="009F5A3C"/>
    <w:rsid w:val="009F7049"/>
    <w:rsid w:val="00A01BC6"/>
    <w:rsid w:val="00A01C95"/>
    <w:rsid w:val="00A02926"/>
    <w:rsid w:val="00A075D1"/>
    <w:rsid w:val="00A1102E"/>
    <w:rsid w:val="00A11494"/>
    <w:rsid w:val="00A1675D"/>
    <w:rsid w:val="00A209C0"/>
    <w:rsid w:val="00A210F3"/>
    <w:rsid w:val="00A21546"/>
    <w:rsid w:val="00A231A9"/>
    <w:rsid w:val="00A265AA"/>
    <w:rsid w:val="00A26B61"/>
    <w:rsid w:val="00A307D5"/>
    <w:rsid w:val="00A35911"/>
    <w:rsid w:val="00A36AEA"/>
    <w:rsid w:val="00A36AFE"/>
    <w:rsid w:val="00A4158F"/>
    <w:rsid w:val="00A41958"/>
    <w:rsid w:val="00A42266"/>
    <w:rsid w:val="00A422BF"/>
    <w:rsid w:val="00A42526"/>
    <w:rsid w:val="00A42853"/>
    <w:rsid w:val="00A43646"/>
    <w:rsid w:val="00A43BD2"/>
    <w:rsid w:val="00A441F0"/>
    <w:rsid w:val="00A44F05"/>
    <w:rsid w:val="00A44F87"/>
    <w:rsid w:val="00A46EB3"/>
    <w:rsid w:val="00A515FB"/>
    <w:rsid w:val="00A52E8F"/>
    <w:rsid w:val="00A54E0F"/>
    <w:rsid w:val="00A604D2"/>
    <w:rsid w:val="00A63B2F"/>
    <w:rsid w:val="00A647B5"/>
    <w:rsid w:val="00A7046B"/>
    <w:rsid w:val="00A77495"/>
    <w:rsid w:val="00A81497"/>
    <w:rsid w:val="00A8209E"/>
    <w:rsid w:val="00A84BB5"/>
    <w:rsid w:val="00A87546"/>
    <w:rsid w:val="00A9331C"/>
    <w:rsid w:val="00A93A8B"/>
    <w:rsid w:val="00A95590"/>
    <w:rsid w:val="00A95AE5"/>
    <w:rsid w:val="00A968A8"/>
    <w:rsid w:val="00A97939"/>
    <w:rsid w:val="00AA29D7"/>
    <w:rsid w:val="00AA4E41"/>
    <w:rsid w:val="00AA7310"/>
    <w:rsid w:val="00AB300B"/>
    <w:rsid w:val="00AB5FC7"/>
    <w:rsid w:val="00AB7C6B"/>
    <w:rsid w:val="00AB7D6B"/>
    <w:rsid w:val="00AC0188"/>
    <w:rsid w:val="00AC1CCA"/>
    <w:rsid w:val="00AC51FE"/>
    <w:rsid w:val="00AC6392"/>
    <w:rsid w:val="00AD0F55"/>
    <w:rsid w:val="00AD2B9F"/>
    <w:rsid w:val="00AE047B"/>
    <w:rsid w:val="00AE14B5"/>
    <w:rsid w:val="00AE3872"/>
    <w:rsid w:val="00AE5055"/>
    <w:rsid w:val="00AE5ECD"/>
    <w:rsid w:val="00AE6C74"/>
    <w:rsid w:val="00AE6F37"/>
    <w:rsid w:val="00AF247C"/>
    <w:rsid w:val="00AF3B31"/>
    <w:rsid w:val="00AF3BFC"/>
    <w:rsid w:val="00AF6DC7"/>
    <w:rsid w:val="00AF7191"/>
    <w:rsid w:val="00AF7800"/>
    <w:rsid w:val="00AF7F14"/>
    <w:rsid w:val="00B00536"/>
    <w:rsid w:val="00B0081D"/>
    <w:rsid w:val="00B00A37"/>
    <w:rsid w:val="00B03348"/>
    <w:rsid w:val="00B034A4"/>
    <w:rsid w:val="00B06782"/>
    <w:rsid w:val="00B07F3C"/>
    <w:rsid w:val="00B10292"/>
    <w:rsid w:val="00B124BD"/>
    <w:rsid w:val="00B12691"/>
    <w:rsid w:val="00B15598"/>
    <w:rsid w:val="00B15B5B"/>
    <w:rsid w:val="00B16C06"/>
    <w:rsid w:val="00B20887"/>
    <w:rsid w:val="00B21B31"/>
    <w:rsid w:val="00B23001"/>
    <w:rsid w:val="00B24094"/>
    <w:rsid w:val="00B24859"/>
    <w:rsid w:val="00B25378"/>
    <w:rsid w:val="00B25812"/>
    <w:rsid w:val="00B266A6"/>
    <w:rsid w:val="00B2784C"/>
    <w:rsid w:val="00B30526"/>
    <w:rsid w:val="00B31525"/>
    <w:rsid w:val="00B3460E"/>
    <w:rsid w:val="00B35A3C"/>
    <w:rsid w:val="00B35FA8"/>
    <w:rsid w:val="00B367E9"/>
    <w:rsid w:val="00B40156"/>
    <w:rsid w:val="00B40C43"/>
    <w:rsid w:val="00B41D86"/>
    <w:rsid w:val="00B420D0"/>
    <w:rsid w:val="00B45B09"/>
    <w:rsid w:val="00B4692B"/>
    <w:rsid w:val="00B50ACA"/>
    <w:rsid w:val="00B52F38"/>
    <w:rsid w:val="00B54B78"/>
    <w:rsid w:val="00B54FAA"/>
    <w:rsid w:val="00B550F8"/>
    <w:rsid w:val="00B56432"/>
    <w:rsid w:val="00B609E4"/>
    <w:rsid w:val="00B61002"/>
    <w:rsid w:val="00B629B5"/>
    <w:rsid w:val="00B63B65"/>
    <w:rsid w:val="00B668E3"/>
    <w:rsid w:val="00B71D4C"/>
    <w:rsid w:val="00B71E17"/>
    <w:rsid w:val="00B72492"/>
    <w:rsid w:val="00B72E60"/>
    <w:rsid w:val="00B7427D"/>
    <w:rsid w:val="00B751CD"/>
    <w:rsid w:val="00B75DDB"/>
    <w:rsid w:val="00B77E47"/>
    <w:rsid w:val="00B82DC1"/>
    <w:rsid w:val="00B846C7"/>
    <w:rsid w:val="00B86DCA"/>
    <w:rsid w:val="00B8788F"/>
    <w:rsid w:val="00B87931"/>
    <w:rsid w:val="00B91904"/>
    <w:rsid w:val="00BA0D07"/>
    <w:rsid w:val="00BA61C4"/>
    <w:rsid w:val="00BA70C9"/>
    <w:rsid w:val="00BB0AA6"/>
    <w:rsid w:val="00BB2EC8"/>
    <w:rsid w:val="00BB3C81"/>
    <w:rsid w:val="00BC08FF"/>
    <w:rsid w:val="00BC10C0"/>
    <w:rsid w:val="00BC17F6"/>
    <w:rsid w:val="00BC247D"/>
    <w:rsid w:val="00BC3991"/>
    <w:rsid w:val="00BC5435"/>
    <w:rsid w:val="00BD4E63"/>
    <w:rsid w:val="00BE1CD2"/>
    <w:rsid w:val="00BE1EED"/>
    <w:rsid w:val="00BE2A78"/>
    <w:rsid w:val="00BE3708"/>
    <w:rsid w:val="00BF06FF"/>
    <w:rsid w:val="00BF1E89"/>
    <w:rsid w:val="00BF298B"/>
    <w:rsid w:val="00BF3FFD"/>
    <w:rsid w:val="00BF6488"/>
    <w:rsid w:val="00C0058B"/>
    <w:rsid w:val="00C0388C"/>
    <w:rsid w:val="00C058CB"/>
    <w:rsid w:val="00C06512"/>
    <w:rsid w:val="00C06BB4"/>
    <w:rsid w:val="00C076BE"/>
    <w:rsid w:val="00C07CA7"/>
    <w:rsid w:val="00C12C6C"/>
    <w:rsid w:val="00C12EAB"/>
    <w:rsid w:val="00C1356E"/>
    <w:rsid w:val="00C215C5"/>
    <w:rsid w:val="00C22E43"/>
    <w:rsid w:val="00C24B37"/>
    <w:rsid w:val="00C3024B"/>
    <w:rsid w:val="00C33FCA"/>
    <w:rsid w:val="00C3532D"/>
    <w:rsid w:val="00C36E01"/>
    <w:rsid w:val="00C422F9"/>
    <w:rsid w:val="00C43533"/>
    <w:rsid w:val="00C43FED"/>
    <w:rsid w:val="00C446CB"/>
    <w:rsid w:val="00C450C5"/>
    <w:rsid w:val="00C45C72"/>
    <w:rsid w:val="00C47145"/>
    <w:rsid w:val="00C47CFD"/>
    <w:rsid w:val="00C50835"/>
    <w:rsid w:val="00C5265F"/>
    <w:rsid w:val="00C54D16"/>
    <w:rsid w:val="00C54E7B"/>
    <w:rsid w:val="00C55165"/>
    <w:rsid w:val="00C5567C"/>
    <w:rsid w:val="00C60DD7"/>
    <w:rsid w:val="00C618C0"/>
    <w:rsid w:val="00C66326"/>
    <w:rsid w:val="00C67A2A"/>
    <w:rsid w:val="00C72038"/>
    <w:rsid w:val="00C74C05"/>
    <w:rsid w:val="00C74E88"/>
    <w:rsid w:val="00C765C6"/>
    <w:rsid w:val="00C853BF"/>
    <w:rsid w:val="00C8654C"/>
    <w:rsid w:val="00C87A71"/>
    <w:rsid w:val="00C91946"/>
    <w:rsid w:val="00C97810"/>
    <w:rsid w:val="00CA04FD"/>
    <w:rsid w:val="00CA0F0B"/>
    <w:rsid w:val="00CA1661"/>
    <w:rsid w:val="00CB074B"/>
    <w:rsid w:val="00CB112C"/>
    <w:rsid w:val="00CB1605"/>
    <w:rsid w:val="00CB18A0"/>
    <w:rsid w:val="00CB1E09"/>
    <w:rsid w:val="00CB38C5"/>
    <w:rsid w:val="00CC0D12"/>
    <w:rsid w:val="00CC1049"/>
    <w:rsid w:val="00CC32A8"/>
    <w:rsid w:val="00CC61C5"/>
    <w:rsid w:val="00CC73A6"/>
    <w:rsid w:val="00CD1593"/>
    <w:rsid w:val="00CD5AC1"/>
    <w:rsid w:val="00CD6464"/>
    <w:rsid w:val="00CD6B45"/>
    <w:rsid w:val="00CD6F29"/>
    <w:rsid w:val="00CE5FE3"/>
    <w:rsid w:val="00CE666F"/>
    <w:rsid w:val="00CF0233"/>
    <w:rsid w:val="00CF5EE8"/>
    <w:rsid w:val="00CF6E5B"/>
    <w:rsid w:val="00CF704E"/>
    <w:rsid w:val="00D011B5"/>
    <w:rsid w:val="00D03B6A"/>
    <w:rsid w:val="00D04F86"/>
    <w:rsid w:val="00D051CC"/>
    <w:rsid w:val="00D05E7A"/>
    <w:rsid w:val="00D06C8F"/>
    <w:rsid w:val="00D07ED8"/>
    <w:rsid w:val="00D13162"/>
    <w:rsid w:val="00D1452C"/>
    <w:rsid w:val="00D14FA3"/>
    <w:rsid w:val="00D174F0"/>
    <w:rsid w:val="00D2276E"/>
    <w:rsid w:val="00D22A24"/>
    <w:rsid w:val="00D23CC7"/>
    <w:rsid w:val="00D24975"/>
    <w:rsid w:val="00D25C32"/>
    <w:rsid w:val="00D26C8A"/>
    <w:rsid w:val="00D30203"/>
    <w:rsid w:val="00D313AA"/>
    <w:rsid w:val="00D31799"/>
    <w:rsid w:val="00D34A02"/>
    <w:rsid w:val="00D35DBC"/>
    <w:rsid w:val="00D37E03"/>
    <w:rsid w:val="00D43E56"/>
    <w:rsid w:val="00D50D60"/>
    <w:rsid w:val="00D51320"/>
    <w:rsid w:val="00D53459"/>
    <w:rsid w:val="00D55CD6"/>
    <w:rsid w:val="00D56A5C"/>
    <w:rsid w:val="00D600ED"/>
    <w:rsid w:val="00D60327"/>
    <w:rsid w:val="00D61074"/>
    <w:rsid w:val="00D6115F"/>
    <w:rsid w:val="00D634AF"/>
    <w:rsid w:val="00D64A48"/>
    <w:rsid w:val="00D64B16"/>
    <w:rsid w:val="00D67570"/>
    <w:rsid w:val="00D74324"/>
    <w:rsid w:val="00D7444A"/>
    <w:rsid w:val="00D74D6B"/>
    <w:rsid w:val="00D7579A"/>
    <w:rsid w:val="00D76F14"/>
    <w:rsid w:val="00D83687"/>
    <w:rsid w:val="00D94353"/>
    <w:rsid w:val="00D952F7"/>
    <w:rsid w:val="00D97B4D"/>
    <w:rsid w:val="00DA1109"/>
    <w:rsid w:val="00DA32DE"/>
    <w:rsid w:val="00DA35C6"/>
    <w:rsid w:val="00DA5461"/>
    <w:rsid w:val="00DA5AD3"/>
    <w:rsid w:val="00DA66FB"/>
    <w:rsid w:val="00DA6B4B"/>
    <w:rsid w:val="00DA6F8C"/>
    <w:rsid w:val="00DA711B"/>
    <w:rsid w:val="00DA7A49"/>
    <w:rsid w:val="00DB5BCD"/>
    <w:rsid w:val="00DB7075"/>
    <w:rsid w:val="00DC1F96"/>
    <w:rsid w:val="00DC20A1"/>
    <w:rsid w:val="00DC24C3"/>
    <w:rsid w:val="00DC2B44"/>
    <w:rsid w:val="00DC2E72"/>
    <w:rsid w:val="00DC3646"/>
    <w:rsid w:val="00DC539D"/>
    <w:rsid w:val="00DC5561"/>
    <w:rsid w:val="00DC5770"/>
    <w:rsid w:val="00DC7E69"/>
    <w:rsid w:val="00DD3D8D"/>
    <w:rsid w:val="00DD5136"/>
    <w:rsid w:val="00DE7827"/>
    <w:rsid w:val="00DF2631"/>
    <w:rsid w:val="00DF2C9C"/>
    <w:rsid w:val="00DF451F"/>
    <w:rsid w:val="00DF5B19"/>
    <w:rsid w:val="00DF7B9D"/>
    <w:rsid w:val="00E01E81"/>
    <w:rsid w:val="00E023D8"/>
    <w:rsid w:val="00E035A1"/>
    <w:rsid w:val="00E0363B"/>
    <w:rsid w:val="00E03951"/>
    <w:rsid w:val="00E03DE8"/>
    <w:rsid w:val="00E03EC9"/>
    <w:rsid w:val="00E04376"/>
    <w:rsid w:val="00E06FBF"/>
    <w:rsid w:val="00E07FD0"/>
    <w:rsid w:val="00E14152"/>
    <w:rsid w:val="00E14A89"/>
    <w:rsid w:val="00E1580F"/>
    <w:rsid w:val="00E17300"/>
    <w:rsid w:val="00E22B71"/>
    <w:rsid w:val="00E27993"/>
    <w:rsid w:val="00E27BED"/>
    <w:rsid w:val="00E33A2C"/>
    <w:rsid w:val="00E33C58"/>
    <w:rsid w:val="00E33CED"/>
    <w:rsid w:val="00E351A6"/>
    <w:rsid w:val="00E36F25"/>
    <w:rsid w:val="00E43E3E"/>
    <w:rsid w:val="00E45995"/>
    <w:rsid w:val="00E54298"/>
    <w:rsid w:val="00E543F1"/>
    <w:rsid w:val="00E565E1"/>
    <w:rsid w:val="00E6023C"/>
    <w:rsid w:val="00E66F74"/>
    <w:rsid w:val="00E67738"/>
    <w:rsid w:val="00E72B59"/>
    <w:rsid w:val="00E741C2"/>
    <w:rsid w:val="00E752D5"/>
    <w:rsid w:val="00E75BA9"/>
    <w:rsid w:val="00E762F0"/>
    <w:rsid w:val="00E769EA"/>
    <w:rsid w:val="00E81F81"/>
    <w:rsid w:val="00E82EA4"/>
    <w:rsid w:val="00E839A3"/>
    <w:rsid w:val="00E83D5A"/>
    <w:rsid w:val="00E8621B"/>
    <w:rsid w:val="00E86F73"/>
    <w:rsid w:val="00E86FA4"/>
    <w:rsid w:val="00E877ED"/>
    <w:rsid w:val="00E90044"/>
    <w:rsid w:val="00E90503"/>
    <w:rsid w:val="00E90D7D"/>
    <w:rsid w:val="00E91D4A"/>
    <w:rsid w:val="00E93778"/>
    <w:rsid w:val="00E93CA5"/>
    <w:rsid w:val="00E9599B"/>
    <w:rsid w:val="00E961AB"/>
    <w:rsid w:val="00E967E3"/>
    <w:rsid w:val="00E97BC7"/>
    <w:rsid w:val="00EA2038"/>
    <w:rsid w:val="00EA4720"/>
    <w:rsid w:val="00EB1782"/>
    <w:rsid w:val="00EB1A5D"/>
    <w:rsid w:val="00EB1EBB"/>
    <w:rsid w:val="00EB5589"/>
    <w:rsid w:val="00EB5E0F"/>
    <w:rsid w:val="00EB6893"/>
    <w:rsid w:val="00EB7098"/>
    <w:rsid w:val="00EC6A47"/>
    <w:rsid w:val="00EC74E8"/>
    <w:rsid w:val="00EC7F48"/>
    <w:rsid w:val="00ED15EB"/>
    <w:rsid w:val="00ED20D0"/>
    <w:rsid w:val="00ED2C72"/>
    <w:rsid w:val="00ED2DEC"/>
    <w:rsid w:val="00ED3112"/>
    <w:rsid w:val="00ED3372"/>
    <w:rsid w:val="00ED3D51"/>
    <w:rsid w:val="00ED5D86"/>
    <w:rsid w:val="00EE12ED"/>
    <w:rsid w:val="00EE5A1A"/>
    <w:rsid w:val="00EE6E38"/>
    <w:rsid w:val="00EF155F"/>
    <w:rsid w:val="00EF40CF"/>
    <w:rsid w:val="00EF48B1"/>
    <w:rsid w:val="00EF5B55"/>
    <w:rsid w:val="00EF6FFD"/>
    <w:rsid w:val="00F002A8"/>
    <w:rsid w:val="00F0523E"/>
    <w:rsid w:val="00F10AB0"/>
    <w:rsid w:val="00F11903"/>
    <w:rsid w:val="00F12076"/>
    <w:rsid w:val="00F14BD6"/>
    <w:rsid w:val="00F1709A"/>
    <w:rsid w:val="00F22D49"/>
    <w:rsid w:val="00F272A8"/>
    <w:rsid w:val="00F31EC4"/>
    <w:rsid w:val="00F324C5"/>
    <w:rsid w:val="00F3378D"/>
    <w:rsid w:val="00F344E6"/>
    <w:rsid w:val="00F3553B"/>
    <w:rsid w:val="00F35CE7"/>
    <w:rsid w:val="00F36185"/>
    <w:rsid w:val="00F40224"/>
    <w:rsid w:val="00F415AA"/>
    <w:rsid w:val="00F41D44"/>
    <w:rsid w:val="00F507F1"/>
    <w:rsid w:val="00F53423"/>
    <w:rsid w:val="00F54B4B"/>
    <w:rsid w:val="00F56BF8"/>
    <w:rsid w:val="00F56F72"/>
    <w:rsid w:val="00F57EF7"/>
    <w:rsid w:val="00F60698"/>
    <w:rsid w:val="00F607A6"/>
    <w:rsid w:val="00F61BF1"/>
    <w:rsid w:val="00F63D67"/>
    <w:rsid w:val="00F63F5D"/>
    <w:rsid w:val="00F656DA"/>
    <w:rsid w:val="00F658FC"/>
    <w:rsid w:val="00F665B0"/>
    <w:rsid w:val="00F674ED"/>
    <w:rsid w:val="00F70F2E"/>
    <w:rsid w:val="00F72294"/>
    <w:rsid w:val="00F73BC3"/>
    <w:rsid w:val="00F765B0"/>
    <w:rsid w:val="00F814FE"/>
    <w:rsid w:val="00F83AEE"/>
    <w:rsid w:val="00F84D4A"/>
    <w:rsid w:val="00F85A3E"/>
    <w:rsid w:val="00F86C47"/>
    <w:rsid w:val="00F974D9"/>
    <w:rsid w:val="00FA17ED"/>
    <w:rsid w:val="00FA20B2"/>
    <w:rsid w:val="00FA2693"/>
    <w:rsid w:val="00FA2D90"/>
    <w:rsid w:val="00FA30A5"/>
    <w:rsid w:val="00FA516B"/>
    <w:rsid w:val="00FA56EA"/>
    <w:rsid w:val="00FA643A"/>
    <w:rsid w:val="00FA684F"/>
    <w:rsid w:val="00FA7696"/>
    <w:rsid w:val="00FB3E17"/>
    <w:rsid w:val="00FB55D3"/>
    <w:rsid w:val="00FB725E"/>
    <w:rsid w:val="00FB7E04"/>
    <w:rsid w:val="00FC16AB"/>
    <w:rsid w:val="00FC29B0"/>
    <w:rsid w:val="00FC36F3"/>
    <w:rsid w:val="00FD0BFF"/>
    <w:rsid w:val="00FD14D4"/>
    <w:rsid w:val="00FD2A63"/>
    <w:rsid w:val="00FD79C9"/>
    <w:rsid w:val="00FE1443"/>
    <w:rsid w:val="00FE6053"/>
    <w:rsid w:val="00FE6C7D"/>
    <w:rsid w:val="00FE772C"/>
    <w:rsid w:val="00FF04D3"/>
    <w:rsid w:val="00FF2633"/>
    <w:rsid w:val="00FF2A94"/>
    <w:rsid w:val="03377526"/>
    <w:rsid w:val="09597661"/>
    <w:rsid w:val="24547620"/>
    <w:rsid w:val="2A651FD4"/>
    <w:rsid w:val="2C7850E3"/>
    <w:rsid w:val="2D5F55CD"/>
    <w:rsid w:val="2EBFF3A5"/>
    <w:rsid w:val="2F5CF7C2"/>
    <w:rsid w:val="2FCECD45"/>
    <w:rsid w:val="337BE2A9"/>
    <w:rsid w:val="39FC79AD"/>
    <w:rsid w:val="3B7D6B8E"/>
    <w:rsid w:val="3B914B04"/>
    <w:rsid w:val="3DA77C6B"/>
    <w:rsid w:val="3DFCF7E2"/>
    <w:rsid w:val="3ECFBD32"/>
    <w:rsid w:val="3EDE6D9C"/>
    <w:rsid w:val="3EDEAAD0"/>
    <w:rsid w:val="3F7FCAE0"/>
    <w:rsid w:val="40BF26F1"/>
    <w:rsid w:val="42504E5A"/>
    <w:rsid w:val="4BB7D28D"/>
    <w:rsid w:val="4EECD8CE"/>
    <w:rsid w:val="4FAF204D"/>
    <w:rsid w:val="5BB6B3AE"/>
    <w:rsid w:val="5BECA458"/>
    <w:rsid w:val="5DBE3222"/>
    <w:rsid w:val="5F7A9AC2"/>
    <w:rsid w:val="5FB1901F"/>
    <w:rsid w:val="604712FC"/>
    <w:rsid w:val="63974717"/>
    <w:rsid w:val="6DE69D1A"/>
    <w:rsid w:val="6FC154C5"/>
    <w:rsid w:val="6FE95466"/>
    <w:rsid w:val="709046D9"/>
    <w:rsid w:val="71F78BEA"/>
    <w:rsid w:val="751FC685"/>
    <w:rsid w:val="765A36D9"/>
    <w:rsid w:val="76C5C451"/>
    <w:rsid w:val="774B2524"/>
    <w:rsid w:val="77FF5AC0"/>
    <w:rsid w:val="77FF69AB"/>
    <w:rsid w:val="7A7ED268"/>
    <w:rsid w:val="7ACF8C00"/>
    <w:rsid w:val="7AEFA915"/>
    <w:rsid w:val="7B776DEF"/>
    <w:rsid w:val="7BF5E582"/>
    <w:rsid w:val="7BFDD0C1"/>
    <w:rsid w:val="7D3FDA96"/>
    <w:rsid w:val="7DA94CDA"/>
    <w:rsid w:val="7DF320A5"/>
    <w:rsid w:val="7DFB5CE4"/>
    <w:rsid w:val="7E5233FA"/>
    <w:rsid w:val="7E7F9C02"/>
    <w:rsid w:val="7F54E004"/>
    <w:rsid w:val="7F77C078"/>
    <w:rsid w:val="7FCFAB42"/>
    <w:rsid w:val="7FDF5DAD"/>
    <w:rsid w:val="7FFBAB92"/>
    <w:rsid w:val="7FFCBA11"/>
    <w:rsid w:val="7FFF4EB4"/>
    <w:rsid w:val="7FFF7077"/>
    <w:rsid w:val="9CEF62C3"/>
    <w:rsid w:val="A3CB5348"/>
    <w:rsid w:val="ADFB7149"/>
    <w:rsid w:val="AE4F603E"/>
    <w:rsid w:val="AFFE55C8"/>
    <w:rsid w:val="B3181752"/>
    <w:rsid w:val="B7DB230F"/>
    <w:rsid w:val="BBFBA793"/>
    <w:rsid w:val="BDF9F5E2"/>
    <w:rsid w:val="BF6FFF5D"/>
    <w:rsid w:val="C77DE95C"/>
    <w:rsid w:val="CBBBEF06"/>
    <w:rsid w:val="D7DEDA5E"/>
    <w:rsid w:val="D7FFC6CF"/>
    <w:rsid w:val="DAFF4DD6"/>
    <w:rsid w:val="DD37E191"/>
    <w:rsid w:val="DF5A01C2"/>
    <w:rsid w:val="DFD63DC8"/>
    <w:rsid w:val="DFDF42F6"/>
    <w:rsid w:val="E5EF1F62"/>
    <w:rsid w:val="E73CE5B2"/>
    <w:rsid w:val="E7D65F59"/>
    <w:rsid w:val="EB6F53D6"/>
    <w:rsid w:val="EDDD4AA1"/>
    <w:rsid w:val="EF4BE37A"/>
    <w:rsid w:val="EFAF22A9"/>
    <w:rsid w:val="F277472D"/>
    <w:rsid w:val="F2FB92EF"/>
    <w:rsid w:val="F2FD8F42"/>
    <w:rsid w:val="F3AFD055"/>
    <w:rsid w:val="F5FDA9FC"/>
    <w:rsid w:val="F667E37D"/>
    <w:rsid w:val="F66FEE8A"/>
    <w:rsid w:val="F7669676"/>
    <w:rsid w:val="F7DFFCC6"/>
    <w:rsid w:val="F7FFE9C5"/>
    <w:rsid w:val="FBDCCE5E"/>
    <w:rsid w:val="FC9F4D0F"/>
    <w:rsid w:val="FCEE921E"/>
    <w:rsid w:val="FDCFC3D9"/>
    <w:rsid w:val="FE8BBCDA"/>
    <w:rsid w:val="FF5F237D"/>
    <w:rsid w:val="FFBDFA1E"/>
    <w:rsid w:val="FFED8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kern w:val="0"/>
      <w:sz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customStyle="1" w:styleId="15">
    <w:name w:val="页脚 字符"/>
    <w:link w:val="7"/>
    <w:qFormat/>
    <w:uiPriority w:val="99"/>
    <w:rPr>
      <w:sz w:val="18"/>
      <w:szCs w:val="18"/>
    </w:rPr>
  </w:style>
  <w:style w:type="character" w:customStyle="1" w:styleId="16">
    <w:name w:val="页脚 Char"/>
    <w:basedOn w:val="11"/>
    <w:semiHidden/>
    <w:qFormat/>
    <w:uiPriority w:val="99"/>
    <w:rPr>
      <w:rFonts w:ascii="Times New Roman" w:hAnsi="Times New Roman" w:eastAsia="宋体" w:cs="Times New Roman"/>
      <w:sz w:val="18"/>
      <w:szCs w:val="18"/>
    </w:rPr>
  </w:style>
  <w:style w:type="paragraph" w:styleId="17">
    <w:name w:val="List Paragraph"/>
    <w:basedOn w:val="1"/>
    <w:qFormat/>
    <w:uiPriority w:val="99"/>
    <w:pPr>
      <w:widowControl/>
      <w:spacing w:after="13" w:line="353" w:lineRule="auto"/>
      <w:ind w:left="199" w:firstLine="420" w:firstLineChars="200"/>
      <w:jc w:val="left"/>
    </w:pPr>
    <w:rPr>
      <w:rFonts w:ascii="微软雅黑" w:hAnsi="微软雅黑" w:eastAsia="微软雅黑" w:cs="微软雅黑"/>
      <w:color w:val="000000"/>
      <w:sz w:val="32"/>
    </w:rPr>
  </w:style>
  <w:style w:type="character" w:customStyle="1" w:styleId="18">
    <w:name w:val="页眉 字符"/>
    <w:basedOn w:val="11"/>
    <w:link w:val="8"/>
    <w:qFormat/>
    <w:uiPriority w:val="99"/>
    <w:rPr>
      <w:rFonts w:ascii="Times New Roman" w:hAnsi="Times New Roman" w:eastAsia="宋体" w:cs="Times New Roman"/>
      <w:sz w:val="18"/>
      <w:szCs w:val="18"/>
    </w:rPr>
  </w:style>
  <w:style w:type="character" w:customStyle="1" w:styleId="19">
    <w:name w:val="标题 1 字符"/>
    <w:basedOn w:val="11"/>
    <w:link w:val="2"/>
    <w:qFormat/>
    <w:uiPriority w:val="9"/>
    <w:rPr>
      <w:rFonts w:ascii="宋体" w:hAnsi="宋体" w:eastAsia="宋体" w:cs="宋体"/>
      <w:b/>
      <w:bCs/>
      <w:kern w:val="36"/>
      <w:sz w:val="48"/>
      <w:szCs w:val="48"/>
    </w:rPr>
  </w:style>
  <w:style w:type="character" w:customStyle="1" w:styleId="20">
    <w:name w:val="标题 2 字符"/>
    <w:basedOn w:val="11"/>
    <w:link w:val="3"/>
    <w:qFormat/>
    <w:uiPriority w:val="9"/>
    <w:rPr>
      <w:rFonts w:asciiTheme="majorHAnsi" w:hAnsiTheme="majorHAnsi" w:eastAsiaTheme="majorEastAsia" w:cstheme="majorBidi"/>
      <w:b/>
      <w:bCs/>
      <w:sz w:val="32"/>
      <w:szCs w:val="32"/>
    </w:rPr>
  </w:style>
  <w:style w:type="character" w:customStyle="1" w:styleId="21">
    <w:name w:val="标题 3 字符"/>
    <w:basedOn w:val="11"/>
    <w:link w:val="4"/>
    <w:qFormat/>
    <w:uiPriority w:val="9"/>
    <w:rPr>
      <w:rFonts w:ascii="Times New Roman" w:hAnsi="Times New Roman" w:eastAsia="宋体" w:cs="Times New Roman"/>
      <w:b/>
      <w:bCs/>
      <w:sz w:val="32"/>
      <w:szCs w:val="32"/>
    </w:rPr>
  </w:style>
  <w:style w:type="character" w:customStyle="1" w:styleId="22">
    <w:name w:val="批注框文本 字符"/>
    <w:basedOn w:val="11"/>
    <w:link w:val="6"/>
    <w:semiHidden/>
    <w:qFormat/>
    <w:uiPriority w:val="99"/>
    <w:rPr>
      <w:rFonts w:ascii="Times New Roman" w:hAnsi="Times New Roman" w:eastAsia="宋体" w:cs="Times New Roman"/>
      <w:sz w:val="18"/>
      <w:szCs w:val="18"/>
    </w:rPr>
  </w:style>
  <w:style w:type="paragraph" w:customStyle="1" w:styleId="23">
    <w:name w:val="pb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日期 字符"/>
    <w:basedOn w:val="11"/>
    <w:link w:val="5"/>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13207</Words>
  <Characters>13611</Characters>
  <Lines>69</Lines>
  <Paragraphs>19</Paragraphs>
  <TotalTime>26</TotalTime>
  <ScaleCrop>false</ScaleCrop>
  <LinksUpToDate>false</LinksUpToDate>
  <CharactersWithSpaces>13747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2021-12-21T07:26:00Z</dcterms:created>
  <dc:creator>王静芳</dc:creator>
  <cp:lastModifiedBy>00yangj</cp:lastModifiedBy>
  <cp:lastPrinted>2021-12-25T17:45:00Z</cp:lastPrinted>
  <dcterms:modified xsi:type="dcterms:W3CDTF">2025-04-30T16:30:35Z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098F6465423947BAABDF1168DFF69693</vt:lpwstr>
  </property>
</Properties>
</file>