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EF082">
      <w:pPr>
        <w:adjustRightInd w:val="0"/>
        <w:snapToGrid w:val="0"/>
        <w:spacing w:line="360" w:lineRule="auto"/>
        <w:ind w:firstLine="0" w:firstLineChars="0"/>
        <w:jc w:val="center"/>
        <w:rPr>
          <w:rFonts w:ascii="黑体" w:hAnsi="黑体" w:eastAsia="黑体"/>
          <w:b/>
          <w:bCs/>
          <w:sz w:val="44"/>
          <w:szCs w:val="44"/>
        </w:rPr>
      </w:pPr>
      <w:r>
        <w:rPr>
          <w:rFonts w:hint="eastAsia" w:ascii="黑体" w:hAnsi="黑体" w:eastAsia="黑体"/>
          <w:b/>
          <w:bCs/>
          <w:sz w:val="44"/>
          <w:szCs w:val="44"/>
        </w:rPr>
        <w:t xml:space="preserve">      </w:t>
      </w:r>
    </w:p>
    <w:p w14:paraId="0BB6F0BA">
      <w:pPr>
        <w:adjustRightInd w:val="0"/>
        <w:snapToGrid w:val="0"/>
        <w:spacing w:line="360" w:lineRule="auto"/>
        <w:ind w:firstLine="0" w:firstLineChars="0"/>
        <w:jc w:val="center"/>
        <w:rPr>
          <w:rFonts w:ascii="黑体" w:hAnsi="黑体" w:eastAsia="黑体"/>
          <w:b/>
          <w:bCs/>
          <w:sz w:val="44"/>
          <w:szCs w:val="44"/>
        </w:rPr>
      </w:pPr>
    </w:p>
    <w:p w14:paraId="7B4E01B8">
      <w:pPr>
        <w:adjustRightInd w:val="0"/>
        <w:snapToGrid w:val="0"/>
        <w:spacing w:line="360" w:lineRule="auto"/>
        <w:ind w:firstLine="0" w:firstLineChars="0"/>
        <w:jc w:val="center"/>
        <w:rPr>
          <w:rFonts w:ascii="黑体" w:hAnsi="黑体" w:eastAsia="黑体"/>
          <w:b/>
          <w:bCs/>
          <w:sz w:val="44"/>
          <w:szCs w:val="44"/>
        </w:rPr>
      </w:pPr>
    </w:p>
    <w:p w14:paraId="17F61219">
      <w:pPr>
        <w:adjustRightInd w:val="0"/>
        <w:snapToGrid w:val="0"/>
        <w:spacing w:line="360" w:lineRule="auto"/>
        <w:ind w:firstLine="0" w:firstLineChars="0"/>
        <w:jc w:val="center"/>
        <w:rPr>
          <w:rFonts w:ascii="黑体" w:hAnsi="黑体" w:eastAsia="黑体"/>
          <w:b/>
          <w:bCs/>
          <w:sz w:val="44"/>
          <w:szCs w:val="44"/>
        </w:rPr>
      </w:pPr>
      <w:r>
        <w:rPr>
          <w:rFonts w:ascii="黑体" w:hAnsi="黑体" w:eastAsia="黑体"/>
          <w:b/>
          <w:bCs/>
          <w:sz w:val="44"/>
          <w:szCs w:val="44"/>
        </w:rPr>
        <w:t>金义新区（金东）综合交通运输</w:t>
      </w:r>
    </w:p>
    <w:p w14:paraId="573DA29C">
      <w:pPr>
        <w:adjustRightInd w:val="0"/>
        <w:snapToGrid w:val="0"/>
        <w:spacing w:line="360" w:lineRule="auto"/>
        <w:ind w:firstLine="0" w:firstLineChars="0"/>
        <w:jc w:val="center"/>
        <w:rPr>
          <w:rFonts w:ascii="黑体" w:hAnsi="黑体" w:eastAsia="黑体"/>
          <w:b/>
          <w:bCs/>
          <w:sz w:val="44"/>
          <w:szCs w:val="44"/>
        </w:rPr>
      </w:pPr>
      <w:r>
        <w:rPr>
          <w:rFonts w:hint="eastAsia" w:ascii="黑体" w:hAnsi="黑体" w:eastAsia="黑体"/>
          <w:b/>
          <w:bCs/>
          <w:sz w:val="44"/>
          <w:szCs w:val="44"/>
        </w:rPr>
        <w:t>“</w:t>
      </w:r>
      <w:r>
        <w:rPr>
          <w:rFonts w:ascii="黑体" w:hAnsi="黑体" w:eastAsia="黑体"/>
          <w:b/>
          <w:bCs/>
          <w:sz w:val="44"/>
          <w:szCs w:val="44"/>
        </w:rPr>
        <w:t>十</w:t>
      </w:r>
      <w:r>
        <w:rPr>
          <w:rFonts w:hint="eastAsia" w:ascii="黑体" w:hAnsi="黑体" w:eastAsia="黑体"/>
          <w:b/>
          <w:bCs/>
          <w:sz w:val="44"/>
          <w:szCs w:val="44"/>
        </w:rPr>
        <w:t>四</w:t>
      </w:r>
      <w:r>
        <w:rPr>
          <w:rFonts w:ascii="黑体" w:hAnsi="黑体" w:eastAsia="黑体"/>
          <w:b/>
          <w:bCs/>
          <w:sz w:val="44"/>
          <w:szCs w:val="44"/>
        </w:rPr>
        <w:t>五</w:t>
      </w:r>
      <w:r>
        <w:rPr>
          <w:rFonts w:hint="eastAsia" w:ascii="黑体" w:hAnsi="黑体" w:eastAsia="黑体"/>
          <w:b/>
          <w:bCs/>
          <w:sz w:val="44"/>
          <w:szCs w:val="44"/>
        </w:rPr>
        <w:t>”</w:t>
      </w:r>
      <w:r>
        <w:rPr>
          <w:rFonts w:ascii="黑体" w:hAnsi="黑体" w:eastAsia="黑体"/>
          <w:b/>
          <w:bCs/>
          <w:sz w:val="44"/>
          <w:szCs w:val="44"/>
        </w:rPr>
        <w:t>发展规划</w:t>
      </w:r>
    </w:p>
    <w:p w14:paraId="5AB237A4">
      <w:pPr>
        <w:pStyle w:val="14"/>
        <w:tabs>
          <w:tab w:val="right" w:leader="dot" w:pos="8306"/>
        </w:tabs>
        <w:ind w:firstLine="602"/>
        <w:rPr>
          <w:rFonts w:hint="eastAsia" w:ascii="黑体" w:hAnsi="黑体" w:eastAsia="黑体"/>
          <w:sz w:val="30"/>
          <w:szCs w:val="30"/>
          <w:lang w:eastAsia="zh-CN"/>
        </w:rPr>
      </w:pPr>
    </w:p>
    <w:p w14:paraId="40FD3FB7">
      <w:pPr>
        <w:pStyle w:val="14"/>
        <w:tabs>
          <w:tab w:val="right" w:leader="dot" w:pos="8306"/>
        </w:tabs>
        <w:ind w:firstLine="602"/>
        <w:rPr>
          <w:rFonts w:ascii="黑体" w:hAnsi="黑体"/>
          <w:sz w:val="30"/>
          <w:szCs w:val="30"/>
        </w:rPr>
      </w:pPr>
    </w:p>
    <w:p w14:paraId="08EB0C4B">
      <w:pPr>
        <w:pStyle w:val="14"/>
        <w:tabs>
          <w:tab w:val="right" w:leader="dot" w:pos="8306"/>
        </w:tabs>
        <w:ind w:firstLine="602"/>
        <w:rPr>
          <w:rFonts w:ascii="黑体" w:hAnsi="黑体"/>
          <w:sz w:val="30"/>
          <w:szCs w:val="30"/>
        </w:rPr>
      </w:pPr>
    </w:p>
    <w:p w14:paraId="23885E55">
      <w:pPr>
        <w:pStyle w:val="14"/>
        <w:tabs>
          <w:tab w:val="right" w:leader="dot" w:pos="8306"/>
        </w:tabs>
        <w:ind w:firstLine="602"/>
        <w:rPr>
          <w:rFonts w:ascii="黑体" w:hAnsi="黑体"/>
          <w:sz w:val="30"/>
          <w:szCs w:val="30"/>
        </w:rPr>
      </w:pPr>
    </w:p>
    <w:p w14:paraId="456105DB">
      <w:pPr>
        <w:pStyle w:val="14"/>
        <w:tabs>
          <w:tab w:val="right" w:leader="dot" w:pos="8306"/>
        </w:tabs>
        <w:ind w:firstLine="602"/>
        <w:rPr>
          <w:rFonts w:ascii="黑体" w:hAnsi="黑体"/>
          <w:sz w:val="30"/>
          <w:szCs w:val="30"/>
        </w:rPr>
      </w:pPr>
    </w:p>
    <w:p w14:paraId="29E71A77">
      <w:pPr>
        <w:pStyle w:val="14"/>
        <w:tabs>
          <w:tab w:val="right" w:leader="dot" w:pos="8306"/>
        </w:tabs>
        <w:ind w:firstLine="602"/>
        <w:rPr>
          <w:rFonts w:ascii="黑体" w:hAnsi="黑体"/>
          <w:sz w:val="30"/>
          <w:szCs w:val="30"/>
        </w:rPr>
      </w:pPr>
    </w:p>
    <w:p w14:paraId="0773FB22">
      <w:pPr>
        <w:pStyle w:val="14"/>
        <w:tabs>
          <w:tab w:val="right" w:leader="dot" w:pos="8306"/>
        </w:tabs>
        <w:ind w:firstLine="602"/>
        <w:rPr>
          <w:rFonts w:ascii="黑体" w:hAnsi="黑体"/>
          <w:sz w:val="30"/>
          <w:szCs w:val="30"/>
        </w:rPr>
      </w:pPr>
    </w:p>
    <w:p w14:paraId="71C9A2F0">
      <w:pPr>
        <w:pStyle w:val="14"/>
        <w:tabs>
          <w:tab w:val="right" w:leader="dot" w:pos="8306"/>
        </w:tabs>
        <w:ind w:firstLine="602"/>
        <w:rPr>
          <w:rFonts w:ascii="黑体" w:hAnsi="黑体"/>
          <w:sz w:val="30"/>
          <w:szCs w:val="30"/>
        </w:rPr>
      </w:pPr>
    </w:p>
    <w:p w14:paraId="2B509C18">
      <w:pPr>
        <w:ind w:firstLine="600"/>
        <w:rPr>
          <w:rFonts w:ascii="黑体" w:hAnsi="黑体" w:eastAsia="黑体"/>
          <w:sz w:val="30"/>
          <w:szCs w:val="30"/>
        </w:rPr>
      </w:pPr>
    </w:p>
    <w:p w14:paraId="22403014">
      <w:pPr>
        <w:ind w:firstLine="560"/>
        <w:rPr>
          <w:rFonts w:ascii="黑体" w:hAnsi="黑体" w:eastAsia="黑体"/>
        </w:rPr>
      </w:pPr>
    </w:p>
    <w:p w14:paraId="7025E188">
      <w:pPr>
        <w:pStyle w:val="14"/>
        <w:tabs>
          <w:tab w:val="right" w:leader="dot" w:pos="8306"/>
        </w:tabs>
        <w:ind w:firstLine="0" w:firstLineChars="0"/>
        <w:rPr>
          <w:rFonts w:ascii="黑体" w:hAnsi="黑体"/>
          <w:sz w:val="30"/>
          <w:szCs w:val="30"/>
        </w:rPr>
      </w:pPr>
    </w:p>
    <w:p w14:paraId="34CCB61C">
      <w:pPr>
        <w:pStyle w:val="14"/>
        <w:tabs>
          <w:tab w:val="right" w:leader="dot" w:pos="8306"/>
        </w:tabs>
        <w:ind w:firstLine="0" w:firstLineChars="0"/>
        <w:jc w:val="center"/>
        <w:rPr>
          <w:rFonts w:ascii="黑体" w:hAnsi="黑体"/>
          <w:sz w:val="30"/>
          <w:szCs w:val="30"/>
        </w:rPr>
      </w:pPr>
      <w:r>
        <w:rPr>
          <w:rFonts w:ascii="黑体" w:hAnsi="黑体"/>
          <w:sz w:val="30"/>
          <w:szCs w:val="30"/>
        </w:rPr>
        <w:t>金义新区（金东）交通运输局</w:t>
      </w:r>
    </w:p>
    <w:p w14:paraId="1DDEBE6E">
      <w:pPr>
        <w:pStyle w:val="14"/>
        <w:tabs>
          <w:tab w:val="right" w:leader="dot" w:pos="8306"/>
        </w:tabs>
        <w:ind w:firstLine="0" w:firstLineChars="0"/>
        <w:jc w:val="center"/>
        <w:rPr>
          <w:rFonts w:ascii="黑体" w:hAnsi="黑体"/>
          <w:sz w:val="30"/>
          <w:szCs w:val="30"/>
        </w:rPr>
      </w:pPr>
      <w:r>
        <w:rPr>
          <w:rFonts w:hint="eastAsia" w:ascii="黑体" w:hAnsi="黑体"/>
          <w:sz w:val="30"/>
          <w:szCs w:val="30"/>
        </w:rPr>
        <w:t>浙江省交通规划设计研究院</w:t>
      </w:r>
      <w:r>
        <w:rPr>
          <w:rFonts w:ascii="黑体" w:hAnsi="黑体"/>
          <w:sz w:val="30"/>
          <w:szCs w:val="30"/>
        </w:rPr>
        <w:t>有限公司</w:t>
      </w:r>
    </w:p>
    <w:p w14:paraId="4268CC1A">
      <w:pPr>
        <w:pStyle w:val="14"/>
        <w:tabs>
          <w:tab w:val="right" w:leader="dot" w:pos="8306"/>
        </w:tabs>
        <w:ind w:firstLine="0" w:firstLineChars="0"/>
        <w:jc w:val="center"/>
      </w:pPr>
      <w:r>
        <w:rPr>
          <w:rFonts w:ascii="黑体" w:hAnsi="黑体"/>
          <w:sz w:val="30"/>
          <w:szCs w:val="30"/>
        </w:rPr>
        <w:t>二</w:t>
      </w:r>
      <w:r>
        <w:rPr>
          <w:rFonts w:hint="eastAsia" w:ascii="黑体" w:hAnsi="黑体"/>
          <w:sz w:val="30"/>
          <w:szCs w:val="30"/>
        </w:rPr>
        <w:t>〇</w:t>
      </w:r>
      <w:r>
        <w:rPr>
          <w:rFonts w:ascii="黑体" w:hAnsi="黑体"/>
          <w:sz w:val="30"/>
          <w:szCs w:val="30"/>
        </w:rPr>
        <w:t>二</w:t>
      </w:r>
      <w:r>
        <w:rPr>
          <w:rFonts w:hint="eastAsia" w:ascii="黑体" w:hAnsi="黑体"/>
          <w:sz w:val="30"/>
          <w:szCs w:val="30"/>
        </w:rPr>
        <w:t>〇</w:t>
      </w:r>
      <w:r>
        <w:rPr>
          <w:rFonts w:ascii="黑体" w:hAnsi="黑体"/>
          <w:sz w:val="30"/>
          <w:szCs w:val="30"/>
        </w:rPr>
        <w:t>年</w:t>
      </w:r>
      <w:r>
        <w:rPr>
          <w:rFonts w:hint="eastAsia" w:ascii="黑体" w:hAnsi="黑体"/>
          <w:sz w:val="30"/>
          <w:szCs w:val="30"/>
        </w:rPr>
        <w:t>七</w:t>
      </w:r>
      <w:r>
        <w:rPr>
          <w:rFonts w:ascii="黑体" w:hAnsi="黑体"/>
          <w:sz w:val="30"/>
          <w:szCs w:val="30"/>
        </w:rPr>
        <w:t>月</w:t>
      </w:r>
      <w:r>
        <w:rPr>
          <w:rFonts w:ascii="黑体" w:hAnsi="黑体"/>
          <w:sz w:val="30"/>
          <w:szCs w:val="30"/>
        </w:rPr>
        <w:fldChar w:fldCharType="begin"/>
      </w:r>
      <w:r>
        <w:rPr>
          <w:rFonts w:ascii="黑体" w:hAnsi="黑体"/>
          <w:sz w:val="30"/>
          <w:szCs w:val="30"/>
        </w:rPr>
        <w:instrText xml:space="preserve"> TOC \o "1-3" \h \z \u </w:instrText>
      </w:r>
      <w:r>
        <w:rPr>
          <w:rFonts w:ascii="黑体" w:hAnsi="黑体"/>
          <w:sz w:val="30"/>
          <w:szCs w:val="30"/>
        </w:rPr>
        <w:fldChar w:fldCharType="separate"/>
      </w:r>
    </w:p>
    <w:p w14:paraId="06A89D98">
      <w:pPr>
        <w:pStyle w:val="14"/>
        <w:tabs>
          <w:tab w:val="right" w:leader="dot" w:pos="8296"/>
        </w:tabs>
        <w:ind w:firstLine="643"/>
        <w:jc w:val="center"/>
        <w:rPr>
          <w:rStyle w:val="20"/>
          <w:rFonts w:ascii="仿宋" w:hAnsi="仿宋" w:eastAsia="仿宋"/>
          <w:sz w:val="32"/>
        </w:rPr>
      </w:pPr>
      <w:r>
        <w:rPr>
          <w:rStyle w:val="20"/>
          <w:rFonts w:hint="eastAsia" w:ascii="仿宋" w:hAnsi="仿宋" w:eastAsia="仿宋"/>
          <w:sz w:val="32"/>
        </w:rPr>
        <w:t>目 录</w:t>
      </w:r>
    </w:p>
    <w:p w14:paraId="68EBA133">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"_Toc43384718" </w:instrText>
      </w:r>
      <w:r>
        <w:fldChar w:fldCharType="separate"/>
      </w:r>
      <w:r>
        <w:rPr>
          <w:rStyle w:val="20"/>
          <w:rFonts w:hint="eastAsia"/>
        </w:rPr>
        <w:t>前言</w:t>
      </w:r>
      <w:r>
        <w:tab/>
      </w:r>
      <w:r>
        <w:fldChar w:fldCharType="begin"/>
      </w:r>
      <w:r>
        <w:instrText xml:space="preserve"> PAGEREF _Toc43384718 \h </w:instrText>
      </w:r>
      <w:r>
        <w:fldChar w:fldCharType="separate"/>
      </w:r>
      <w:r>
        <w:t>4</w:t>
      </w:r>
      <w:r>
        <w:fldChar w:fldCharType="end"/>
      </w:r>
      <w:r>
        <w:fldChar w:fldCharType="end"/>
      </w:r>
    </w:p>
    <w:p w14:paraId="465DC152">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"_Toc43384719" </w:instrText>
      </w:r>
      <w:r>
        <w:fldChar w:fldCharType="separate"/>
      </w:r>
      <w:r>
        <w:rPr>
          <w:rStyle w:val="20"/>
          <w:rFonts w:hint="eastAsia"/>
        </w:rPr>
        <w:t>一、发展基础</w:t>
      </w:r>
      <w:r>
        <w:tab/>
      </w:r>
      <w:r>
        <w:fldChar w:fldCharType="begin"/>
      </w:r>
      <w:r>
        <w:instrText xml:space="preserve"> PAGEREF _Toc43384719 \h </w:instrText>
      </w:r>
      <w:r>
        <w:fldChar w:fldCharType="separate"/>
      </w:r>
      <w:r>
        <w:t>6</w:t>
      </w:r>
      <w:r>
        <w:fldChar w:fldCharType="end"/>
      </w:r>
      <w:r>
        <w:fldChar w:fldCharType="end"/>
      </w:r>
    </w:p>
    <w:p w14:paraId="7F750A78">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"_Toc43384720" </w:instrText>
      </w:r>
      <w:r>
        <w:fldChar w:fldCharType="separate"/>
      </w:r>
      <w:r>
        <w:rPr>
          <w:rStyle w:val="20"/>
          <w:rFonts w:hint="eastAsia"/>
        </w:rPr>
        <w:t>（一）</w:t>
      </w:r>
      <w:r>
        <w:rPr>
          <w:rStyle w:val="20"/>
        </w:rPr>
        <w:t>“</w:t>
      </w:r>
      <w:r>
        <w:rPr>
          <w:rStyle w:val="20"/>
          <w:rFonts w:hint="eastAsia"/>
        </w:rPr>
        <w:t>十三五</w:t>
      </w:r>
      <w:r>
        <w:rPr>
          <w:rStyle w:val="20"/>
        </w:rPr>
        <w:t>”</w:t>
      </w:r>
      <w:r>
        <w:rPr>
          <w:rStyle w:val="20"/>
          <w:rFonts w:hint="eastAsia"/>
        </w:rPr>
        <w:t>总体评价</w:t>
      </w:r>
      <w:r>
        <w:tab/>
      </w:r>
      <w:r>
        <w:fldChar w:fldCharType="begin"/>
      </w:r>
      <w:r>
        <w:instrText xml:space="preserve"> PAGEREF _Toc43384720 \h </w:instrText>
      </w:r>
      <w:r>
        <w:fldChar w:fldCharType="separate"/>
      </w:r>
      <w:r>
        <w:t>6</w:t>
      </w:r>
      <w:r>
        <w:fldChar w:fldCharType="end"/>
      </w:r>
      <w:r>
        <w:fldChar w:fldCharType="end"/>
      </w:r>
    </w:p>
    <w:p w14:paraId="44EEA9E7">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"_Toc43384721" </w:instrText>
      </w:r>
      <w:r>
        <w:fldChar w:fldCharType="separate"/>
      </w:r>
      <w:r>
        <w:rPr>
          <w:rStyle w:val="20"/>
          <w:rFonts w:hint="eastAsia"/>
        </w:rPr>
        <w:t>（二）</w:t>
      </w:r>
      <w:r>
        <w:rPr>
          <w:rStyle w:val="20"/>
        </w:rPr>
        <w:t>“</w:t>
      </w:r>
      <w:r>
        <w:rPr>
          <w:rStyle w:val="20"/>
          <w:rFonts w:hint="eastAsia"/>
        </w:rPr>
        <w:t>十三五</w:t>
      </w:r>
      <w:r>
        <w:rPr>
          <w:rStyle w:val="20"/>
        </w:rPr>
        <w:t>”</w:t>
      </w:r>
      <w:r>
        <w:rPr>
          <w:rStyle w:val="20"/>
          <w:rFonts w:hint="eastAsia"/>
        </w:rPr>
        <w:t>发展成就</w:t>
      </w:r>
      <w:r>
        <w:tab/>
      </w:r>
      <w:r>
        <w:fldChar w:fldCharType="begin"/>
      </w:r>
      <w:r>
        <w:instrText xml:space="preserve"> PAGEREF _Toc43384721 \h </w:instrText>
      </w:r>
      <w:r>
        <w:fldChar w:fldCharType="separate"/>
      </w:r>
      <w:r>
        <w:t>6</w:t>
      </w:r>
      <w:r>
        <w:fldChar w:fldCharType="end"/>
      </w:r>
      <w:r>
        <w:fldChar w:fldCharType="end"/>
      </w:r>
    </w:p>
    <w:p w14:paraId="08AF2E4D">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"_Toc43384722" </w:instrText>
      </w:r>
      <w:r>
        <w:fldChar w:fldCharType="separate"/>
      </w:r>
      <w:r>
        <w:rPr>
          <w:rStyle w:val="20"/>
          <w:rFonts w:hint="eastAsia"/>
        </w:rPr>
        <w:t>（三）存在问题</w:t>
      </w:r>
      <w:r>
        <w:tab/>
      </w:r>
      <w:r>
        <w:fldChar w:fldCharType="begin"/>
      </w:r>
      <w:r>
        <w:instrText xml:space="preserve"> PAGEREF _Toc43384722 \h </w:instrText>
      </w:r>
      <w:r>
        <w:fldChar w:fldCharType="separate"/>
      </w:r>
      <w:r>
        <w:t>11</w:t>
      </w:r>
      <w:r>
        <w:fldChar w:fldCharType="end"/>
      </w:r>
      <w:r>
        <w:fldChar w:fldCharType="end"/>
      </w:r>
    </w:p>
    <w:p w14:paraId="6901C074">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"_Toc43384723" </w:instrText>
      </w:r>
      <w:r>
        <w:fldChar w:fldCharType="separate"/>
      </w:r>
      <w:r>
        <w:rPr>
          <w:rStyle w:val="20"/>
          <w:rFonts w:hint="eastAsia"/>
        </w:rPr>
        <w:t>二、“十四五”发展形势与需求</w:t>
      </w:r>
      <w:r>
        <w:tab/>
      </w:r>
      <w:r>
        <w:fldChar w:fldCharType="begin"/>
      </w:r>
      <w:r>
        <w:instrText xml:space="preserve"> PAGEREF _Toc43384723 \h </w:instrText>
      </w:r>
      <w:r>
        <w:fldChar w:fldCharType="separate"/>
      </w:r>
      <w:r>
        <w:t>14</w:t>
      </w:r>
      <w:r>
        <w:fldChar w:fldCharType="end"/>
      </w:r>
      <w:r>
        <w:fldChar w:fldCharType="end"/>
      </w:r>
    </w:p>
    <w:p w14:paraId="189CE975">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"_Toc43384724" </w:instrText>
      </w:r>
      <w:r>
        <w:fldChar w:fldCharType="separate"/>
      </w:r>
      <w:r>
        <w:rPr>
          <w:rStyle w:val="20"/>
          <w:rFonts w:hint="eastAsia"/>
        </w:rPr>
        <w:t>（一）发展阶段特征判断</w:t>
      </w:r>
      <w:r>
        <w:tab/>
      </w:r>
      <w:r>
        <w:fldChar w:fldCharType="begin"/>
      </w:r>
      <w:r>
        <w:instrText xml:space="preserve"> PAGEREF _Toc43384724 \h </w:instrText>
      </w:r>
      <w:r>
        <w:fldChar w:fldCharType="separate"/>
      </w:r>
      <w:r>
        <w:t>14</w:t>
      </w:r>
      <w:r>
        <w:fldChar w:fldCharType="end"/>
      </w:r>
      <w:r>
        <w:fldChar w:fldCharType="end"/>
      </w:r>
    </w:p>
    <w:p w14:paraId="2169BA2D">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"_Toc43384725" </w:instrText>
      </w:r>
      <w:r>
        <w:fldChar w:fldCharType="separate"/>
      </w:r>
      <w:r>
        <w:rPr>
          <w:rStyle w:val="20"/>
          <w:rFonts w:hint="eastAsia"/>
        </w:rPr>
        <w:t>（二）交通运输发展趋势</w:t>
      </w:r>
      <w:r>
        <w:tab/>
      </w:r>
      <w:r>
        <w:fldChar w:fldCharType="begin"/>
      </w:r>
      <w:r>
        <w:instrText xml:space="preserve"> PAGEREF _Toc43384725 \h </w:instrText>
      </w:r>
      <w:r>
        <w:fldChar w:fldCharType="separate"/>
      </w:r>
      <w:r>
        <w:t>17</w:t>
      </w:r>
      <w:r>
        <w:fldChar w:fldCharType="end"/>
      </w:r>
      <w:r>
        <w:fldChar w:fldCharType="end"/>
      </w:r>
    </w:p>
    <w:p w14:paraId="2E968476">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"_Toc43384726" </w:instrText>
      </w:r>
      <w:r>
        <w:fldChar w:fldCharType="separate"/>
      </w:r>
      <w:r>
        <w:rPr>
          <w:rStyle w:val="20"/>
          <w:rFonts w:hint="eastAsia"/>
        </w:rPr>
        <w:t>（三）需求分析</w:t>
      </w:r>
      <w:r>
        <w:tab/>
      </w:r>
      <w:r>
        <w:fldChar w:fldCharType="begin"/>
      </w:r>
      <w:r>
        <w:instrText xml:space="preserve"> PAGEREF _Toc43384726 \h </w:instrText>
      </w:r>
      <w:r>
        <w:fldChar w:fldCharType="separate"/>
      </w:r>
      <w:r>
        <w:t>19</w:t>
      </w:r>
      <w:r>
        <w:fldChar w:fldCharType="end"/>
      </w:r>
      <w:r>
        <w:fldChar w:fldCharType="end"/>
      </w:r>
    </w:p>
    <w:p w14:paraId="0CC56153">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"_Toc43384727" </w:instrText>
      </w:r>
      <w:r>
        <w:fldChar w:fldCharType="separate"/>
      </w:r>
      <w:r>
        <w:rPr>
          <w:rStyle w:val="20"/>
          <w:rFonts w:hint="eastAsia"/>
        </w:rPr>
        <w:t>三、综合交通发展定位与目标</w:t>
      </w:r>
      <w:r>
        <w:tab/>
      </w:r>
      <w:r>
        <w:fldChar w:fldCharType="begin"/>
      </w:r>
      <w:r>
        <w:instrText xml:space="preserve"> PAGEREF _Toc43384727 \h </w:instrText>
      </w:r>
      <w:r>
        <w:fldChar w:fldCharType="separate"/>
      </w:r>
      <w:r>
        <w:t>21</w:t>
      </w:r>
      <w:r>
        <w:fldChar w:fldCharType="end"/>
      </w:r>
      <w:r>
        <w:fldChar w:fldCharType="end"/>
      </w:r>
    </w:p>
    <w:p w14:paraId="6322F322">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"_Toc43384728" </w:instrText>
      </w:r>
      <w:r>
        <w:fldChar w:fldCharType="separate"/>
      </w:r>
      <w:r>
        <w:rPr>
          <w:rStyle w:val="20"/>
          <w:rFonts w:hint="eastAsia"/>
        </w:rPr>
        <w:t>（一）指导思想</w:t>
      </w:r>
      <w:r>
        <w:tab/>
      </w:r>
      <w:r>
        <w:fldChar w:fldCharType="begin"/>
      </w:r>
      <w:r>
        <w:instrText xml:space="preserve"> PAGEREF _Toc43384728 \h </w:instrText>
      </w:r>
      <w:r>
        <w:fldChar w:fldCharType="separate"/>
      </w:r>
      <w:r>
        <w:t>21</w:t>
      </w:r>
      <w:r>
        <w:fldChar w:fldCharType="end"/>
      </w:r>
      <w:r>
        <w:fldChar w:fldCharType="end"/>
      </w:r>
    </w:p>
    <w:p w14:paraId="1E2A882E">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"_Toc43384729" </w:instrText>
      </w:r>
      <w:r>
        <w:fldChar w:fldCharType="separate"/>
      </w:r>
      <w:r>
        <w:rPr>
          <w:rStyle w:val="20"/>
          <w:rFonts w:hint="eastAsia"/>
        </w:rPr>
        <w:t>（二）基本原则</w:t>
      </w:r>
      <w:r>
        <w:tab/>
      </w:r>
      <w:r>
        <w:fldChar w:fldCharType="begin"/>
      </w:r>
      <w:r>
        <w:instrText xml:space="preserve"> PAGEREF _Toc43384729 \h </w:instrText>
      </w:r>
      <w:r>
        <w:fldChar w:fldCharType="separate"/>
      </w:r>
      <w:r>
        <w:t>21</w:t>
      </w:r>
      <w:r>
        <w:fldChar w:fldCharType="end"/>
      </w:r>
      <w:r>
        <w:fldChar w:fldCharType="end"/>
      </w:r>
    </w:p>
    <w:p w14:paraId="224FD4EE">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"_Toc43384730" </w:instrText>
      </w:r>
      <w:r>
        <w:fldChar w:fldCharType="separate"/>
      </w:r>
      <w:r>
        <w:rPr>
          <w:rStyle w:val="20"/>
          <w:rFonts w:hint="eastAsia"/>
        </w:rPr>
        <w:t>（三）发展目标</w:t>
      </w:r>
      <w:r>
        <w:tab/>
      </w:r>
      <w:r>
        <w:fldChar w:fldCharType="begin"/>
      </w:r>
      <w:r>
        <w:instrText xml:space="preserve"> PAGEREF _Toc43384730 \h </w:instrText>
      </w:r>
      <w:r>
        <w:fldChar w:fldCharType="separate"/>
      </w:r>
      <w:r>
        <w:t>23</w:t>
      </w:r>
      <w:r>
        <w:fldChar w:fldCharType="end"/>
      </w:r>
      <w:r>
        <w:fldChar w:fldCharType="end"/>
      </w:r>
    </w:p>
    <w:p w14:paraId="2CADFD62">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"_Toc43384731" </w:instrText>
      </w:r>
      <w:r>
        <w:fldChar w:fldCharType="separate"/>
      </w:r>
      <w:r>
        <w:rPr>
          <w:rStyle w:val="20"/>
          <w:rFonts w:hint="eastAsia"/>
        </w:rPr>
        <w:t>四、综合交通规划总体布局</w:t>
      </w:r>
      <w:r>
        <w:tab/>
      </w:r>
      <w:r>
        <w:fldChar w:fldCharType="begin"/>
      </w:r>
      <w:r>
        <w:instrText xml:space="preserve"> PAGEREF _Toc43384731 \h </w:instrText>
      </w:r>
      <w:r>
        <w:fldChar w:fldCharType="separate"/>
      </w:r>
      <w:r>
        <w:t>27</w:t>
      </w:r>
      <w:r>
        <w:fldChar w:fldCharType="end"/>
      </w:r>
      <w:r>
        <w:fldChar w:fldCharType="end"/>
      </w:r>
    </w:p>
    <w:p w14:paraId="0B45F7F9">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"_Toc43384732" </w:instrText>
      </w:r>
      <w:r>
        <w:fldChar w:fldCharType="separate"/>
      </w:r>
      <w:r>
        <w:rPr>
          <w:rStyle w:val="20"/>
          <w:rFonts w:hint="eastAsia"/>
        </w:rPr>
        <w:t>（一）高标准构筑综合运输通道</w:t>
      </w:r>
      <w:r>
        <w:tab/>
      </w:r>
      <w:r>
        <w:fldChar w:fldCharType="begin"/>
      </w:r>
      <w:r>
        <w:instrText xml:space="preserve"> PAGEREF _Toc43384732 \h </w:instrText>
      </w:r>
      <w:r>
        <w:fldChar w:fldCharType="separate"/>
      </w:r>
      <w:r>
        <w:t>27</w:t>
      </w:r>
      <w:r>
        <w:fldChar w:fldCharType="end"/>
      </w:r>
      <w:r>
        <w:fldChar w:fldCharType="end"/>
      </w:r>
    </w:p>
    <w:p w14:paraId="5BB24956">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"_Toc43384733" </w:instrText>
      </w:r>
      <w:r>
        <w:fldChar w:fldCharType="separate"/>
      </w:r>
      <w:r>
        <w:rPr>
          <w:rStyle w:val="20"/>
          <w:rFonts w:hint="eastAsia"/>
        </w:rPr>
        <w:t>（二）高质量发展综合交通网络</w:t>
      </w:r>
      <w:r>
        <w:tab/>
      </w:r>
      <w:r>
        <w:fldChar w:fldCharType="begin"/>
      </w:r>
      <w:r>
        <w:instrText xml:space="preserve"> PAGEREF _Toc43384733 \h </w:instrText>
      </w:r>
      <w:r>
        <w:fldChar w:fldCharType="separate"/>
      </w:r>
      <w:r>
        <w:t>31</w:t>
      </w:r>
      <w:r>
        <w:fldChar w:fldCharType="end"/>
      </w:r>
      <w:r>
        <w:fldChar w:fldCharType="end"/>
      </w:r>
    </w:p>
    <w:p w14:paraId="399103B2">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"_Toc43384734" </w:instrText>
      </w:r>
      <w:r>
        <w:fldChar w:fldCharType="separate"/>
      </w:r>
      <w:r>
        <w:rPr>
          <w:rStyle w:val="20"/>
          <w:rFonts w:hint="eastAsia"/>
        </w:rPr>
        <w:t>（三）高效能打造综合运输体系</w:t>
      </w:r>
      <w:r>
        <w:tab/>
      </w:r>
      <w:r>
        <w:fldChar w:fldCharType="begin"/>
      </w:r>
      <w:r>
        <w:instrText xml:space="preserve"> PAGEREF _Toc43384734 \h </w:instrText>
      </w:r>
      <w:r>
        <w:fldChar w:fldCharType="separate"/>
      </w:r>
      <w:r>
        <w:t>39</w:t>
      </w:r>
      <w:r>
        <w:fldChar w:fldCharType="end"/>
      </w:r>
      <w:r>
        <w:fldChar w:fldCharType="end"/>
      </w:r>
    </w:p>
    <w:p w14:paraId="31A059A4">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"_Toc43384735" </w:instrText>
      </w:r>
      <w:r>
        <w:fldChar w:fldCharType="separate"/>
      </w:r>
      <w:r>
        <w:rPr>
          <w:rStyle w:val="20"/>
          <w:rFonts w:hint="eastAsia"/>
        </w:rPr>
        <w:t>五、“十四五”发展重点与任务</w:t>
      </w:r>
      <w:r>
        <w:tab/>
      </w:r>
      <w:r>
        <w:fldChar w:fldCharType="begin"/>
      </w:r>
      <w:r>
        <w:instrText xml:space="preserve"> PAGEREF _Toc43384735 \h </w:instrText>
      </w:r>
      <w:r>
        <w:fldChar w:fldCharType="separate"/>
      </w:r>
      <w:r>
        <w:t>43</w:t>
      </w:r>
      <w:r>
        <w:fldChar w:fldCharType="end"/>
      </w:r>
      <w:r>
        <w:fldChar w:fldCharType="end"/>
      </w:r>
    </w:p>
    <w:p w14:paraId="6D0D1F00">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"_Toc43384736" </w:instrText>
      </w:r>
      <w:r>
        <w:fldChar w:fldCharType="separate"/>
      </w:r>
      <w:r>
        <w:rPr>
          <w:rStyle w:val="20"/>
          <w:rFonts w:hint="eastAsia"/>
        </w:rPr>
        <w:t>（一）补齐基础设施短板</w:t>
      </w:r>
      <w:r>
        <w:tab/>
      </w:r>
      <w:r>
        <w:fldChar w:fldCharType="begin"/>
      </w:r>
      <w:r>
        <w:instrText xml:space="preserve"> PAGEREF _Toc43384736 \h </w:instrText>
      </w:r>
      <w:r>
        <w:fldChar w:fldCharType="separate"/>
      </w:r>
      <w:r>
        <w:t>43</w:t>
      </w:r>
      <w:r>
        <w:fldChar w:fldCharType="end"/>
      </w:r>
      <w:r>
        <w:fldChar w:fldCharType="end"/>
      </w:r>
    </w:p>
    <w:p w14:paraId="566E32EF">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"_Toc43384737" </w:instrText>
      </w:r>
      <w:r>
        <w:fldChar w:fldCharType="separate"/>
      </w:r>
      <w:r>
        <w:rPr>
          <w:rStyle w:val="20"/>
          <w:rFonts w:hint="eastAsia"/>
        </w:rPr>
        <w:t>（二）提升运输服务品质</w:t>
      </w:r>
      <w:r>
        <w:tab/>
      </w:r>
      <w:r>
        <w:fldChar w:fldCharType="begin"/>
      </w:r>
      <w:r>
        <w:instrText xml:space="preserve"> PAGEREF _Toc43384737 \h </w:instrText>
      </w:r>
      <w:r>
        <w:fldChar w:fldCharType="separate"/>
      </w:r>
      <w:r>
        <w:t>50</w:t>
      </w:r>
      <w:r>
        <w:fldChar w:fldCharType="end"/>
      </w:r>
      <w:r>
        <w:fldChar w:fldCharType="end"/>
      </w:r>
    </w:p>
    <w:p w14:paraId="59B9A10F">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"_Toc43384738" </w:instrText>
      </w:r>
      <w:r>
        <w:fldChar w:fldCharType="separate"/>
      </w:r>
      <w:r>
        <w:rPr>
          <w:rStyle w:val="20"/>
          <w:rFonts w:hint="eastAsia"/>
        </w:rPr>
        <w:t>（三）强化物流服务水平</w:t>
      </w:r>
      <w:r>
        <w:tab/>
      </w:r>
      <w:r>
        <w:fldChar w:fldCharType="begin"/>
      </w:r>
      <w:r>
        <w:instrText xml:space="preserve"> PAGEREF _Toc43384738 \h </w:instrText>
      </w:r>
      <w:r>
        <w:fldChar w:fldCharType="separate"/>
      </w:r>
      <w:r>
        <w:t>52</w:t>
      </w:r>
      <w:r>
        <w:fldChar w:fldCharType="end"/>
      </w:r>
      <w:r>
        <w:fldChar w:fldCharType="end"/>
      </w:r>
    </w:p>
    <w:p w14:paraId="3269358E">
      <w:pPr>
        <w:pStyle w:val="15"/>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"_Toc43384739" </w:instrText>
      </w:r>
      <w:r>
        <w:fldChar w:fldCharType="separate"/>
      </w:r>
      <w:r>
        <w:rPr>
          <w:rStyle w:val="20"/>
          <w:rFonts w:hint="eastAsia"/>
        </w:rPr>
        <w:t>（四）深化行业治理能力</w:t>
      </w:r>
      <w:r>
        <w:tab/>
      </w:r>
      <w:r>
        <w:fldChar w:fldCharType="begin"/>
      </w:r>
      <w:r>
        <w:instrText xml:space="preserve"> PAGEREF _Toc43384739 \h </w:instrText>
      </w:r>
      <w:r>
        <w:fldChar w:fldCharType="separate"/>
      </w:r>
      <w:r>
        <w:t>54</w:t>
      </w:r>
      <w:r>
        <w:fldChar w:fldCharType="end"/>
      </w:r>
      <w:r>
        <w:fldChar w:fldCharType="end"/>
      </w:r>
    </w:p>
    <w:p w14:paraId="77D8AD78">
      <w:pPr>
        <w:pStyle w:val="14"/>
        <w:tabs>
          <w:tab w:val="right" w:leader="dot" w:pos="8296"/>
        </w:tabs>
        <w:ind w:firstLine="562"/>
        <w:rPr>
          <w:rFonts w:asciiTheme="minorHAnsi" w:hAnsiTheme="minorHAnsi" w:eastAsiaTheme="minorEastAsia" w:cstheme="minorBidi"/>
          <w:b w:val="0"/>
          <w:sz w:val="21"/>
        </w:rPr>
      </w:pPr>
      <w:r>
        <w:fldChar w:fldCharType="begin"/>
      </w:r>
      <w:r>
        <w:instrText xml:space="preserve"> HYPERLINK \l "_Toc43384740" </w:instrText>
      </w:r>
      <w:r>
        <w:fldChar w:fldCharType="separate"/>
      </w:r>
      <w:r>
        <w:rPr>
          <w:rStyle w:val="20"/>
          <w:rFonts w:hint="eastAsia"/>
        </w:rPr>
        <w:t>六、保障措施</w:t>
      </w:r>
      <w:r>
        <w:tab/>
      </w:r>
      <w:r>
        <w:fldChar w:fldCharType="begin"/>
      </w:r>
      <w:r>
        <w:instrText xml:space="preserve"> PAGEREF _Toc43384740 \h </w:instrText>
      </w:r>
      <w:r>
        <w:fldChar w:fldCharType="separate"/>
      </w:r>
      <w:r>
        <w:t>58</w:t>
      </w:r>
      <w:r>
        <w:fldChar w:fldCharType="end"/>
      </w:r>
      <w:r>
        <w:fldChar w:fldCharType="end"/>
      </w:r>
    </w:p>
    <w:p w14:paraId="498821FB">
      <w:pPr>
        <w:pStyle w:val="15"/>
        <w:tabs>
          <w:tab w:val="right" w:leader="dot" w:pos="8296"/>
        </w:tabs>
        <w:ind w:left="560" w:firstLine="560"/>
        <w:rPr>
          <w:rFonts w:ascii="楷体" w:hAnsi="楷体" w:cstheme="minorBidi"/>
          <w:sz w:val="21"/>
        </w:rPr>
      </w:pPr>
      <w:r>
        <w:fldChar w:fldCharType="begin"/>
      </w:r>
      <w:r>
        <w:instrText xml:space="preserve"> HYPERLINK \l "_Toc43384741" </w:instrText>
      </w:r>
      <w:r>
        <w:fldChar w:fldCharType="separate"/>
      </w:r>
      <w:r>
        <w:rPr>
          <w:rStyle w:val="20"/>
          <w:rFonts w:hint="eastAsia" w:ascii="楷体" w:hAnsi="楷体"/>
        </w:rPr>
        <w:t>（一）强化组织领导</w:t>
      </w:r>
      <w:r>
        <w:rPr>
          <w:rFonts w:ascii="楷体" w:hAnsi="楷体"/>
        </w:rPr>
        <w:tab/>
      </w:r>
      <w:r>
        <w:rPr>
          <w:rFonts w:ascii="楷体" w:hAnsi="楷体"/>
        </w:rPr>
        <w:fldChar w:fldCharType="begin"/>
      </w:r>
      <w:r>
        <w:rPr>
          <w:rFonts w:ascii="楷体" w:hAnsi="楷体"/>
        </w:rPr>
        <w:instrText xml:space="preserve"> PAGEREF _Toc43384741 \h </w:instrText>
      </w:r>
      <w:r>
        <w:rPr>
          <w:rFonts w:ascii="楷体" w:hAnsi="楷体"/>
        </w:rPr>
        <w:fldChar w:fldCharType="separate"/>
      </w:r>
      <w:r>
        <w:rPr>
          <w:rFonts w:ascii="楷体" w:hAnsi="楷体"/>
        </w:rPr>
        <w:t>58</w:t>
      </w:r>
      <w:r>
        <w:rPr>
          <w:rFonts w:ascii="楷体" w:hAnsi="楷体"/>
        </w:rPr>
        <w:fldChar w:fldCharType="end"/>
      </w:r>
      <w:r>
        <w:rPr>
          <w:rFonts w:ascii="楷体" w:hAnsi="楷体"/>
        </w:rPr>
        <w:fldChar w:fldCharType="end"/>
      </w:r>
    </w:p>
    <w:p w14:paraId="3361A67A">
      <w:pPr>
        <w:pStyle w:val="15"/>
        <w:tabs>
          <w:tab w:val="right" w:leader="dot" w:pos="8296"/>
        </w:tabs>
        <w:ind w:left="560" w:firstLine="560"/>
        <w:rPr>
          <w:rFonts w:ascii="楷体" w:hAnsi="楷体" w:cstheme="minorBidi"/>
          <w:sz w:val="21"/>
        </w:rPr>
      </w:pPr>
      <w:r>
        <w:fldChar w:fldCharType="begin"/>
      </w:r>
      <w:r>
        <w:instrText xml:space="preserve"> HYPERLINK \l "_Toc43384742" </w:instrText>
      </w:r>
      <w:r>
        <w:fldChar w:fldCharType="separate"/>
      </w:r>
      <w:r>
        <w:rPr>
          <w:rStyle w:val="20"/>
          <w:rFonts w:hint="eastAsia" w:ascii="楷体" w:hAnsi="楷体"/>
        </w:rPr>
        <w:t>（二）加大财政投入</w:t>
      </w:r>
      <w:r>
        <w:rPr>
          <w:rFonts w:ascii="楷体" w:hAnsi="楷体"/>
        </w:rPr>
        <w:tab/>
      </w:r>
      <w:r>
        <w:rPr>
          <w:rFonts w:ascii="楷体" w:hAnsi="楷体"/>
        </w:rPr>
        <w:fldChar w:fldCharType="begin"/>
      </w:r>
      <w:r>
        <w:rPr>
          <w:rFonts w:ascii="楷体" w:hAnsi="楷体"/>
        </w:rPr>
        <w:instrText xml:space="preserve"> PAGEREF _Toc43384742 \h </w:instrText>
      </w:r>
      <w:r>
        <w:rPr>
          <w:rFonts w:ascii="楷体" w:hAnsi="楷体"/>
        </w:rPr>
        <w:fldChar w:fldCharType="separate"/>
      </w:r>
      <w:r>
        <w:rPr>
          <w:rFonts w:ascii="楷体" w:hAnsi="楷体"/>
        </w:rPr>
        <w:t>59</w:t>
      </w:r>
      <w:r>
        <w:rPr>
          <w:rFonts w:ascii="楷体" w:hAnsi="楷体"/>
        </w:rPr>
        <w:fldChar w:fldCharType="end"/>
      </w:r>
      <w:r>
        <w:rPr>
          <w:rFonts w:ascii="楷体" w:hAnsi="楷体"/>
        </w:rPr>
        <w:fldChar w:fldCharType="end"/>
      </w:r>
    </w:p>
    <w:p w14:paraId="7830B93A">
      <w:pPr>
        <w:pStyle w:val="15"/>
        <w:tabs>
          <w:tab w:val="right" w:leader="dot" w:pos="8296"/>
        </w:tabs>
        <w:ind w:left="560" w:firstLine="560"/>
        <w:rPr>
          <w:rFonts w:ascii="楷体" w:hAnsi="楷体" w:cstheme="minorBidi"/>
          <w:sz w:val="21"/>
        </w:rPr>
      </w:pPr>
      <w:r>
        <w:fldChar w:fldCharType="begin"/>
      </w:r>
      <w:r>
        <w:instrText xml:space="preserve"> HYPERLINK \l "_Toc43384743" </w:instrText>
      </w:r>
      <w:r>
        <w:fldChar w:fldCharType="separate"/>
      </w:r>
      <w:r>
        <w:rPr>
          <w:rStyle w:val="20"/>
          <w:rFonts w:hint="eastAsia" w:ascii="楷体" w:hAnsi="楷体"/>
        </w:rPr>
        <w:t>（三）强化要素保障</w:t>
      </w:r>
      <w:r>
        <w:rPr>
          <w:rFonts w:ascii="楷体" w:hAnsi="楷体"/>
        </w:rPr>
        <w:tab/>
      </w:r>
      <w:r>
        <w:rPr>
          <w:rFonts w:ascii="楷体" w:hAnsi="楷体"/>
        </w:rPr>
        <w:fldChar w:fldCharType="begin"/>
      </w:r>
      <w:r>
        <w:rPr>
          <w:rFonts w:ascii="楷体" w:hAnsi="楷体"/>
        </w:rPr>
        <w:instrText xml:space="preserve"> PAGEREF _Toc43384743 \h </w:instrText>
      </w:r>
      <w:r>
        <w:rPr>
          <w:rFonts w:ascii="楷体" w:hAnsi="楷体"/>
        </w:rPr>
        <w:fldChar w:fldCharType="separate"/>
      </w:r>
      <w:r>
        <w:rPr>
          <w:rFonts w:ascii="楷体" w:hAnsi="楷体"/>
        </w:rPr>
        <w:t>59</w:t>
      </w:r>
      <w:r>
        <w:rPr>
          <w:rFonts w:ascii="楷体" w:hAnsi="楷体"/>
        </w:rPr>
        <w:fldChar w:fldCharType="end"/>
      </w:r>
      <w:r>
        <w:rPr>
          <w:rFonts w:ascii="楷体" w:hAnsi="楷体"/>
        </w:rPr>
        <w:fldChar w:fldCharType="end"/>
      </w:r>
    </w:p>
    <w:p w14:paraId="1207CDF5">
      <w:pPr>
        <w:pStyle w:val="14"/>
        <w:tabs>
          <w:tab w:val="right" w:leader="dot" w:pos="8306"/>
        </w:tabs>
        <w:ind w:firstLine="0" w:firstLineChars="0"/>
        <w:jc w:val="center"/>
        <w:rPr>
          <w:rFonts w:ascii="黑体" w:hAnsi="黑体"/>
          <w:sz w:val="30"/>
          <w:szCs w:val="30"/>
        </w:rPr>
      </w:pPr>
      <w:r>
        <w:rPr>
          <w:rFonts w:ascii="黑体" w:hAnsi="黑体"/>
          <w:sz w:val="30"/>
          <w:szCs w:val="30"/>
        </w:rPr>
        <w:fldChar w:fldCharType="end"/>
      </w:r>
      <w:r>
        <w:rPr>
          <w:rFonts w:ascii="黑体" w:hAnsi="黑体"/>
          <w:sz w:val="30"/>
          <w:szCs w:val="30"/>
        </w:rPr>
        <w:br w:type="page"/>
      </w:r>
    </w:p>
    <w:p w14:paraId="5FAF8AB9">
      <w:pPr>
        <w:pStyle w:val="2"/>
        <w:ind w:firstLine="635"/>
      </w:pPr>
      <w:bookmarkStart w:id="0" w:name="_Toc43384718"/>
      <w:r>
        <w:rPr>
          <w:rFonts w:hint="eastAsia"/>
        </w:rPr>
        <w:t>前言</w:t>
      </w:r>
      <w:bookmarkEnd w:id="0"/>
    </w:p>
    <w:p w14:paraId="08D5FB23">
      <w:pPr>
        <w:spacing w:line="360" w:lineRule="auto"/>
        <w:ind w:firstLine="640"/>
        <w:rPr>
          <w:rFonts w:eastAsia="仿宋"/>
          <w:sz w:val="32"/>
          <w:szCs w:val="30"/>
        </w:rPr>
      </w:pPr>
      <w:r>
        <w:rPr>
          <w:rFonts w:hint="eastAsia" w:eastAsia="仿宋"/>
          <w:sz w:val="32"/>
          <w:szCs w:val="30"/>
        </w:rPr>
        <w:t>党的十九大提出了建设交通强国，这是以习近平同志为核心的党中央立足国情、着眼全局、面向未来作出的重大战略决策。2019年9月，中共中央、国务院印发了《交通强国建设纲要》（中发〔2019〕39号），明确指出建设交通强国是构筑现代化经济体系的先行领域，是全面建成社会主义现代化强国的重要支撑，是新时代做好交通工作的总抓手。“十四五”时期，是我国由全面建成小康社会向基本实现社会主义现代化迈进的关键期，是开启交通强国建设新征程的第一个五年，要求聚焦高质量发展，围绕建设“人民满意、保障有力、世界前列”的交通强国总目标，科学谋划推进强国任务具体化、项目化，实现高规格平稳开局。</w:t>
      </w:r>
    </w:p>
    <w:p w14:paraId="473281E1">
      <w:pPr>
        <w:spacing w:line="360" w:lineRule="auto"/>
        <w:ind w:firstLine="640"/>
        <w:rPr>
          <w:rFonts w:eastAsia="仿宋"/>
          <w:sz w:val="32"/>
          <w:szCs w:val="30"/>
        </w:rPr>
      </w:pPr>
      <w:r>
        <w:rPr>
          <w:rFonts w:hint="eastAsia" w:eastAsia="仿宋"/>
          <w:sz w:val="32"/>
          <w:szCs w:val="30"/>
        </w:rPr>
        <w:t>浙江处于“一带一路”、长江经济带、长三角区域一体化发展等国家战略交汇高地，是全国交通运输发展和改革创新先行先试的重要省份。2020年4月，习近平总书记在考察浙江时，赋予浙江“努力成为新时代全面展示中国特色社会主义制度优越性的重要窗口”新使命。省委省政府高度重视交通运输对经济社会发展全局的关键作用，要求交通打头阵、当先锋，加快建设高水平交通强省，努力当好“重要窗口”建设先行官。</w:t>
      </w:r>
    </w:p>
    <w:p w14:paraId="2E96E3FE">
      <w:pPr>
        <w:spacing w:line="360" w:lineRule="auto"/>
        <w:ind w:firstLine="640"/>
        <w:rPr>
          <w:rFonts w:eastAsia="仿宋"/>
          <w:sz w:val="32"/>
          <w:szCs w:val="30"/>
        </w:rPr>
      </w:pPr>
    </w:p>
    <w:p w14:paraId="19A4047D">
      <w:pPr>
        <w:spacing w:line="360" w:lineRule="auto"/>
        <w:ind w:firstLine="640"/>
        <w:rPr>
          <w:rFonts w:eastAsia="仿宋"/>
          <w:sz w:val="32"/>
          <w:szCs w:val="30"/>
        </w:rPr>
      </w:pPr>
      <w:r>
        <w:rPr>
          <w:rFonts w:hint="eastAsia" w:eastAsia="仿宋"/>
          <w:sz w:val="32"/>
          <w:szCs w:val="30"/>
        </w:rPr>
        <w:t>金义新区作为浙江省设立的第五个省级新区，是全省海陆开放大通道示范区、浙江中西部崛起的引领区，也是金义加快都市区一体化共建的核心战略功能区。为准确把握金义新区（金东）综合运输体系十四五时期的发展定位、总体格局及重点任务等内容，指导各种运输方式协调发展，发挥综合运输体系整体优势，特编制《金义新区（金东）综合交通运输发展“十四五”规划》，作为指导金义新区（金东）未来5年综合交通发展的重要依据，也是全面提升行业治理水平的重要手段。</w:t>
      </w:r>
    </w:p>
    <w:p w14:paraId="2456FA9A">
      <w:pPr>
        <w:spacing w:line="360" w:lineRule="auto"/>
        <w:ind w:firstLine="640"/>
        <w:rPr>
          <w:rFonts w:ascii="仿宋_GB2312" w:hAnsi="仿宋_GB2312" w:eastAsia="仿宋_GB2312"/>
          <w:sz w:val="32"/>
        </w:rPr>
      </w:pPr>
      <w:r>
        <w:rPr>
          <w:rFonts w:hint="eastAsia" w:ascii="仿宋_GB2312" w:hAnsi="仿宋_GB2312" w:eastAsia="仿宋_GB2312"/>
          <w:sz w:val="32"/>
        </w:rPr>
        <w:t>本次《规划》以构建</w:t>
      </w:r>
      <w:r>
        <w:rPr>
          <w:rFonts w:hint="eastAsia" w:eastAsia="黑体"/>
          <w:b/>
          <w:bCs/>
          <w:sz w:val="32"/>
          <w:szCs w:val="30"/>
        </w:rPr>
        <w:t>金义新区（金东）现代化高质量综合立体交通网络为</w:t>
      </w:r>
      <w:r>
        <w:rPr>
          <w:rFonts w:hint="eastAsia" w:ascii="仿宋_GB2312" w:hAnsi="仿宋_GB2312" w:eastAsia="仿宋_GB2312"/>
          <w:sz w:val="32"/>
        </w:rPr>
        <w:t>根本目的，</w:t>
      </w:r>
      <w:r>
        <w:rPr>
          <w:rFonts w:ascii="仿宋_GB2312" w:hAnsi="仿宋_GB2312" w:eastAsia="仿宋_GB2312"/>
          <w:sz w:val="32"/>
        </w:rPr>
        <w:t>范围为</w:t>
      </w:r>
      <w:r>
        <w:rPr>
          <w:rFonts w:hint="eastAsia" w:ascii="仿宋_GB2312" w:hAnsi="仿宋_GB2312" w:eastAsia="仿宋_GB2312"/>
          <w:sz w:val="32"/>
        </w:rPr>
        <w:t>金义新区（金东）全域</w:t>
      </w:r>
      <w:r>
        <w:rPr>
          <w:rFonts w:ascii="仿宋_GB2312" w:hAnsi="仿宋_GB2312" w:eastAsia="仿宋_GB2312"/>
          <w:sz w:val="32"/>
        </w:rPr>
        <w:t>，</w:t>
      </w:r>
      <w:r>
        <w:rPr>
          <w:rFonts w:hint="eastAsia" w:ascii="仿宋_GB2312" w:hAnsi="仿宋_GB2312" w:eastAsia="仿宋_GB2312"/>
          <w:sz w:val="32"/>
        </w:rPr>
        <w:t>总面积661.8平方公里，统筹</w:t>
      </w:r>
      <w:r>
        <w:rPr>
          <w:rFonts w:ascii="仿宋_GB2312" w:hAnsi="仿宋_GB2312" w:eastAsia="仿宋_GB2312"/>
          <w:sz w:val="32"/>
        </w:rPr>
        <w:t>考虑与国际、国内、长三角</w:t>
      </w:r>
      <w:r>
        <w:rPr>
          <w:rFonts w:hint="eastAsia" w:ascii="仿宋_GB2312" w:hAnsi="仿宋_GB2312" w:eastAsia="仿宋_GB2312"/>
          <w:sz w:val="32"/>
        </w:rPr>
        <w:t>、四大都市圈</w:t>
      </w:r>
      <w:r>
        <w:rPr>
          <w:rFonts w:ascii="仿宋_GB2312" w:hAnsi="仿宋_GB2312" w:eastAsia="仿宋_GB2312"/>
          <w:sz w:val="32"/>
        </w:rPr>
        <w:t>及周边</w:t>
      </w:r>
      <w:r>
        <w:rPr>
          <w:rFonts w:hint="eastAsia" w:ascii="仿宋_GB2312" w:hAnsi="仿宋_GB2312" w:eastAsia="仿宋_GB2312"/>
          <w:sz w:val="32"/>
        </w:rPr>
        <w:t>市县（区）</w:t>
      </w:r>
      <w:r>
        <w:rPr>
          <w:rFonts w:ascii="仿宋_GB2312" w:hAnsi="仿宋_GB2312" w:eastAsia="仿宋_GB2312"/>
          <w:sz w:val="32"/>
        </w:rPr>
        <w:t>的连接。规划对象涵盖铁路、轨道交通</w:t>
      </w:r>
      <w:r>
        <w:rPr>
          <w:rFonts w:hint="eastAsia" w:ascii="仿宋_GB2312" w:hAnsi="仿宋_GB2312" w:eastAsia="仿宋_GB2312"/>
          <w:sz w:val="32"/>
        </w:rPr>
        <w:t>、</w:t>
      </w:r>
      <w:r>
        <w:rPr>
          <w:rFonts w:ascii="仿宋_GB2312" w:hAnsi="仿宋_GB2312" w:eastAsia="仿宋_GB2312"/>
          <w:sz w:val="32"/>
        </w:rPr>
        <w:t>公路</w:t>
      </w:r>
      <w:r>
        <w:rPr>
          <w:rFonts w:hint="eastAsia" w:ascii="仿宋_GB2312" w:hAnsi="仿宋_GB2312" w:eastAsia="仿宋_GB2312"/>
          <w:sz w:val="32"/>
        </w:rPr>
        <w:t>、</w:t>
      </w:r>
      <w:r>
        <w:rPr>
          <w:rFonts w:ascii="仿宋_GB2312" w:hAnsi="仿宋_GB2312" w:eastAsia="仿宋_GB2312"/>
          <w:sz w:val="32"/>
        </w:rPr>
        <w:t>水运、民航、枢纽以及未来可能出现的新型交通运输方式。</w:t>
      </w:r>
      <w:r>
        <w:rPr>
          <w:rFonts w:hint="eastAsia" w:ascii="仿宋_GB2312" w:hAnsi="仿宋_GB2312" w:eastAsia="仿宋_GB2312"/>
          <w:sz w:val="32"/>
        </w:rPr>
        <w:t>充分衔接《关于深入贯彻交通强国建设纲要 建设高水平交通强省的实施意见》（简称“总纲”）和《浙江省综合立体交通网规划（2021-2050年）》（简称“总图”）的工作要求。</w:t>
      </w:r>
      <w:r>
        <w:rPr>
          <w:rFonts w:ascii="仿宋_GB2312" w:hAnsi="仿宋_GB2312" w:eastAsia="仿宋_GB2312"/>
          <w:sz w:val="32"/>
        </w:rPr>
        <w:t>规划期限为20</w:t>
      </w:r>
      <w:r>
        <w:rPr>
          <w:rFonts w:hint="eastAsia" w:ascii="仿宋_GB2312" w:hAnsi="仿宋_GB2312" w:eastAsia="仿宋_GB2312"/>
          <w:sz w:val="32"/>
        </w:rPr>
        <w:t>21</w:t>
      </w:r>
      <w:r>
        <w:rPr>
          <w:rFonts w:ascii="仿宋_GB2312" w:hAnsi="仿宋_GB2312" w:eastAsia="仿宋_GB2312"/>
          <w:sz w:val="32"/>
        </w:rPr>
        <w:t>-20</w:t>
      </w:r>
      <w:r>
        <w:rPr>
          <w:rFonts w:hint="eastAsia" w:ascii="仿宋_GB2312" w:hAnsi="仿宋_GB2312" w:eastAsia="仿宋_GB2312"/>
          <w:sz w:val="32"/>
        </w:rPr>
        <w:t>25</w:t>
      </w:r>
      <w:r>
        <w:rPr>
          <w:rFonts w:ascii="仿宋_GB2312" w:hAnsi="仿宋_GB2312" w:eastAsia="仿宋_GB2312"/>
          <w:sz w:val="32"/>
        </w:rPr>
        <w:t>年，基础年为20</w:t>
      </w:r>
      <w:r>
        <w:rPr>
          <w:rFonts w:hint="eastAsia" w:ascii="仿宋_GB2312" w:hAnsi="仿宋_GB2312" w:eastAsia="仿宋_GB2312"/>
          <w:sz w:val="32"/>
        </w:rPr>
        <w:t>19</w:t>
      </w:r>
      <w:r>
        <w:rPr>
          <w:rFonts w:ascii="仿宋_GB2312" w:hAnsi="仿宋_GB2312" w:eastAsia="仿宋_GB2312"/>
          <w:sz w:val="32"/>
        </w:rPr>
        <w:t>年。</w:t>
      </w:r>
      <w:r>
        <w:rPr>
          <w:rFonts w:ascii="仿宋_GB2312" w:hAnsi="仿宋_GB2312" w:eastAsia="仿宋_GB2312"/>
          <w:sz w:val="32"/>
        </w:rPr>
        <w:br w:type="page"/>
      </w:r>
    </w:p>
    <w:p w14:paraId="47AC3915">
      <w:pPr>
        <w:pStyle w:val="2"/>
        <w:ind w:firstLine="635"/>
      </w:pPr>
      <w:bookmarkStart w:id="1" w:name="_Toc34681252"/>
      <w:bookmarkStart w:id="2" w:name="_Toc43384719"/>
      <w:bookmarkStart w:id="3" w:name="_Toc12839"/>
      <w:r>
        <w:t>一、发展基础</w:t>
      </w:r>
      <w:bookmarkEnd w:id="1"/>
      <w:bookmarkEnd w:id="2"/>
    </w:p>
    <w:p w14:paraId="31DC3AAE">
      <w:pPr>
        <w:pStyle w:val="4"/>
        <w:ind w:firstLine="643"/>
      </w:pPr>
      <w:bookmarkStart w:id="4" w:name="_Toc34681253"/>
      <w:bookmarkStart w:id="5" w:name="_Toc43384720"/>
      <w:r>
        <w:t>（一）“十三五”</w:t>
      </w:r>
      <w:bookmarkEnd w:id="4"/>
      <w:r>
        <w:t>总体评价</w:t>
      </w:r>
      <w:bookmarkEnd w:id="5"/>
    </w:p>
    <w:p w14:paraId="5115032B">
      <w:pPr>
        <w:spacing w:line="360" w:lineRule="auto"/>
        <w:ind w:firstLine="640"/>
        <w:rPr>
          <w:rFonts w:ascii="仿宋_GB2312" w:hAnsi="仿宋_GB2312" w:eastAsia="仿宋_GB2312"/>
          <w:sz w:val="32"/>
        </w:rPr>
      </w:pPr>
      <w:bookmarkStart w:id="6" w:name="_Toc34681254"/>
      <w:r>
        <w:rPr>
          <w:rFonts w:hint="eastAsia" w:ascii="仿宋_GB2312" w:hAnsi="仿宋_GB2312" w:eastAsia="仿宋_GB2312"/>
          <w:sz w:val="32"/>
        </w:rPr>
        <w:t>“十三五”以来，金义新区（金东）以金华市综合交通廊道建设为契机，统筹推进交通项目建设，制定“主站一轴、服务两带、融入三圈、接轨义甬舟大通道”的总方针，提出“两高为基、轨道为轴、快速为脉、枢纽为芯、绿道为美”的实施理念，外联内畅构建轨道交通、高速公路、快速干线三大复合闭合圈，统筹全区综合交通发展，打造金义黄金主轴大动脉。已初步形成公路、铁路、水路等多种运输方式协调发展的综合交通运输体系，综合交通基础设施建设投资明显增长。</w:t>
      </w:r>
    </w:p>
    <w:p w14:paraId="596D5DE7">
      <w:pPr>
        <w:pStyle w:val="4"/>
        <w:ind w:firstLine="643"/>
      </w:pPr>
      <w:bookmarkStart w:id="7" w:name="_Toc43384721"/>
      <w:r>
        <w:t>（二）“十三五”发展成就</w:t>
      </w:r>
      <w:bookmarkEnd w:id="6"/>
      <w:bookmarkEnd w:id="7"/>
    </w:p>
    <w:p w14:paraId="76A8C3F4">
      <w:pPr>
        <w:pStyle w:val="39"/>
        <w:numPr>
          <w:ilvl w:val="0"/>
          <w:numId w:val="0"/>
        </w:numPr>
        <w:ind w:firstLine="643" w:firstLineChars="200"/>
        <w:rPr>
          <w:rFonts w:ascii="Times New Roman" w:hAnsi="Times New Roman" w:eastAsia="宋体"/>
          <w:b/>
          <w:szCs w:val="28"/>
        </w:rPr>
      </w:pPr>
      <w:r>
        <w:rPr>
          <w:rFonts w:ascii="Times New Roman" w:hAnsi="Times New Roman" w:eastAsia="宋体"/>
          <w:b/>
          <w:szCs w:val="28"/>
        </w:rPr>
        <w:t>1.基础设施</w:t>
      </w:r>
    </w:p>
    <w:p w14:paraId="16F337CC">
      <w:pPr>
        <w:ind w:firstLine="640"/>
        <w:rPr>
          <w:rFonts w:ascii="仿宋_GB2312" w:hAnsi="仿宋_GB2312" w:eastAsia="仿宋_GB2312"/>
          <w:sz w:val="32"/>
        </w:rPr>
      </w:pPr>
      <w:r>
        <w:rPr>
          <w:rFonts w:hint="eastAsia" w:ascii="仿宋_GB2312" w:hAnsi="仿宋_GB2312" w:eastAsia="仿宋_GB2312"/>
          <w:sz w:val="32"/>
        </w:rPr>
        <w:t>“十三五”期间，金义新区（金东）交通基础设施投资创下历史新高，金义新区（金东）交通建设计划投资</w:t>
      </w:r>
      <w:r>
        <w:rPr>
          <w:rFonts w:ascii="仿宋_GB2312" w:hAnsi="仿宋_GB2312" w:eastAsia="仿宋_GB2312"/>
          <w:sz w:val="32"/>
        </w:rPr>
        <w:t>263.27亿元，是“十二五”的4.68倍。其中，铁路37.96亿元，公</w:t>
      </w:r>
      <w:r>
        <w:rPr>
          <w:rFonts w:hint="eastAsia" w:ascii="仿宋_GB2312" w:hAnsi="仿宋_GB2312" w:eastAsia="仿宋_GB2312"/>
          <w:sz w:val="32"/>
        </w:rPr>
        <w:t>路</w:t>
      </w:r>
      <w:r>
        <w:rPr>
          <w:rFonts w:ascii="仿宋_GB2312" w:hAnsi="仿宋_GB2312" w:eastAsia="仿宋_GB2312"/>
          <w:sz w:val="32"/>
        </w:rPr>
        <w:t>95.79亿元，轨道交通20亿元，物流站场129.52亿元，养护2.5亿元</w:t>
      </w:r>
      <w:r>
        <w:rPr>
          <w:rFonts w:hint="eastAsia" w:ascii="仿宋_GB2312" w:hAnsi="仿宋_GB2312" w:eastAsia="仿宋_GB2312"/>
          <w:sz w:val="32"/>
        </w:rPr>
        <w:t>。十三五截</w:t>
      </w:r>
      <w:r>
        <w:rPr>
          <w:rFonts w:hint="eastAsia" w:ascii="仿宋_GB2312" w:hAnsi="仿宋_GB2312" w:eastAsia="仿宋_GB2312"/>
          <w:sz w:val="32"/>
          <w:lang w:val="en-US" w:eastAsia="zh-CN"/>
        </w:rPr>
        <w:t>至</w:t>
      </w:r>
      <w:r>
        <w:rPr>
          <w:rFonts w:hint="eastAsia" w:ascii="仿宋_GB2312" w:hAnsi="仿宋_GB2312" w:eastAsia="仿宋_GB2312"/>
          <w:sz w:val="32"/>
        </w:rPr>
        <w:t>目前完成投资额</w:t>
      </w:r>
      <w:r>
        <w:rPr>
          <w:rFonts w:ascii="仿宋_GB2312" w:hAnsi="仿宋_GB2312" w:eastAsia="仿宋_GB2312"/>
          <w:sz w:val="32"/>
        </w:rPr>
        <w:t>202.7亿，年均增长12%。（受用地审批影响，县道用地不能审批，十三五计划</w:t>
      </w:r>
      <w:r>
        <w:rPr>
          <w:rFonts w:hint="eastAsia" w:ascii="仿宋_GB2312" w:hAnsi="仿宋_GB2312" w:eastAsia="仿宋_GB2312"/>
          <w:sz w:val="32"/>
        </w:rPr>
        <w:t>县道均不能实施影响投资额约</w:t>
      </w:r>
      <w:r>
        <w:rPr>
          <w:rFonts w:ascii="仿宋_GB2312" w:hAnsi="仿宋_GB2312" w:eastAsia="仿宋_GB2312"/>
          <w:sz w:val="32"/>
        </w:rPr>
        <w:t>16.7亿元。G235国道推进</w:t>
      </w:r>
      <w:r>
        <w:rPr>
          <w:rFonts w:hint="eastAsia" w:ascii="仿宋_GB2312" w:hAnsi="仿宋_GB2312" w:eastAsia="仿宋_GB2312"/>
          <w:sz w:val="32"/>
        </w:rPr>
        <w:t>滞后，影响投资约</w:t>
      </w:r>
      <w:r>
        <w:rPr>
          <w:rFonts w:ascii="仿宋_GB2312" w:hAnsi="仿宋_GB2312" w:eastAsia="仿宋_GB2312"/>
          <w:sz w:val="32"/>
        </w:rPr>
        <w:t>50亿元。）</w:t>
      </w:r>
    </w:p>
    <w:p w14:paraId="7CB81A6F">
      <w:pPr>
        <w:spacing w:line="360" w:lineRule="auto"/>
        <w:ind w:firstLine="562"/>
        <w:rPr>
          <w:rFonts w:ascii="宋体" w:hAnsi="宋体"/>
          <w:b/>
          <w:bCs/>
          <w:szCs w:val="24"/>
        </w:rPr>
      </w:pPr>
      <w:r>
        <w:rPr>
          <w:rFonts w:hint="eastAsia" w:ascii="宋体" w:hAnsi="宋体"/>
          <w:b/>
          <w:bCs/>
          <w:szCs w:val="24"/>
        </w:rPr>
        <w:t>（1）公路建设突飞猛进</w:t>
      </w:r>
    </w:p>
    <w:p w14:paraId="6A80FF37">
      <w:pPr>
        <w:ind w:firstLine="640"/>
        <w:rPr>
          <w:rFonts w:ascii="仿宋_GB2312" w:hAnsi="仿宋_GB2312" w:eastAsia="仿宋_GB2312"/>
          <w:sz w:val="32"/>
        </w:rPr>
      </w:pPr>
      <w:r>
        <w:rPr>
          <w:rFonts w:hint="eastAsia" w:ascii="仿宋_GB2312" w:hAnsi="仿宋_GB2312" w:eastAsia="仿宋_GB2312"/>
          <w:sz w:val="32"/>
        </w:rPr>
        <w:t>“十三五”期间，公路交通建设成效显著，各项经济技术指标上升明显。截止2019年底，金义新区（金东）</w:t>
      </w:r>
      <w:r>
        <w:rPr>
          <w:rFonts w:ascii="仿宋_GB2312" w:hAnsi="仿宋_GB2312" w:eastAsia="仿宋_GB2312"/>
          <w:sz w:val="32"/>
        </w:rPr>
        <w:t>公路总里程</w:t>
      </w:r>
      <w:r>
        <w:rPr>
          <w:rFonts w:hint="eastAsia" w:ascii="仿宋_GB2312" w:hAnsi="仿宋_GB2312" w:eastAsia="仿宋_GB2312"/>
          <w:sz w:val="32"/>
        </w:rPr>
        <w:t>1179.38</w:t>
      </w:r>
      <w:r>
        <w:rPr>
          <w:rFonts w:ascii="仿宋_GB2312" w:hAnsi="仿宋_GB2312" w:eastAsia="仿宋_GB2312"/>
          <w:sz w:val="32"/>
        </w:rPr>
        <w:t>公里</w:t>
      </w:r>
      <w:r>
        <w:rPr>
          <w:rFonts w:hint="eastAsia" w:ascii="仿宋_GB2312" w:hAnsi="仿宋_GB2312" w:eastAsia="仿宋_GB2312"/>
          <w:sz w:val="32"/>
        </w:rPr>
        <w:t>，</w:t>
      </w:r>
      <w:r>
        <w:rPr>
          <w:rFonts w:ascii="仿宋_GB2312" w:hAnsi="仿宋_GB2312" w:eastAsia="仿宋_GB2312"/>
          <w:sz w:val="32"/>
        </w:rPr>
        <w:t>公路密度178.4公里/百平方公里（</w:t>
      </w:r>
      <w:r>
        <w:rPr>
          <w:rFonts w:hint="eastAsia" w:ascii="仿宋_GB2312" w:hAnsi="仿宋_GB2312" w:eastAsia="仿宋_GB2312"/>
          <w:sz w:val="32"/>
        </w:rPr>
        <w:t>远高于</w:t>
      </w:r>
      <w:r>
        <w:rPr>
          <w:rFonts w:ascii="仿宋_GB2312" w:hAnsi="仿宋_GB2312" w:eastAsia="仿宋_GB2312"/>
          <w:sz w:val="32"/>
        </w:rPr>
        <w:t>全</w:t>
      </w:r>
      <w:r>
        <w:rPr>
          <w:rFonts w:hint="eastAsia" w:ascii="仿宋_GB2312" w:hAnsi="仿宋_GB2312" w:eastAsia="仿宋_GB2312"/>
          <w:sz w:val="32"/>
        </w:rPr>
        <w:t>市</w:t>
      </w:r>
      <w:r>
        <w:rPr>
          <w:rFonts w:ascii="仿宋_GB2312" w:hAnsi="仿宋_GB2312" w:eastAsia="仿宋_GB2312"/>
          <w:sz w:val="32"/>
        </w:rPr>
        <w:t>平均119公里/百平方公里）</w:t>
      </w:r>
      <w:r>
        <w:rPr>
          <w:rFonts w:hint="eastAsia" w:ascii="仿宋_GB2312" w:hAnsi="仿宋_GB2312" w:eastAsia="仿宋_GB2312"/>
          <w:sz w:val="32"/>
        </w:rPr>
        <w:t>。经过多年建设，金义新区（金东）已基本形成以G60沪昆高速（杭金衢高速）、G1512甬金高速、G25长深高速（金丽温高速）、G330国道、老S103省道为主骨架，金义快速路、曹塘澧公路、塘源线、东华街等干线公路为主体，以四好农村公路为补充的覆盖城乡所有区域的公路交通网络。</w:t>
      </w:r>
    </w:p>
    <w:p w14:paraId="54DC1428">
      <w:pPr>
        <w:ind w:firstLine="643"/>
        <w:rPr>
          <w:rFonts w:ascii="仿宋_GB2312" w:hAnsi="仿宋_GB2312" w:eastAsia="仿宋_GB2312"/>
          <w:sz w:val="32"/>
        </w:rPr>
      </w:pPr>
      <w:r>
        <w:rPr>
          <w:rFonts w:hint="eastAsia" w:ascii="仿宋_GB2312" w:hAnsi="仿宋_GB2312" w:eastAsia="仿宋_GB2312"/>
          <w:b/>
          <w:sz w:val="32"/>
        </w:rPr>
        <w:t>——高速公路规划建设有序推进：</w:t>
      </w:r>
      <w:r>
        <w:rPr>
          <w:rFonts w:hint="eastAsia" w:ascii="仿宋_GB2312" w:hAnsi="仿宋_GB2312" w:eastAsia="仿宋_GB2312"/>
          <w:sz w:val="32"/>
        </w:rPr>
        <w:t>金义新区（金东）境内现状拥有高速公路3条（G60杭金衢高速、G25金丽温高速、G1512甬金高速），境内全长49.54公里。同时“十三五”期间，金义新区（金东）积极推进了一批高速公路，即开工建设建金高速公路、增设曹宅互通以及推进甬金衢上高速公路的前期谋划工作。</w:t>
      </w:r>
    </w:p>
    <w:p w14:paraId="480E1DA9">
      <w:pPr>
        <w:ind w:firstLine="643"/>
        <w:rPr>
          <w:rFonts w:ascii="仿宋_GB2312" w:hAnsi="仿宋_GB2312" w:eastAsia="仿宋_GB2312"/>
          <w:sz w:val="32"/>
        </w:rPr>
      </w:pPr>
      <w:r>
        <w:rPr>
          <w:rFonts w:hint="eastAsia" w:ascii="仿宋_GB2312" w:hAnsi="仿宋_GB2312" w:eastAsia="仿宋_GB2312"/>
          <w:b/>
          <w:sz w:val="32"/>
        </w:rPr>
        <w:t>——干线公路畅通工程跨越发展：</w:t>
      </w:r>
      <w:r>
        <w:rPr>
          <w:rFonts w:hint="eastAsia" w:ascii="仿宋_GB2312" w:hAnsi="仿宋_GB2312" w:eastAsia="仿宋_GB2312"/>
          <w:sz w:val="32"/>
        </w:rPr>
        <w:t>干线公路建设方面，“十三五”期间，金义新区（金东）先后建设完成了十白线、曹塘澧公路、塘源线改建等多个工程，同时开工建设G235国道金义新区（金东）安里至十八里段公路工程；</w:t>
      </w:r>
    </w:p>
    <w:p w14:paraId="41CC060E">
      <w:pPr>
        <w:ind w:firstLine="643"/>
        <w:rPr>
          <w:rFonts w:asciiTheme="minorEastAsia" w:hAnsiTheme="minorEastAsia" w:eastAsiaTheme="minorEastAsia"/>
          <w:b/>
          <w:szCs w:val="28"/>
        </w:rPr>
      </w:pPr>
      <w:r>
        <w:rPr>
          <w:rFonts w:hint="eastAsia" w:ascii="仿宋_GB2312" w:hAnsi="仿宋_GB2312" w:eastAsia="仿宋_GB2312"/>
          <w:b/>
          <w:sz w:val="32"/>
        </w:rPr>
        <w:t>——“四好农村路”谋划完善：</w:t>
      </w:r>
      <w:r>
        <w:rPr>
          <w:rFonts w:hint="eastAsia" w:ascii="仿宋_GB2312" w:hAnsi="仿宋_GB2312" w:eastAsia="仿宋_GB2312"/>
          <w:sz w:val="32"/>
        </w:rPr>
        <w:t>“</w:t>
      </w:r>
      <w:r>
        <w:rPr>
          <w:rFonts w:ascii="仿宋_GB2312" w:hAnsi="仿宋_GB2312" w:eastAsia="仿宋_GB2312"/>
          <w:sz w:val="32"/>
        </w:rPr>
        <w:t>十</w:t>
      </w:r>
      <w:r>
        <w:rPr>
          <w:rFonts w:hint="eastAsia" w:ascii="仿宋_GB2312" w:hAnsi="仿宋_GB2312" w:eastAsia="仿宋_GB2312"/>
          <w:sz w:val="32"/>
        </w:rPr>
        <w:t>三</w:t>
      </w:r>
      <w:r>
        <w:rPr>
          <w:rFonts w:ascii="仿宋_GB2312" w:hAnsi="仿宋_GB2312" w:eastAsia="仿宋_GB2312"/>
          <w:sz w:val="32"/>
        </w:rPr>
        <w:t>五</w:t>
      </w:r>
      <w:r>
        <w:rPr>
          <w:rFonts w:hint="eastAsia" w:ascii="仿宋_GB2312" w:hAnsi="仿宋_GB2312" w:eastAsia="仿宋_GB2312"/>
          <w:sz w:val="32"/>
        </w:rPr>
        <w:t>”</w:t>
      </w:r>
      <w:r>
        <w:rPr>
          <w:rFonts w:ascii="仿宋_GB2312" w:hAnsi="仿宋_GB2312" w:eastAsia="仿宋_GB2312"/>
          <w:sz w:val="32"/>
        </w:rPr>
        <w:t>期间，</w:t>
      </w:r>
      <w:r>
        <w:rPr>
          <w:rFonts w:hint="eastAsia" w:ascii="仿宋_GB2312" w:hAnsi="仿宋_GB2312" w:eastAsia="仿宋_GB2312"/>
          <w:sz w:val="32"/>
        </w:rPr>
        <w:t>全区助推“四好农村路”创建，完善</w:t>
      </w:r>
      <w:r>
        <w:rPr>
          <w:rFonts w:ascii="仿宋_GB2312" w:hAnsi="仿宋_GB2312" w:eastAsia="仿宋_GB2312"/>
          <w:sz w:val="32"/>
        </w:rPr>
        <w:t>农村联网公路</w:t>
      </w:r>
      <w:r>
        <w:rPr>
          <w:rFonts w:hint="eastAsia" w:ascii="仿宋_GB2312" w:hAnsi="仿宋_GB2312" w:eastAsia="仿宋_GB2312"/>
          <w:sz w:val="32"/>
        </w:rPr>
        <w:t>建设</w:t>
      </w:r>
      <w:r>
        <w:rPr>
          <w:rFonts w:ascii="仿宋_GB2312" w:hAnsi="仿宋_GB2312" w:eastAsia="仿宋_GB2312"/>
          <w:sz w:val="32"/>
        </w:rPr>
        <w:t>，</w:t>
      </w:r>
      <w:r>
        <w:rPr>
          <w:rFonts w:hint="eastAsia" w:ascii="仿宋_GB2312" w:hAnsi="仿宋_GB2312" w:eastAsia="仿宋_GB2312"/>
          <w:sz w:val="32"/>
        </w:rPr>
        <w:t>着力创建浙江省“四好农村路”示范县。截至2019年底，农村公路提升改造工程完成投资0.62亿元，基本实现了农村公路全覆盖的目标。不断完善农村公路基础设施，实施县道、乡道和村道的路面修复工程以及农村公路生命安全防护工程，完成省级、市级、区级事故黑点路口整治和安全设施完善。</w:t>
      </w:r>
    </w:p>
    <w:p w14:paraId="373D6AF9">
      <w:pPr>
        <w:spacing w:line="360" w:lineRule="auto"/>
        <w:ind w:firstLine="562"/>
        <w:rPr>
          <w:rFonts w:ascii="宋体" w:hAnsi="宋体"/>
          <w:b/>
          <w:bCs/>
          <w:szCs w:val="24"/>
        </w:rPr>
      </w:pPr>
      <w:r>
        <w:rPr>
          <w:rFonts w:hint="eastAsia" w:ascii="宋体" w:hAnsi="宋体"/>
          <w:b/>
          <w:bCs/>
          <w:szCs w:val="24"/>
        </w:rPr>
        <w:t>（2）</w:t>
      </w:r>
      <w:r>
        <w:rPr>
          <w:rFonts w:ascii="宋体" w:hAnsi="宋体"/>
          <w:b/>
          <w:bCs/>
          <w:szCs w:val="24"/>
        </w:rPr>
        <w:t>铁路建设</w:t>
      </w:r>
      <w:r>
        <w:rPr>
          <w:rFonts w:hint="eastAsia" w:ascii="宋体" w:hAnsi="宋体"/>
          <w:b/>
          <w:bCs/>
          <w:szCs w:val="24"/>
        </w:rPr>
        <w:t>取得新突破</w:t>
      </w:r>
    </w:p>
    <w:p w14:paraId="350907B8">
      <w:pPr>
        <w:ind w:firstLine="640"/>
        <w:rPr>
          <w:rFonts w:asciiTheme="minorEastAsia" w:hAnsiTheme="minorEastAsia" w:eastAsiaTheme="minorEastAsia"/>
          <w:szCs w:val="28"/>
        </w:rPr>
      </w:pPr>
      <w:r>
        <w:rPr>
          <w:rFonts w:hint="eastAsia" w:ascii="仿宋_GB2312" w:hAnsi="仿宋_GB2312" w:eastAsia="仿宋_GB2312"/>
          <w:sz w:val="32"/>
        </w:rPr>
        <w:t>“十三五”期间，进一步加快完善铁路基础设施建设，构建市域轨道新格局，顺利推进了金义东市域轨道的建设。金义都市区内的交通基础设施系统互联互通水平进一步提升，加快了金义都市区一体化进程。</w:t>
      </w:r>
    </w:p>
    <w:p w14:paraId="323253AB">
      <w:pPr>
        <w:ind w:firstLine="560" w:firstLineChars="0"/>
        <w:rPr>
          <w:rFonts w:asciiTheme="minorEastAsia" w:hAnsiTheme="minorEastAsia" w:eastAsiaTheme="minorEastAsia"/>
          <w:b/>
          <w:bCs/>
          <w:szCs w:val="28"/>
        </w:rPr>
      </w:pPr>
      <w:r>
        <w:rPr>
          <w:rFonts w:hint="eastAsia" w:asciiTheme="minorEastAsia" w:hAnsiTheme="minorEastAsia" w:eastAsiaTheme="minorEastAsia"/>
          <w:b/>
          <w:bCs/>
          <w:szCs w:val="28"/>
        </w:rPr>
        <w:t>（3）站场设施成效显著</w:t>
      </w:r>
    </w:p>
    <w:p w14:paraId="13E7EEBA">
      <w:pPr>
        <w:ind w:firstLine="560" w:firstLineChars="0"/>
        <w:rPr>
          <w:rFonts w:asciiTheme="minorEastAsia" w:hAnsiTheme="minorEastAsia" w:eastAsiaTheme="minorEastAsia"/>
          <w:b/>
          <w:bCs/>
          <w:szCs w:val="28"/>
        </w:rPr>
      </w:pPr>
      <w:r>
        <w:rPr>
          <w:rFonts w:hint="eastAsia" w:ascii="仿宋_GB2312" w:hAnsi="仿宋_GB2312" w:eastAsia="仿宋_GB2312"/>
          <w:sz w:val="32"/>
        </w:rPr>
        <w:t>积极推进浙中公铁联运港以及金华机场选址项目。目前，公铁水联运港二期工程征迁工作已全面完成。</w:t>
      </w:r>
    </w:p>
    <w:p w14:paraId="04343F73">
      <w:pPr>
        <w:pStyle w:val="39"/>
        <w:numPr>
          <w:ilvl w:val="0"/>
          <w:numId w:val="0"/>
        </w:numPr>
        <w:ind w:left="640"/>
        <w:rPr>
          <w:rFonts w:asciiTheme="minorEastAsia" w:hAnsiTheme="minorEastAsia" w:eastAsiaTheme="minorEastAsia"/>
          <w:b/>
          <w:sz w:val="28"/>
          <w:szCs w:val="28"/>
        </w:rPr>
      </w:pPr>
      <w:r>
        <w:rPr>
          <w:rFonts w:asciiTheme="minorEastAsia" w:hAnsiTheme="minorEastAsia" w:eastAsiaTheme="minorEastAsia"/>
          <w:b/>
          <w:sz w:val="28"/>
          <w:szCs w:val="28"/>
        </w:rPr>
        <w:t>2.运输服务</w:t>
      </w:r>
    </w:p>
    <w:p w14:paraId="64953A08">
      <w:pPr>
        <w:ind w:firstLine="560" w:firstLineChars="0"/>
        <w:rPr>
          <w:rFonts w:ascii="仿宋_GB2312" w:hAnsi="仿宋_GB2312" w:eastAsia="仿宋_GB2312"/>
          <w:sz w:val="32"/>
        </w:rPr>
      </w:pPr>
      <w:r>
        <w:rPr>
          <w:rFonts w:hint="eastAsia" w:ascii="仿宋_GB2312" w:hAnsi="仿宋_GB2312" w:eastAsia="仿宋_GB2312"/>
          <w:b/>
          <w:sz w:val="32"/>
        </w:rPr>
        <w:t>——体现亮点，推进绿道建设：</w:t>
      </w:r>
      <w:r>
        <w:rPr>
          <w:rFonts w:hint="eastAsia" w:ascii="仿宋_GB2312" w:hAnsi="仿宋_GB2312" w:eastAsia="仿宋_GB2312"/>
          <w:sz w:val="32"/>
        </w:rPr>
        <w:t>“十三五”以来，金义新区（金东）高起点编制绿道规划，构建起了“二江二山三连二环”的绿道网络体系，助力乡村振兴战略实施，提升都市区能级。截止2019年底，已累计建成超过100公里高品质绿道，包括东阳江绿道、沿江绿道、北线绿道、南线绿道等，深度串联起了山、水、城、乡景，为“和美金东”的美丽乡村建设提供了重要的支撑。</w:t>
      </w:r>
    </w:p>
    <w:p w14:paraId="65880A0F">
      <w:pPr>
        <w:ind w:firstLine="560" w:firstLineChars="0"/>
        <w:rPr>
          <w:rFonts w:ascii="仿宋_GB2312" w:hAnsi="仿宋_GB2312" w:eastAsia="仿宋_GB2312"/>
          <w:sz w:val="32"/>
        </w:rPr>
      </w:pPr>
      <w:r>
        <w:rPr>
          <w:rFonts w:hint="eastAsia" w:ascii="仿宋_GB2312" w:hAnsi="仿宋_GB2312" w:eastAsia="仿宋_GB2312"/>
          <w:b/>
          <w:sz w:val="32"/>
        </w:rPr>
        <w:t>——全力推进公共交通：</w:t>
      </w:r>
      <w:r>
        <w:rPr>
          <w:rFonts w:hint="eastAsia" w:ascii="仿宋_GB2312" w:hAnsi="仿宋_GB2312" w:eastAsia="仿宋_GB2312"/>
          <w:sz w:val="32"/>
        </w:rPr>
        <w:t>“十三五”期间，金义新区（金东）全力发展公共交通，推进城乡交通一体化。2017年已全面</w:t>
      </w:r>
      <w:r>
        <w:rPr>
          <w:rFonts w:ascii="仿宋_GB2312" w:hAnsi="仿宋_GB2312" w:eastAsia="仿宋_GB2312"/>
          <w:sz w:val="32"/>
        </w:rPr>
        <w:t>实现“村村通”公交工作，</w:t>
      </w:r>
      <w:r>
        <w:rPr>
          <w:rFonts w:hint="eastAsia" w:ascii="仿宋_GB2312" w:hAnsi="仿宋_GB2312" w:eastAsia="仿宋_GB2312"/>
          <w:sz w:val="32"/>
        </w:rPr>
        <w:t>并</w:t>
      </w:r>
      <w:r>
        <w:rPr>
          <w:rFonts w:ascii="仿宋_GB2312" w:hAnsi="仿宋_GB2312" w:eastAsia="仿宋_GB2312"/>
          <w:sz w:val="32"/>
        </w:rPr>
        <w:t>在此基础上</w:t>
      </w:r>
      <w:r>
        <w:rPr>
          <w:rFonts w:hint="eastAsia" w:ascii="仿宋_GB2312" w:hAnsi="仿宋_GB2312" w:eastAsia="仿宋_GB2312"/>
          <w:sz w:val="32"/>
        </w:rPr>
        <w:t>不断</w:t>
      </w:r>
      <w:r>
        <w:rPr>
          <w:rFonts w:ascii="仿宋_GB2312" w:hAnsi="仿宋_GB2312" w:eastAsia="仿宋_GB2312"/>
          <w:sz w:val="32"/>
        </w:rPr>
        <w:t>继续深化公交便捷出行，</w:t>
      </w:r>
      <w:r>
        <w:rPr>
          <w:rFonts w:hint="eastAsia" w:ascii="仿宋_GB2312" w:hAnsi="仿宋_GB2312" w:eastAsia="仿宋_GB2312"/>
          <w:sz w:val="32"/>
        </w:rPr>
        <w:t>线网</w:t>
      </w:r>
      <w:r>
        <w:rPr>
          <w:rFonts w:ascii="仿宋_GB2312" w:hAnsi="仿宋_GB2312" w:eastAsia="仿宋_GB2312"/>
          <w:sz w:val="32"/>
        </w:rPr>
        <w:t>优化、增加公交线路；完善乡镇公交</w:t>
      </w:r>
      <w:r>
        <w:rPr>
          <w:rFonts w:hint="eastAsia" w:ascii="仿宋_GB2312" w:hAnsi="仿宋_GB2312" w:eastAsia="仿宋_GB2312"/>
          <w:sz w:val="32"/>
        </w:rPr>
        <w:t>站场</w:t>
      </w:r>
      <w:r>
        <w:rPr>
          <w:rFonts w:ascii="仿宋_GB2312" w:hAnsi="仿宋_GB2312" w:eastAsia="仿宋_GB2312"/>
          <w:sz w:val="32"/>
        </w:rPr>
        <w:t>建设</w:t>
      </w:r>
      <w:r>
        <w:rPr>
          <w:rFonts w:hint="eastAsia" w:ascii="仿宋_GB2312" w:hAnsi="仿宋_GB2312" w:eastAsia="仿宋_GB2312"/>
          <w:sz w:val="32"/>
        </w:rPr>
        <w:t>，包括</w:t>
      </w:r>
      <w:r>
        <w:rPr>
          <w:rFonts w:ascii="仿宋_GB2312" w:hAnsi="仿宋_GB2312" w:eastAsia="仿宋_GB2312"/>
          <w:sz w:val="32"/>
        </w:rPr>
        <w:t>修建港湾式停靠站、候车棚以及增设路线照明设施</w:t>
      </w:r>
      <w:r>
        <w:rPr>
          <w:rFonts w:hint="eastAsia" w:ascii="仿宋_GB2312" w:hAnsi="仿宋_GB2312" w:eastAsia="仿宋_GB2312"/>
          <w:sz w:val="32"/>
        </w:rPr>
        <w:t>等</w:t>
      </w:r>
      <w:r>
        <w:rPr>
          <w:rFonts w:ascii="仿宋_GB2312" w:hAnsi="仿宋_GB2312" w:eastAsia="仿宋_GB2312"/>
          <w:sz w:val="32"/>
        </w:rPr>
        <w:t>。</w:t>
      </w:r>
    </w:p>
    <w:p w14:paraId="2E01E3E1">
      <w:pPr>
        <w:ind w:firstLine="560" w:firstLineChars="0"/>
        <w:rPr>
          <w:rFonts w:ascii="仿宋_GB2312" w:hAnsi="仿宋_GB2312" w:eastAsia="仿宋_GB2312"/>
          <w:b/>
          <w:sz w:val="32"/>
        </w:rPr>
      </w:pPr>
      <w:r>
        <w:rPr>
          <w:rFonts w:hint="eastAsia" w:ascii="仿宋_GB2312" w:hAnsi="仿宋_GB2312" w:eastAsia="仿宋_GB2312"/>
          <w:b/>
          <w:sz w:val="32"/>
        </w:rPr>
        <w:t>——持续加强公路养护管理：</w:t>
      </w:r>
      <w:r>
        <w:rPr>
          <w:rFonts w:hint="eastAsia" w:ascii="仿宋_GB2312" w:hAnsi="仿宋_GB2312" w:eastAsia="仿宋_GB2312"/>
          <w:sz w:val="32"/>
        </w:rPr>
        <w:t>“十三五”期间，金义新区（金东）</w:t>
      </w:r>
      <w:r>
        <w:rPr>
          <w:rFonts w:ascii="仿宋_GB2312" w:hAnsi="仿宋_GB2312" w:eastAsia="仿宋_GB2312"/>
          <w:sz w:val="32"/>
        </w:rPr>
        <w:t>进一步加大日常养护投入，完善主干道路长制，落实公路养护责任，完善养护考核机制，日常养护实现全覆盖。同时进一步提升养护机械化率，养护效率和质量显著提升。</w:t>
      </w:r>
      <w:r>
        <w:rPr>
          <w:rFonts w:hint="eastAsia" w:ascii="仿宋_GB2312" w:hAnsi="仿宋_GB2312" w:eastAsia="仿宋_GB2312"/>
          <w:sz w:val="32"/>
        </w:rPr>
        <w:t>公路大中修工程完成总投资2.17亿元，对G330国道、老103省道等重要干线公路实施预防性养护，工程道路生命防护工程完成投资0.73亿元，桥梁加固改造共完成投资0.13亿元。</w:t>
      </w:r>
    </w:p>
    <w:p w14:paraId="12F2F740">
      <w:pPr>
        <w:pStyle w:val="39"/>
        <w:numPr>
          <w:ilvl w:val="0"/>
          <w:numId w:val="0"/>
        </w:numPr>
        <w:ind w:left="640"/>
        <w:rPr>
          <w:rFonts w:ascii="Times New Roman" w:hAnsi="Times New Roman" w:eastAsia="宋体"/>
          <w:b/>
          <w:sz w:val="28"/>
          <w:szCs w:val="28"/>
        </w:rPr>
      </w:pPr>
      <w:r>
        <w:rPr>
          <w:rFonts w:ascii="Times New Roman" w:hAnsi="Times New Roman" w:eastAsia="宋体"/>
          <w:b/>
          <w:sz w:val="28"/>
          <w:szCs w:val="28"/>
        </w:rPr>
        <w:t>3.行业管理</w:t>
      </w:r>
      <w:r>
        <w:rPr>
          <w:rFonts w:hint="eastAsia" w:ascii="Times New Roman" w:hAnsi="Times New Roman" w:eastAsia="宋体"/>
          <w:b/>
          <w:sz w:val="28"/>
          <w:szCs w:val="28"/>
        </w:rPr>
        <w:t>取得全面进步</w:t>
      </w:r>
      <w:bookmarkEnd w:id="3"/>
    </w:p>
    <w:p w14:paraId="59C32744">
      <w:pPr>
        <w:ind w:firstLine="560" w:firstLineChars="0"/>
        <w:rPr>
          <w:rFonts w:ascii="仿宋_GB2312" w:hAnsi="仿宋_GB2312" w:eastAsia="仿宋_GB2312"/>
          <w:sz w:val="32"/>
        </w:rPr>
      </w:pPr>
      <w:r>
        <w:rPr>
          <w:rFonts w:hint="eastAsia" w:ascii="仿宋_GB2312" w:hAnsi="仿宋_GB2312" w:eastAsia="仿宋_GB2312"/>
          <w:sz w:val="32"/>
        </w:rPr>
        <w:t>“</w:t>
      </w:r>
      <w:r>
        <w:rPr>
          <w:rFonts w:ascii="仿宋_GB2312" w:hAnsi="仿宋_GB2312" w:eastAsia="仿宋_GB2312"/>
          <w:sz w:val="32"/>
        </w:rPr>
        <w:t>十</w:t>
      </w:r>
      <w:r>
        <w:rPr>
          <w:rFonts w:hint="eastAsia" w:ascii="仿宋_GB2312" w:hAnsi="仿宋_GB2312" w:eastAsia="仿宋_GB2312"/>
          <w:sz w:val="32"/>
        </w:rPr>
        <w:t>三</w:t>
      </w:r>
      <w:r>
        <w:rPr>
          <w:rFonts w:ascii="仿宋_GB2312" w:hAnsi="仿宋_GB2312" w:eastAsia="仿宋_GB2312"/>
          <w:sz w:val="32"/>
        </w:rPr>
        <w:t>五</w:t>
      </w:r>
      <w:r>
        <w:rPr>
          <w:rFonts w:hint="eastAsia" w:ascii="仿宋_GB2312" w:hAnsi="仿宋_GB2312" w:eastAsia="仿宋_GB2312"/>
          <w:sz w:val="32"/>
        </w:rPr>
        <w:t>”</w:t>
      </w:r>
      <w:r>
        <w:rPr>
          <w:rFonts w:ascii="仿宋_GB2312" w:hAnsi="仿宋_GB2312" w:eastAsia="仿宋_GB2312"/>
          <w:sz w:val="32"/>
        </w:rPr>
        <w:t>期间，</w:t>
      </w:r>
      <w:r>
        <w:rPr>
          <w:rFonts w:hint="eastAsia" w:ascii="仿宋_GB2312" w:hAnsi="仿宋_GB2312" w:eastAsia="仿宋_GB2312"/>
          <w:sz w:val="32"/>
        </w:rPr>
        <w:t>金义新区（金东）交通坚持以科学发展观为引领，紧紧围绕构建“四个交通”的要求，着力提升全行业治理能力、管理水平。</w:t>
      </w:r>
    </w:p>
    <w:p w14:paraId="5A738819">
      <w:pPr>
        <w:ind w:firstLine="560" w:firstLineChars="0"/>
        <w:rPr>
          <w:rFonts w:ascii="仿宋_GB2312" w:hAnsi="仿宋_GB2312" w:eastAsia="仿宋_GB2312"/>
          <w:sz w:val="32"/>
        </w:rPr>
      </w:pPr>
      <w:r>
        <w:rPr>
          <w:rFonts w:hint="eastAsia" w:ascii="仿宋_GB2312" w:hAnsi="仿宋_GB2312" w:eastAsia="仿宋_GB2312"/>
          <w:b/>
          <w:sz w:val="32"/>
        </w:rPr>
        <w:t>——大力完善组织工作机制：</w:t>
      </w:r>
      <w:r>
        <w:rPr>
          <w:rFonts w:hint="eastAsia" w:ascii="仿宋_GB2312" w:hAnsi="仿宋_GB2312" w:eastAsia="仿宋_GB2312"/>
          <w:sz w:val="32"/>
        </w:rPr>
        <w:t>“十三五”时期，积极创建省级“四好农村路”示范县党建联合体，围绕创建省级“四好农村路”示范县，以党建为引领，以和谐共建为目标，以“四共四联”为机制，按照“建好、管好、护好、运营好”的目标要求，整合党建资源、强化工作措施、创新工作方法、畅通沟通渠道，高效保障省级“四好农村路”示范县创建工作有序推进。</w:t>
      </w:r>
    </w:p>
    <w:p w14:paraId="7B1230CB">
      <w:pPr>
        <w:spacing w:line="360" w:lineRule="auto"/>
        <w:ind w:firstLine="643"/>
        <w:rPr>
          <w:rFonts w:asciiTheme="minorEastAsia" w:hAnsiTheme="minorEastAsia" w:eastAsiaTheme="minorEastAsia"/>
          <w:b/>
          <w:szCs w:val="28"/>
        </w:rPr>
      </w:pPr>
      <w:r>
        <w:rPr>
          <w:rFonts w:hint="eastAsia" w:ascii="仿宋_GB2312" w:hAnsi="仿宋_GB2312" w:eastAsia="仿宋_GB2312"/>
          <w:b/>
          <w:sz w:val="32"/>
        </w:rPr>
        <w:t>——深入实践绿色交通：</w:t>
      </w:r>
      <w:r>
        <w:rPr>
          <w:rFonts w:hint="eastAsia" w:ascii="仿宋_GB2312" w:hAnsi="仿宋_GB2312" w:eastAsia="仿宋_GB2312"/>
          <w:sz w:val="32"/>
        </w:rPr>
        <w:t>“十三五”期间，围绕“两美”金华建设总目标，金义新区（金东）全面推进行业“五水共治”、“四边三化”和“三改一拆”工作，深入实施生态交通五项行动和节能减排“六个”专项行动。大力推广节能环保运输装备，大力发展绿色物流，推进多式联运与物联网联动发展；建设资源节约型环境友好型行业，逐步提高公路、航道预防性养护比重，大力推广新能源在交通运输领域的应用范围和规模。</w:t>
      </w:r>
    </w:p>
    <w:p w14:paraId="093ECC2F">
      <w:pPr>
        <w:ind w:firstLine="643"/>
        <w:rPr>
          <w:rFonts w:ascii="宋体" w:hAnsi="宋体"/>
          <w:sz w:val="24"/>
          <w:szCs w:val="24"/>
        </w:rPr>
      </w:pPr>
      <w:r>
        <w:rPr>
          <w:rFonts w:hint="eastAsia" w:ascii="仿宋_GB2312" w:hAnsi="仿宋_GB2312" w:eastAsia="仿宋_GB2312"/>
          <w:b/>
          <w:sz w:val="32"/>
        </w:rPr>
        <w:t>——着力提升安全</w:t>
      </w:r>
      <w:r>
        <w:rPr>
          <w:rFonts w:ascii="仿宋_GB2312" w:hAnsi="仿宋_GB2312" w:eastAsia="仿宋_GB2312"/>
          <w:b/>
          <w:sz w:val="32"/>
        </w:rPr>
        <w:t>保障</w:t>
      </w:r>
      <w:r>
        <w:rPr>
          <w:rFonts w:hint="eastAsia" w:ascii="仿宋_GB2312" w:hAnsi="仿宋_GB2312" w:eastAsia="仿宋_GB2312"/>
          <w:b/>
          <w:sz w:val="32"/>
        </w:rPr>
        <w:t>水平：</w:t>
      </w:r>
      <w:r>
        <w:rPr>
          <w:rFonts w:hint="eastAsia" w:ascii="仿宋_GB2312" w:hAnsi="仿宋_GB2312" w:eastAsia="仿宋_GB2312"/>
          <w:sz w:val="32"/>
        </w:rPr>
        <w:t>“十三五”期间，金义新区（金东）不断</w:t>
      </w:r>
      <w:r>
        <w:rPr>
          <w:rFonts w:ascii="仿宋_GB2312" w:hAnsi="仿宋_GB2312" w:eastAsia="仿宋_GB2312"/>
          <w:sz w:val="32"/>
        </w:rPr>
        <w:t>强化安全生产专项整治和安全生产检查</w:t>
      </w:r>
      <w:r>
        <w:rPr>
          <w:rFonts w:hint="eastAsia" w:ascii="仿宋_GB2312" w:hAnsi="仿宋_GB2312" w:eastAsia="仿宋_GB2312"/>
          <w:sz w:val="32"/>
        </w:rPr>
        <w:t>，全面开展道路运输行业安全生产标准化建设，全面落实安全监管职责，确保道路运输市场安全有序，创新发展建立定向联系重点运输企业制度，保障交通运输行业</w:t>
      </w:r>
      <w:r>
        <w:rPr>
          <w:rFonts w:ascii="仿宋_GB2312" w:hAnsi="仿宋_GB2312" w:eastAsia="仿宋_GB2312"/>
          <w:sz w:val="32"/>
        </w:rPr>
        <w:t>安全生产形势持续稳定</w:t>
      </w:r>
      <w:r>
        <w:rPr>
          <w:rFonts w:hint="eastAsia" w:ascii="仿宋_GB2312" w:hAnsi="仿宋_GB2312" w:eastAsia="仿宋_GB2312"/>
          <w:sz w:val="32"/>
        </w:rPr>
        <w:t>。</w:t>
      </w:r>
    </w:p>
    <w:p w14:paraId="63FE2B45">
      <w:pPr>
        <w:pStyle w:val="4"/>
        <w:ind w:firstLine="643"/>
      </w:pPr>
      <w:bookmarkStart w:id="8" w:name="_Toc34681255"/>
      <w:bookmarkStart w:id="9" w:name="_Toc43384722"/>
      <w:r>
        <w:t>（三）存在问题</w:t>
      </w:r>
      <w:bookmarkEnd w:id="8"/>
      <w:bookmarkEnd w:id="9"/>
    </w:p>
    <w:p w14:paraId="3430782E">
      <w:pPr>
        <w:pStyle w:val="34"/>
        <w:rPr>
          <w:rFonts w:ascii="Times New Roman"/>
        </w:rPr>
      </w:pPr>
      <w:r>
        <w:rPr>
          <w:rFonts w:hint="eastAsia" w:ascii="Times New Roman"/>
        </w:rPr>
        <w:t>总体而言，金义新区（金东）现状的交通运输服务体系与其基础设施规模、</w:t>
      </w:r>
      <w:r>
        <w:rPr>
          <w:rFonts w:ascii="Times New Roman"/>
        </w:rPr>
        <w:t>运力档次以及</w:t>
      </w:r>
      <w:r>
        <w:rPr>
          <w:rFonts w:hint="eastAsia" w:ascii="Times New Roman"/>
        </w:rPr>
        <w:t>运输需求基本相匹配，已能初步适应经济社会发展需要，但与实现金义新区（金东）交通网络化、同城化、一体化发展的目标还存在差距，尤其是要加快促进金义都市新区在全国率先实现现代化、培育成为金华市乃至全省重要增长极、推进区域经济一体化发展的要求还不相适应。具体体现在一下四方面：</w:t>
      </w:r>
    </w:p>
    <w:p w14:paraId="1BA909D7">
      <w:pPr>
        <w:pStyle w:val="34"/>
        <w:ind w:firstLine="643"/>
        <w:rPr>
          <w:rFonts w:ascii="Times New Roman"/>
          <w:b/>
        </w:rPr>
      </w:pPr>
      <w:r>
        <w:rPr>
          <w:rFonts w:hint="eastAsia" w:ascii="Times New Roman"/>
          <w:b/>
        </w:rPr>
        <w:t>1、</w:t>
      </w:r>
      <w:r>
        <w:rPr>
          <w:rFonts w:ascii="Times New Roman"/>
          <w:b/>
        </w:rPr>
        <w:t>区域发展不平衡，网络布局待优化</w:t>
      </w:r>
      <w:r>
        <w:rPr>
          <w:rFonts w:hint="eastAsia" w:ascii="Times New Roman"/>
          <w:b/>
        </w:rPr>
        <w:t>，路网分布不尽合理，廊道东西联系紧密，但南北链接效率不高，轴带结构城市群对周边城镇衔接有待加强</w:t>
      </w:r>
      <w:r>
        <w:rPr>
          <w:rFonts w:ascii="Times New Roman"/>
          <w:b/>
        </w:rPr>
        <w:t>。</w:t>
      </w:r>
    </w:p>
    <w:p w14:paraId="2067A2BE">
      <w:pPr>
        <w:pStyle w:val="34"/>
        <w:rPr>
          <w:rFonts w:ascii="Times New Roman"/>
        </w:rPr>
      </w:pPr>
      <w:r>
        <w:rPr>
          <w:rFonts w:hint="eastAsia" w:ascii="Times New Roman"/>
        </w:rPr>
        <w:t>受地势以及沪昆铁路、沪昆高铁的影响，金义新区（金东）交通网络形成了沿东西方向发展的走势。目前东西向</w:t>
      </w:r>
      <w:r>
        <w:rPr>
          <w:rFonts w:ascii="Times New Roman"/>
        </w:rPr>
        <w:t>综合交通网络密集，</w:t>
      </w:r>
      <w:r>
        <w:rPr>
          <w:rFonts w:hint="eastAsia" w:ascii="Times New Roman"/>
        </w:rPr>
        <w:t>有G60杭金衢高速、沪昆高铁、甬金高速等高等级公路和轨道；</w:t>
      </w:r>
      <w:r>
        <w:rPr>
          <w:rFonts w:ascii="Times New Roman"/>
        </w:rPr>
        <w:t>而</w:t>
      </w:r>
      <w:r>
        <w:rPr>
          <w:rFonts w:hint="eastAsia" w:ascii="Times New Roman"/>
        </w:rPr>
        <w:t>南北向</w:t>
      </w:r>
      <w:r>
        <w:rPr>
          <w:rFonts w:ascii="Times New Roman"/>
        </w:rPr>
        <w:t>交通网络不完善</w:t>
      </w:r>
      <w:r>
        <w:rPr>
          <w:rFonts w:hint="eastAsia" w:ascii="Times New Roman"/>
        </w:rPr>
        <w:t>，</w:t>
      </w:r>
      <w:r>
        <w:rPr>
          <w:rFonts w:ascii="Times New Roman"/>
        </w:rPr>
        <w:t>金丽温高速（G25）以及G330国道道路扩建为南向的通行提供了便利</w:t>
      </w:r>
      <w:r>
        <w:rPr>
          <w:rFonts w:hint="eastAsia" w:ascii="Times New Roman"/>
        </w:rPr>
        <w:t>，</w:t>
      </w:r>
      <w:r>
        <w:rPr>
          <w:rFonts w:ascii="Times New Roman"/>
        </w:rPr>
        <w:t>但北向的高等级道路仍旧缺少，目前只有潘村至石埠、塘湖至源东两条县道</w:t>
      </w:r>
      <w:r>
        <w:rPr>
          <w:rFonts w:hint="eastAsia" w:ascii="Times New Roman"/>
        </w:rPr>
        <w:t>，阻碍了金义新区（金东）同金义都市区内部各县市区尤其是武义、永康、兰溪之间的相互联系。</w:t>
      </w:r>
    </w:p>
    <w:p w14:paraId="467F3741">
      <w:pPr>
        <w:pStyle w:val="34"/>
        <w:ind w:firstLine="643"/>
        <w:rPr>
          <w:rFonts w:ascii="Times New Roman"/>
          <w:b/>
        </w:rPr>
      </w:pPr>
      <w:r>
        <w:rPr>
          <w:rFonts w:hint="eastAsia" w:ascii="Times New Roman"/>
          <w:b/>
        </w:rPr>
        <w:t>2、交通骨架基本形成，</w:t>
      </w:r>
      <w:r>
        <w:rPr>
          <w:rFonts w:ascii="Times New Roman"/>
          <w:b/>
        </w:rPr>
        <w:t>综合交通衔接不畅，集疏运体系不完善</w:t>
      </w:r>
      <w:r>
        <w:rPr>
          <w:rFonts w:hint="eastAsia" w:ascii="Times New Roman"/>
          <w:b/>
        </w:rPr>
        <w:t>，多式联运枢纽、场站衔接亟待提升</w:t>
      </w:r>
      <w:r>
        <w:rPr>
          <w:rFonts w:ascii="Times New Roman"/>
          <w:b/>
        </w:rPr>
        <w:t>。</w:t>
      </w:r>
    </w:p>
    <w:p w14:paraId="20074C7B">
      <w:pPr>
        <w:pStyle w:val="34"/>
        <w:rPr>
          <w:rFonts w:ascii="Times New Roman"/>
        </w:rPr>
      </w:pPr>
      <w:r>
        <w:rPr>
          <w:rFonts w:hint="eastAsia" w:ascii="Times New Roman"/>
        </w:rPr>
        <w:t>金义新区（金东）综合交通运输体系缺乏统筹规划，各种运输方式的线路和场站规划与建设相对独立，场站与枢纽布局密度低于金华婺城区与义乌，不利于线网的布置；场站设施用地规模不足，立体化综合化建设滞后，导致过的快，下不来，进城慢，形成“金义快联、跨越金东”的不利局面，资源利用效率不高，换乘不便，综合交通一体化功能尚未实现。未来，随着金华市域轨道交通线、华东联运新城、金义站以及浙中机场的发展建设，各种交通运输方式之间应寻求无缝对接，充分发挥综合交通运输一体化功能。</w:t>
      </w:r>
    </w:p>
    <w:p w14:paraId="541A6148">
      <w:pPr>
        <w:pStyle w:val="34"/>
        <w:rPr>
          <w:rFonts w:ascii="Times New Roman"/>
          <w:b/>
        </w:rPr>
      </w:pPr>
      <w:r>
        <w:rPr>
          <w:rFonts w:hint="eastAsia" w:ascii="Times New Roman"/>
        </w:rPr>
        <w:t>3</w:t>
      </w:r>
      <w:r>
        <w:rPr>
          <w:rFonts w:hint="eastAsia" w:ascii="Times New Roman"/>
          <w:b/>
        </w:rPr>
        <w:t>、区域内货运</w:t>
      </w:r>
      <w:r>
        <w:rPr>
          <w:rFonts w:ascii="Times New Roman"/>
          <w:b/>
        </w:rPr>
        <w:t>通道运输能力紧张，供需矛盾突显</w:t>
      </w:r>
      <w:r>
        <w:rPr>
          <w:rFonts w:hint="eastAsia" w:ascii="Times New Roman"/>
          <w:b/>
        </w:rPr>
        <w:t>。</w:t>
      </w:r>
    </w:p>
    <w:p w14:paraId="5A3A5DB1">
      <w:pPr>
        <w:pStyle w:val="34"/>
        <w:rPr>
          <w:rFonts w:ascii="Times New Roman"/>
        </w:rPr>
      </w:pPr>
      <w:r>
        <w:rPr>
          <w:rFonts w:hint="eastAsia" w:ascii="Times New Roman"/>
        </w:rPr>
        <w:t>2018年，金华市物流业增加值已达到632.84亿元，实现快递业务收入169.94亿元，快递业务量为全国第2名、全省第1名，各项指标均超过全省平均水平。物流业的快速集聚使得金义新区（金东）内的货运通道无法满足其日益增长的货运需求，中心城市交通拥堵较为严重。</w:t>
      </w:r>
    </w:p>
    <w:p w14:paraId="2FADE5B8">
      <w:pPr>
        <w:pStyle w:val="34"/>
        <w:ind w:firstLine="643"/>
        <w:rPr>
          <w:rFonts w:ascii="Times New Roman"/>
          <w:b/>
        </w:rPr>
      </w:pPr>
      <w:r>
        <w:rPr>
          <w:rFonts w:hint="eastAsia" w:ascii="Times New Roman"/>
          <w:b/>
        </w:rPr>
        <w:t>4、城乡统筹发展相对滞后</w:t>
      </w:r>
    </w:p>
    <w:p w14:paraId="6D11794C">
      <w:pPr>
        <w:pStyle w:val="34"/>
        <w:rPr>
          <w:rFonts w:ascii="Times New Roman"/>
        </w:rPr>
      </w:pPr>
      <w:r>
        <w:rPr>
          <w:rFonts w:hint="eastAsia" w:ascii="Times New Roman"/>
        </w:rPr>
        <w:t>金义新区（金东）涵盖城区、平原和山区，各区块交通发展存在有较大差异，区块间虽有道路连接，但干线公路缺乏，服务能力不足。同时，同相邻县市之间的快速连通主要还是依赖高速公路，快捷连通各县市中心、便捷服务沿线城镇和产业发展的快速干线体系尚未完全形成。</w:t>
      </w:r>
    </w:p>
    <w:p w14:paraId="0B909406">
      <w:pPr>
        <w:pStyle w:val="34"/>
        <w:ind w:firstLine="643"/>
        <w:rPr>
          <w:rFonts w:ascii="Times New Roman"/>
          <w:b/>
        </w:rPr>
      </w:pPr>
      <w:r>
        <w:rPr>
          <w:rFonts w:hint="eastAsia" w:ascii="Times New Roman"/>
          <w:b/>
        </w:rPr>
        <w:t>5、交通对产业发展的支撑不足，“交通+”模式效能有待发挥。</w:t>
      </w:r>
    </w:p>
    <w:p w14:paraId="695D8AC8">
      <w:pPr>
        <w:pStyle w:val="34"/>
        <w:rPr>
          <w:rFonts w:ascii="Times New Roman"/>
        </w:rPr>
      </w:pPr>
      <w:r>
        <w:rPr>
          <w:rFonts w:hint="eastAsia" w:ascii="Times New Roman"/>
        </w:rPr>
        <w:t>金义新区（金东）正培育新兴产业集聚区及生态人文旅游产业，但通往各主要景点、特色小镇、产业集群的公路存在着路况较差、通达能力弱的问题。对于城区来说，现代物流业与制造业、商贸业没有形成良性互动，物流服务附加价值低；对于乡村来说，旅游业与交通的融合不足，难以支撑特色旅游和产业的发展。</w:t>
      </w:r>
      <w:r>
        <w:rPr>
          <w:rFonts w:ascii="Times New Roman"/>
        </w:rPr>
        <w:br w:type="page"/>
      </w:r>
    </w:p>
    <w:p w14:paraId="480CB391">
      <w:pPr>
        <w:pStyle w:val="2"/>
        <w:ind w:firstLine="635"/>
      </w:pPr>
      <w:bookmarkStart w:id="10" w:name="_Toc43384723"/>
      <w:r>
        <w:rPr>
          <w:rFonts w:hint="eastAsia"/>
        </w:rPr>
        <w:t>二</w:t>
      </w:r>
      <w:r>
        <w:t>、</w:t>
      </w:r>
      <w:r>
        <w:rPr>
          <w:rFonts w:hint="eastAsia"/>
        </w:rPr>
        <w:t>“十四五”发展形势与需求</w:t>
      </w:r>
      <w:bookmarkEnd w:id="10"/>
    </w:p>
    <w:p w14:paraId="3983357D">
      <w:pPr>
        <w:pStyle w:val="4"/>
        <w:ind w:firstLine="643"/>
      </w:pPr>
      <w:bookmarkStart w:id="11" w:name="_Toc43384724"/>
      <w:r>
        <w:rPr>
          <w:rFonts w:hint="eastAsia"/>
        </w:rPr>
        <w:t>（一）发展</w:t>
      </w:r>
      <w:bookmarkEnd w:id="11"/>
      <w:r>
        <w:rPr>
          <w:rFonts w:hint="eastAsia"/>
        </w:rPr>
        <w:t>形势分析</w:t>
      </w:r>
    </w:p>
    <w:p w14:paraId="5E9A497B">
      <w:pPr>
        <w:pStyle w:val="34"/>
        <w:ind w:firstLine="643"/>
        <w:rPr>
          <w:rFonts w:ascii="Times New Roman"/>
          <w:b/>
        </w:rPr>
      </w:pPr>
      <w:r>
        <w:rPr>
          <w:rFonts w:hint="eastAsia" w:ascii="Times New Roman"/>
          <w:b/>
        </w:rPr>
        <w:t>1、一带一路交通强国，两个百年交通引领，要求金义新区（金东）加快提升枢纽功能，融入区域一体化发展。</w:t>
      </w:r>
    </w:p>
    <w:p w14:paraId="362B48AB">
      <w:pPr>
        <w:pStyle w:val="43"/>
        <w:rPr>
          <w:rFonts w:cs="仿宋_GB2312" w:hAnsiTheme="minorHAnsi"/>
        </w:rPr>
      </w:pPr>
      <w:r>
        <w:rPr>
          <w:rFonts w:hint="eastAsia" w:cs="仿宋_GB2312" w:hAnsiTheme="minorHAnsi"/>
        </w:rPr>
        <w:t>党的十九大作出了新时代中国特色社会主义建设两个阶段的战略性安排，实现</w:t>
      </w:r>
      <w:r>
        <w:rPr>
          <w:rFonts w:cs="仿宋_GB2312" w:hAnsiTheme="minorHAnsi"/>
        </w:rPr>
        <w:t>“</w:t>
      </w:r>
      <w:r>
        <w:rPr>
          <w:rFonts w:hint="eastAsia" w:cs="仿宋_GB2312" w:hAnsiTheme="minorHAnsi"/>
        </w:rPr>
        <w:t>两个一百年</w:t>
      </w:r>
      <w:r>
        <w:rPr>
          <w:rFonts w:cs="仿宋_GB2312" w:hAnsiTheme="minorHAnsi"/>
        </w:rPr>
        <w:t>”</w:t>
      </w:r>
      <w:r>
        <w:rPr>
          <w:rFonts w:hint="eastAsia" w:cs="仿宋_GB2312" w:hAnsiTheme="minorHAnsi"/>
        </w:rPr>
        <w:t>宏伟奋斗目标，并提出了建设交通强国，这是以习近平同志为核心的党中央立足国情、着眼全局、面向未来作出的重大战略决策。中共中央、国务院印发了《交通强国建设纲要》,明确了建设交通强国的具体要求。浙江是全国首个省域“现代交通示范区”，金华（金义新区（金东））作为浙江现代化发展引领极的四大都市区之一，是落实“一带一路”建设、长江经济带发展、长三角区域一体化发展等国家战略和浙江省“四大”建设战略部署的重要支点，要立足国家战略实施，聚焦一体化和高质量发展要求，构建具有示范性和竞争力的现代化交通运输体系。</w:t>
      </w:r>
    </w:p>
    <w:p w14:paraId="49B18CFC">
      <w:pPr>
        <w:pStyle w:val="34"/>
        <w:ind w:firstLine="643"/>
        <w:rPr>
          <w:rFonts w:ascii="Times New Roman"/>
          <w:b/>
        </w:rPr>
      </w:pPr>
      <w:r>
        <w:rPr>
          <w:rFonts w:hint="eastAsia" w:ascii="Times New Roman"/>
          <w:b/>
        </w:rPr>
        <w:t>2、浙江加快建设高水平交通强省，努力当好“重要窗口”建设的“先行官”。</w:t>
      </w:r>
    </w:p>
    <w:p w14:paraId="4CFE595E">
      <w:pPr>
        <w:pStyle w:val="34"/>
        <w:ind w:firstLineChars="0"/>
      </w:pPr>
      <w:r>
        <w:rPr>
          <w:rFonts w:hint="eastAsia"/>
        </w:rPr>
        <w:t>2020年4月</w:t>
      </w:r>
      <w:r>
        <w:t>习近平总书记</w:t>
      </w:r>
      <w:r>
        <w:rPr>
          <w:rFonts w:hint="eastAsia"/>
        </w:rPr>
        <w:t>疫情期间</w:t>
      </w:r>
      <w:r>
        <w:t>考察浙江</w:t>
      </w:r>
      <w:r>
        <w:rPr>
          <w:rFonts w:hint="eastAsia"/>
        </w:rPr>
        <w:t>时指出，要</w:t>
      </w:r>
      <w:r>
        <w:t>深入贯彻落实交通强国战略部署，以“三个地”的使命担当，加快建设高水平交通强省，更好发挥先行官作用，为我省努力成为新时代全面展示中国特色社会主义制度优越性的</w:t>
      </w:r>
      <w:r>
        <w:rPr>
          <w:rFonts w:hint="eastAsia"/>
        </w:rPr>
        <w:t>“</w:t>
      </w:r>
      <w:r>
        <w:t>重要窗口</w:t>
      </w:r>
      <w:r>
        <w:rPr>
          <w:rFonts w:hint="eastAsia"/>
        </w:rPr>
        <w:t>”</w:t>
      </w:r>
      <w:r>
        <w:t>提供有力支撑。</w:t>
      </w:r>
      <w:r>
        <w:rPr>
          <w:rFonts w:hint="eastAsia"/>
        </w:rPr>
        <w:t>省委省政府发布的《关于深入贯彻《建设高水平交通强省的实施意见》明确提出，到2025年，高质量完成交通强国建设试点，综合立体交通网更趋完善。《浙江省综合立体交通网规划（2</w:t>
      </w:r>
      <w:r>
        <w:t>021</w:t>
      </w:r>
      <w:r>
        <w:rPr>
          <w:rFonts w:hint="eastAsia"/>
        </w:rPr>
        <w:t>-</w:t>
      </w:r>
      <w:r>
        <w:t>2050</w:t>
      </w:r>
      <w:r>
        <w:rPr>
          <w:rFonts w:hint="eastAsia"/>
        </w:rPr>
        <w:t>）》也提出，</w:t>
      </w:r>
      <w:r>
        <w:t>“十四五”期间将着力构建立体高效的综合交通网络，重点推进关键通道能力提升、加密拓展网络覆盖和综合交通枢纽建设。</w:t>
      </w:r>
      <w:r>
        <w:rPr>
          <w:rFonts w:hint="eastAsia"/>
        </w:rPr>
        <w:t>因此，</w:t>
      </w:r>
      <w:r>
        <w:rPr>
          <w:rFonts w:hint="eastAsia" w:cs="仿宋_GB2312" w:hAnsiTheme="minorHAnsi"/>
        </w:rPr>
        <w:t>交通运输要积极发挥先行引领和支持保障作用，为金义新区（金东）</w:t>
      </w:r>
      <w:r>
        <w:t>加快推动“</w:t>
      </w:r>
      <w:r>
        <w:rPr>
          <w:rFonts w:hint="eastAsia"/>
        </w:rPr>
        <w:t>金义</w:t>
      </w:r>
      <w:r>
        <w:t>大都市区”交通一体化格局</w:t>
      </w:r>
      <w:r>
        <w:rPr>
          <w:rFonts w:hint="eastAsia"/>
        </w:rPr>
        <w:t>，</w:t>
      </w:r>
      <w:r>
        <w:rPr>
          <w:rFonts w:hint="eastAsia" w:cs="仿宋_GB2312" w:hAnsiTheme="minorHAnsi"/>
        </w:rPr>
        <w:t>建成现代化经济体系、高水平全面建成小康社会当好先行。</w:t>
      </w:r>
    </w:p>
    <w:p w14:paraId="0AD2E41F">
      <w:pPr>
        <w:pStyle w:val="34"/>
        <w:ind w:firstLine="643"/>
        <w:rPr>
          <w:rFonts w:ascii="Times New Roman"/>
          <w:b/>
        </w:rPr>
      </w:pPr>
      <w:r>
        <w:rPr>
          <w:rFonts w:hint="eastAsia" w:ascii="Times New Roman"/>
          <w:b/>
        </w:rPr>
        <w:t>3、金华打造全国性综合交通枢纽，强化金义新区（金东）交通服务功能，倡导多式联运</w:t>
      </w:r>
    </w:p>
    <w:p w14:paraId="69AB6ED8">
      <w:pPr>
        <w:pStyle w:val="34"/>
        <w:ind w:firstLineChars="0"/>
      </w:pPr>
      <w:r>
        <w:rPr>
          <w:rFonts w:hint="eastAsia"/>
        </w:rPr>
        <w:t>金华正在打造</w:t>
      </w:r>
      <w:r>
        <w:rPr>
          <w:rFonts w:hint="eastAsia" w:ascii="黑体" w:hAnsi="黑体" w:eastAsia="黑体"/>
          <w:b/>
        </w:rPr>
        <w:t>全国性综合交通枢纽和国家物流枢纽</w:t>
      </w:r>
      <w:r>
        <w:rPr>
          <w:rFonts w:hint="eastAsia"/>
        </w:rPr>
        <w:t>，金义新区（金东）作为金义核心区的重要组成部分，要积极</w:t>
      </w:r>
      <w:r>
        <w:rPr>
          <w:rFonts w:hint="eastAsia"/>
          <w:b/>
          <w:bCs/>
        </w:rPr>
        <w:t>推进区域交通共建，共同打造综合交通运输网络，着力提升综合交通运输服务功能</w:t>
      </w:r>
      <w:r>
        <w:rPr>
          <w:rFonts w:hint="eastAsia"/>
        </w:rPr>
        <w:t>。同时还要加快转变交通发展方式，从注重各种交通方式单独发展向综合交通发展，构建以公铁为主、多式联运有机衔接的现代物流服务体系，深度融入国家“一带一路”建设，构建线上线下“4+1”国际物流网络，依托火车南站建设浙中公铁联运港以及金义高铁站在金华全国性综合交通枢纽中起重要支撑引领作用。为浙江省打造交通强国建设示范区、更高质量发展先行区和人民满意交通样板区贡献金华力量。</w:t>
      </w:r>
    </w:p>
    <w:p w14:paraId="26125E36">
      <w:pPr>
        <w:pStyle w:val="34"/>
        <w:ind w:firstLine="643"/>
        <w:rPr>
          <w:rFonts w:ascii="Times New Roman"/>
          <w:b/>
        </w:rPr>
      </w:pPr>
      <w:r>
        <w:rPr>
          <w:rFonts w:hint="eastAsia" w:ascii="Times New Roman"/>
          <w:b/>
        </w:rPr>
        <w:t>4、省政府批复设立金华金义新区（金东），现代化综合交通建设迎来新的重大机遇。</w:t>
      </w:r>
    </w:p>
    <w:p w14:paraId="6D749F8C">
      <w:pPr>
        <w:pStyle w:val="34"/>
      </w:pPr>
      <w:r>
        <w:rPr>
          <w:rFonts w:hint="eastAsia"/>
        </w:rPr>
        <w:t>5月18日，省政府批复同意设立金华金义新区，成为继杭州钱塘新区、湖州南太湖新区、宁波前湾新区、绍兴滨海新区后之后的省政府设立的第五个省级新区。获批方案将金义新区功能定位为金义都市区一体化发展新城区、浙江中西部崛起引领区、全省海陆开放大通道示范区、全国国际贸易综合改革先行区。金义新区（金东）要抓住此次省级新区设立的重大机遇，按照设施互联互通的目标要求，着力构筑对外交通快速化、城际交通便捷化、城市交通立体化、公共交通一体化的现代化综合立体交通网络。</w:t>
      </w:r>
    </w:p>
    <w:p w14:paraId="58543A0F">
      <w:pPr>
        <w:pStyle w:val="34"/>
        <w:ind w:firstLine="643"/>
        <w:rPr>
          <w:rFonts w:ascii="Times New Roman"/>
          <w:b/>
        </w:rPr>
      </w:pPr>
      <w:r>
        <w:rPr>
          <w:rFonts w:hint="eastAsia" w:ascii="Times New Roman"/>
          <w:b/>
        </w:rPr>
        <w:t>5、高质量建设和美金义新区（金东）、高水平打造希望新城，要求加快构建全域同城化快速交通体系。</w:t>
      </w:r>
    </w:p>
    <w:p w14:paraId="13122C59">
      <w:pPr>
        <w:pStyle w:val="34"/>
        <w:ind w:firstLineChars="0"/>
      </w:pPr>
      <w:r>
        <w:rPr>
          <w:rFonts w:hint="eastAsia"/>
        </w:rPr>
        <w:t>2019年金义新区（金东）区委四届五次全会提出了锚定设区20周年时间节点，</w:t>
      </w:r>
      <w:r>
        <w:t>大力实施实业兴区、创新强区、生态立区、人文富区四大战略</w:t>
      </w:r>
      <w:r>
        <w:rPr>
          <w:rFonts w:hint="eastAsia"/>
        </w:rPr>
        <w:t>，主动融入“两个一体化”，积极对接“三大改革试点”，对标对位“四个参照系”，全面打赢“九场硬战”，高质量建设和美金义新区（金东）、高水平打造希望新城的发展方位和工作主题。</w:t>
      </w:r>
    </w:p>
    <w:p w14:paraId="3EC1FD79">
      <w:pPr>
        <w:pStyle w:val="34"/>
        <w:ind w:firstLineChars="0"/>
      </w:pPr>
      <w:r>
        <w:rPr>
          <w:rFonts w:hint="eastAsia"/>
        </w:rPr>
        <w:t>金义新区（金东）综合交通发展未来要立足金义都市区，聚焦金义一体化、全域同城化，用好区位优势，拓展发展平台，优化功能布局，努力打响“中心区”金字招牌，彰显“核心区”优势地位。积极对接金华国家现代服务业综合试点、义乌国际贸易综合改革试验 区、浙江横店影视文化产业试验区，全力服务保障金义都市新区、多湖中央商务区、金华山旅游经济区，共享政策资源，承接产业转移，打造都市区发展最快、最具活力的区域。</w:t>
      </w:r>
    </w:p>
    <w:p w14:paraId="48F5F52B">
      <w:pPr>
        <w:pStyle w:val="4"/>
        <w:ind w:firstLine="643"/>
      </w:pPr>
      <w:bookmarkStart w:id="12" w:name="_Toc43384725"/>
      <w:r>
        <w:rPr>
          <w:rFonts w:hint="eastAsia"/>
        </w:rPr>
        <w:t>（二）发展趋势</w:t>
      </w:r>
      <w:bookmarkEnd w:id="12"/>
      <w:r>
        <w:rPr>
          <w:rFonts w:hint="eastAsia"/>
        </w:rPr>
        <w:t>判断</w:t>
      </w:r>
    </w:p>
    <w:p w14:paraId="3630E889">
      <w:pPr>
        <w:pStyle w:val="34"/>
        <w:ind w:firstLineChars="0"/>
      </w:pPr>
      <w:r>
        <w:rPr>
          <w:rFonts w:hint="eastAsia"/>
        </w:rPr>
        <w:t xml:space="preserve">“十四五”将是金义新区（金东）经济社会深化转型的关键五年，交通运输发展模式总体上将从“规模拉动”向“质量驱动”转变，实现高质量发展。交通发展呈现四大特征：   </w:t>
      </w:r>
    </w:p>
    <w:p w14:paraId="3E99DFF5">
      <w:pPr>
        <w:pStyle w:val="34"/>
        <w:ind w:firstLineChars="0"/>
        <w:rPr>
          <w:b/>
        </w:rPr>
      </w:pPr>
      <w:r>
        <w:rPr>
          <w:rFonts w:hint="eastAsia"/>
          <w:b/>
        </w:rPr>
        <w:t>1、基础设施持续增长，补充短板完善网络</w:t>
      </w:r>
    </w:p>
    <w:p w14:paraId="1B120A93">
      <w:pPr>
        <w:pStyle w:val="34"/>
        <w:ind w:firstLineChars="0"/>
      </w:pPr>
      <w:r>
        <w:rPr>
          <w:rFonts w:hint="eastAsia"/>
        </w:rPr>
        <w:t>交通基础设施规模的增长要适应“十四五”时期金义新区（金东）经济社会的发展和交通运输的需求。金义新区（金东）综合交通网络骨架也已基本形成，但高标准高铁通道只有沪昆高铁一条，机场服务能力和航线网络也不适应发展需求，都市区轨道交通和快速路建设刚刚起步，金义新区（金东）交通发展应进一步聚焦补齐高品质交通设施短板，加快完善多层次综合立体交通网络。以补充基础设施短板、完善网络为重点，铁路、公路等交通设施的规模仍持续加大，加大网络的覆盖面。</w:t>
      </w:r>
    </w:p>
    <w:p w14:paraId="0957D3EF">
      <w:pPr>
        <w:pStyle w:val="34"/>
        <w:ind w:firstLineChars="0"/>
        <w:rPr>
          <w:b/>
        </w:rPr>
      </w:pPr>
      <w:r>
        <w:rPr>
          <w:rFonts w:hint="eastAsia"/>
          <w:b/>
        </w:rPr>
        <w:t>2、独立并行方式转变，综合立体网络建设</w:t>
      </w:r>
    </w:p>
    <w:p w14:paraId="710B7067">
      <w:pPr>
        <w:pStyle w:val="34"/>
        <w:ind w:firstLineChars="0"/>
      </w:pPr>
      <w:r>
        <w:rPr>
          <w:rFonts w:hint="eastAsia"/>
        </w:rPr>
        <w:t>“十四五”时期，金义新区（金东）综合交通运输建设从初级阶段向综合立体网络建设的高级阶段推进。交通运输由相对独立的综合并行发展向不同方式之间融合联动、一体化协作转变。未来要谋划构建适应和引领都市区发展，集城际快运、城市通勤等功能一体的现代化都市区综合交通系统。</w:t>
      </w:r>
    </w:p>
    <w:p w14:paraId="36E8CCF8">
      <w:pPr>
        <w:pStyle w:val="34"/>
        <w:ind w:firstLineChars="0"/>
        <w:rPr>
          <w:b/>
        </w:rPr>
      </w:pPr>
      <w:r>
        <w:rPr>
          <w:rFonts w:hint="eastAsia"/>
          <w:b/>
        </w:rPr>
        <w:t>3、提增量转向优存量，重配置转向重服务</w:t>
      </w:r>
    </w:p>
    <w:p w14:paraId="4F45AB2F">
      <w:pPr>
        <w:pStyle w:val="34"/>
        <w:ind w:firstLineChars="0"/>
      </w:pPr>
      <w:r>
        <w:rPr>
          <w:rFonts w:hint="eastAsia"/>
        </w:rPr>
        <w:t>“十四五”时期，随着经济社会发展持续发展、产业结构转型升级和人民生活水平日益提高，金义新区（金东）及周边区域客货运输总规模将稳步提升，高品质客货运输需求快速增加。适应产业升级要求的快捷高效经济的物流服务体系加快发展，满足公众便捷舒适出行要求的高品质、个性化、定制化交通服务将逐步普及。金义新区（金东）综合交通建设应由注重增量供给和规模拉动效应向交通资源存量优化、增量配置和提升综合服务质量转变，更加注重提升人民对交通运输的满意度。</w:t>
      </w:r>
    </w:p>
    <w:p w14:paraId="633F1217">
      <w:pPr>
        <w:pStyle w:val="34"/>
        <w:ind w:firstLineChars="0"/>
        <w:rPr>
          <w:b/>
        </w:rPr>
      </w:pPr>
      <w:r>
        <w:rPr>
          <w:rFonts w:hint="eastAsia"/>
          <w:b/>
        </w:rPr>
        <w:t>4、技术模式全面创新，传统转型智慧交通</w:t>
      </w:r>
    </w:p>
    <w:p w14:paraId="5AF6EF50">
      <w:pPr>
        <w:pStyle w:val="34"/>
        <w:ind w:firstLineChars="0"/>
      </w:pPr>
      <w:r>
        <w:rPr>
          <w:rFonts w:hint="eastAsia"/>
        </w:rPr>
        <w:t>“十四五”时期，随着信息经济和共享经济的发展，新技术、新模式、新业态、新产业与综合交通深度融合。绿色低碳交通方式在金义新区（金东）居民出行中所占比重将逐步提升，P+R、共享出行等新模式逐步推广，新能源交通工具得到更为广泛的应用。智慧交通服务水平显著提升，运输服务与出行个体的互动更为密切，智能交通服务覆盖出行全过程，智能化基础设施与智慧运载工具协同互联，智能化、自动化客货运服务系统将逐步成为现实。交通基础建设由传统向智慧交通系统转型。</w:t>
      </w:r>
    </w:p>
    <w:p w14:paraId="6633B154">
      <w:pPr>
        <w:pStyle w:val="4"/>
        <w:ind w:firstLine="643"/>
      </w:pPr>
      <w:bookmarkStart w:id="13" w:name="_Toc43384726"/>
      <w:r>
        <w:rPr>
          <w:rFonts w:hint="eastAsia"/>
        </w:rPr>
        <w:t>（三）</w:t>
      </w:r>
      <w:bookmarkEnd w:id="13"/>
      <w:r>
        <w:rPr>
          <w:rFonts w:hint="eastAsia"/>
        </w:rPr>
        <w:t>发展需求预测</w:t>
      </w:r>
    </w:p>
    <w:p w14:paraId="2B919F42">
      <w:pPr>
        <w:pStyle w:val="34"/>
        <w:ind w:firstLineChars="0"/>
        <w:rPr>
          <w:b/>
        </w:rPr>
      </w:pPr>
      <w:r>
        <w:rPr>
          <w:rFonts w:hint="eastAsia"/>
          <w:b/>
        </w:rPr>
        <w:t>1、交通运输需求现状</w:t>
      </w:r>
    </w:p>
    <w:p w14:paraId="418D3064">
      <w:pPr>
        <w:pStyle w:val="34"/>
        <w:ind w:firstLineChars="0"/>
      </w:pPr>
      <w:r>
        <w:rPr>
          <w:rFonts w:hint="eastAsia"/>
        </w:rPr>
        <w:t>客运：从整体上看，近年来客运量总体呈现上升趋势，年均</w:t>
      </w:r>
      <w:r>
        <w:t>增长3.5%</w:t>
      </w:r>
      <w:r>
        <w:rPr>
          <w:rFonts w:hint="eastAsia"/>
        </w:rPr>
        <w:t>。而2</w:t>
      </w:r>
      <w:r>
        <w:t>019</w:t>
      </w:r>
      <w:r>
        <w:rPr>
          <w:rFonts w:hint="eastAsia"/>
        </w:rPr>
        <w:t>年的客运量从2</w:t>
      </w:r>
      <w:r>
        <w:t>018</w:t>
      </w:r>
      <w:r>
        <w:rPr>
          <w:rFonts w:hint="eastAsia"/>
        </w:rPr>
        <w:t>年的1</w:t>
      </w:r>
      <w:r>
        <w:t>804</w:t>
      </w:r>
      <w:r>
        <w:rPr>
          <w:rFonts w:hint="eastAsia"/>
        </w:rPr>
        <w:t>万人下降到1</w:t>
      </w:r>
      <w:r>
        <w:t>631</w:t>
      </w:r>
      <w:r>
        <w:rPr>
          <w:rFonts w:hint="eastAsia"/>
        </w:rPr>
        <w:t>万人</w:t>
      </w:r>
      <w:r>
        <w:t>。</w:t>
      </w:r>
    </w:p>
    <w:p w14:paraId="33098295">
      <w:pPr>
        <w:pStyle w:val="34"/>
        <w:ind w:firstLineChars="0"/>
      </w:pPr>
      <w:r>
        <w:rPr>
          <w:rFonts w:hint="eastAsia"/>
        </w:rPr>
        <w:t>货运</w:t>
      </w:r>
      <w:r>
        <w:t>：</w:t>
      </w:r>
      <w:r>
        <w:rPr>
          <w:rFonts w:hint="eastAsia"/>
        </w:rPr>
        <w:t>从2</w:t>
      </w:r>
      <w:r>
        <w:t>013</w:t>
      </w:r>
      <w:r>
        <w:rPr>
          <w:rFonts w:hint="eastAsia"/>
        </w:rPr>
        <w:t>年到2</w:t>
      </w:r>
      <w:r>
        <w:t>017</w:t>
      </w:r>
      <w:r>
        <w:rPr>
          <w:rFonts w:hint="eastAsia"/>
        </w:rPr>
        <w:t>年货运量基本稳定，但2</w:t>
      </w:r>
      <w:r>
        <w:t>018</w:t>
      </w:r>
      <w:r>
        <w:rPr>
          <w:rFonts w:hint="eastAsia"/>
        </w:rPr>
        <w:t>年货运量由前一年的6</w:t>
      </w:r>
      <w:r>
        <w:t>78</w:t>
      </w:r>
      <w:r>
        <w:rPr>
          <w:rFonts w:hint="eastAsia"/>
        </w:rPr>
        <w:t>万吨下降到4</w:t>
      </w:r>
      <w:r>
        <w:t>50</w:t>
      </w:r>
      <w:r>
        <w:rPr>
          <w:rFonts w:hint="eastAsia"/>
        </w:rPr>
        <w:t>万吨，之后又呈现上升趋势，2</w:t>
      </w:r>
      <w:r>
        <w:t>019</w:t>
      </w:r>
      <w:r>
        <w:rPr>
          <w:rFonts w:hint="eastAsia"/>
        </w:rPr>
        <w:t>年货运量增长率为4</w:t>
      </w:r>
      <w:r>
        <w:t>.9</w:t>
      </w:r>
      <w:r>
        <w:rPr>
          <w:rFonts w:hint="eastAsia"/>
        </w:rPr>
        <w:t>%。</w:t>
      </w:r>
    </w:p>
    <w:p w14:paraId="6591A2BB">
      <w:pPr>
        <w:spacing w:line="360" w:lineRule="auto"/>
        <w:ind w:firstLine="422"/>
        <w:jc w:val="center"/>
        <w:rPr>
          <w:rFonts w:ascii="黑体" w:hAnsi="黑体" w:eastAsia="黑体"/>
          <w:b/>
          <w:sz w:val="21"/>
        </w:rPr>
      </w:pPr>
      <w:r>
        <w:rPr>
          <w:rFonts w:hint="eastAsia" w:ascii="黑体" w:hAnsi="黑体" w:eastAsia="黑体"/>
          <w:b/>
          <w:sz w:val="21"/>
        </w:rPr>
        <w:t>表2-1 金东区历年客货</w:t>
      </w:r>
      <w:r>
        <w:rPr>
          <w:rFonts w:ascii="黑体" w:hAnsi="黑体" w:eastAsia="黑体"/>
          <w:b/>
          <w:sz w:val="21"/>
        </w:rPr>
        <w:t>运输量</w:t>
      </w:r>
      <w:r>
        <w:rPr>
          <w:rFonts w:hint="eastAsia" w:ascii="黑体" w:hAnsi="黑体" w:eastAsia="黑体"/>
          <w:b/>
          <w:sz w:val="21"/>
        </w:rPr>
        <w:t>表</w:t>
      </w:r>
    </w:p>
    <w:tbl>
      <w:tblPr>
        <w:tblStyle w:val="18"/>
        <w:tblW w:w="3067" w:type="pct"/>
        <w:jc w:val="center"/>
        <w:tblLayout w:type="autofit"/>
        <w:tblCellMar>
          <w:top w:w="0" w:type="dxa"/>
          <w:left w:w="108" w:type="dxa"/>
          <w:bottom w:w="0" w:type="dxa"/>
          <w:right w:w="108" w:type="dxa"/>
        </w:tblCellMar>
      </w:tblPr>
      <w:tblGrid>
        <w:gridCol w:w="1435"/>
        <w:gridCol w:w="1896"/>
        <w:gridCol w:w="1896"/>
      </w:tblGrid>
      <w:tr w14:paraId="77EADA4E">
        <w:tblPrEx>
          <w:tblCellMar>
            <w:top w:w="0" w:type="dxa"/>
            <w:left w:w="108" w:type="dxa"/>
            <w:bottom w:w="0" w:type="dxa"/>
            <w:right w:w="108" w:type="dxa"/>
          </w:tblCellMar>
        </w:tblPrEx>
        <w:trPr>
          <w:trHeight w:val="454" w:hRule="atLeast"/>
          <w:jc w:val="center"/>
        </w:trPr>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5988C">
            <w:pPr>
              <w:widowControl/>
              <w:ind w:firstLine="0" w:firstLineChars="0"/>
              <w:jc w:val="center"/>
              <w:rPr>
                <w:rFonts w:ascii="仿宋_GB2312" w:hAnsi="宋体" w:eastAsia="仿宋_GB2312" w:cs="宋体"/>
                <w:color w:val="000000"/>
                <w:kern w:val="0"/>
                <w:sz w:val="24"/>
                <w:szCs w:val="24"/>
              </w:rPr>
            </w:pPr>
            <w:bookmarkStart w:id="14" w:name="_Hlk45024604"/>
            <w:r>
              <w:rPr>
                <w:rFonts w:hint="eastAsia" w:ascii="仿宋_GB2312" w:hAnsi="宋体" w:eastAsia="仿宋_GB2312" w:cs="宋体"/>
                <w:color w:val="000000"/>
                <w:kern w:val="0"/>
                <w:sz w:val="24"/>
                <w:szCs w:val="24"/>
              </w:rPr>
              <w:t>年份</w:t>
            </w:r>
          </w:p>
        </w:tc>
        <w:tc>
          <w:tcPr>
            <w:tcW w:w="1813" w:type="pct"/>
            <w:tcBorders>
              <w:top w:val="single" w:color="auto" w:sz="4" w:space="0"/>
              <w:left w:val="nil"/>
              <w:bottom w:val="single" w:color="auto" w:sz="4" w:space="0"/>
              <w:right w:val="single" w:color="auto" w:sz="4" w:space="0"/>
            </w:tcBorders>
            <w:shd w:val="clear" w:color="auto" w:fill="auto"/>
            <w:noWrap/>
            <w:vAlign w:val="center"/>
          </w:tcPr>
          <w:p w14:paraId="3A636B3B">
            <w:pPr>
              <w:widowControl/>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客运量（万人）</w:t>
            </w:r>
          </w:p>
        </w:tc>
        <w:tc>
          <w:tcPr>
            <w:tcW w:w="1813" w:type="pct"/>
            <w:tcBorders>
              <w:top w:val="single" w:color="auto" w:sz="4" w:space="0"/>
              <w:left w:val="nil"/>
              <w:bottom w:val="single" w:color="auto" w:sz="4" w:space="0"/>
              <w:right w:val="single" w:color="auto" w:sz="4" w:space="0"/>
            </w:tcBorders>
            <w:shd w:val="clear" w:color="auto" w:fill="auto"/>
            <w:noWrap/>
            <w:vAlign w:val="center"/>
          </w:tcPr>
          <w:p w14:paraId="5072A08C">
            <w:pPr>
              <w:widowControl/>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货运量（万吨）</w:t>
            </w:r>
          </w:p>
        </w:tc>
      </w:tr>
      <w:tr w14:paraId="784FCDE6">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41A6471A">
            <w:pPr>
              <w:widowControl/>
              <w:ind w:firstLine="0" w:firstLineChars="0"/>
              <w:jc w:val="center"/>
              <w:rPr>
                <w:color w:val="000000"/>
                <w:kern w:val="0"/>
                <w:sz w:val="24"/>
                <w:szCs w:val="24"/>
              </w:rPr>
            </w:pPr>
            <w:r>
              <w:rPr>
                <w:color w:val="000000"/>
                <w:kern w:val="0"/>
                <w:sz w:val="24"/>
                <w:szCs w:val="24"/>
              </w:rPr>
              <w:t>2013年</w:t>
            </w:r>
          </w:p>
        </w:tc>
        <w:tc>
          <w:tcPr>
            <w:tcW w:w="18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05AF3">
            <w:pPr>
              <w:widowControl/>
              <w:ind w:firstLine="0" w:firstLineChars="0"/>
              <w:jc w:val="center"/>
              <w:rPr>
                <w:color w:val="000000"/>
                <w:kern w:val="0"/>
                <w:sz w:val="24"/>
                <w:szCs w:val="24"/>
              </w:rPr>
            </w:pPr>
            <w:r>
              <w:rPr>
                <w:color w:val="000000"/>
                <w:kern w:val="0"/>
                <w:sz w:val="24"/>
                <w:szCs w:val="24"/>
              </w:rPr>
              <w:t>1347</w:t>
            </w:r>
          </w:p>
        </w:tc>
        <w:tc>
          <w:tcPr>
            <w:tcW w:w="18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35E71">
            <w:pPr>
              <w:widowControl/>
              <w:ind w:firstLine="0" w:firstLineChars="0"/>
              <w:jc w:val="center"/>
              <w:rPr>
                <w:color w:val="000000"/>
                <w:kern w:val="0"/>
                <w:sz w:val="24"/>
                <w:szCs w:val="24"/>
              </w:rPr>
            </w:pPr>
            <w:r>
              <w:rPr>
                <w:rFonts w:eastAsia="等线"/>
                <w:color w:val="000000"/>
                <w:sz w:val="24"/>
                <w:szCs w:val="24"/>
              </w:rPr>
              <w:t>632</w:t>
            </w:r>
          </w:p>
        </w:tc>
      </w:tr>
      <w:tr w14:paraId="6465D4BF">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7DF188BA">
            <w:pPr>
              <w:widowControl/>
              <w:ind w:firstLine="0" w:firstLineChars="0"/>
              <w:jc w:val="center"/>
              <w:rPr>
                <w:color w:val="000000"/>
                <w:kern w:val="0"/>
                <w:sz w:val="24"/>
                <w:szCs w:val="24"/>
              </w:rPr>
            </w:pPr>
            <w:r>
              <w:rPr>
                <w:color w:val="000000"/>
                <w:kern w:val="0"/>
                <w:sz w:val="24"/>
                <w:szCs w:val="24"/>
              </w:rPr>
              <w:t>2014年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676DA52C">
            <w:pPr>
              <w:widowControl/>
              <w:ind w:firstLine="0" w:firstLineChars="0"/>
              <w:jc w:val="center"/>
              <w:rPr>
                <w:color w:val="000000"/>
                <w:kern w:val="0"/>
                <w:sz w:val="24"/>
                <w:szCs w:val="24"/>
              </w:rPr>
            </w:pPr>
            <w:r>
              <w:rPr>
                <w:color w:val="000000"/>
                <w:kern w:val="0"/>
                <w:sz w:val="24"/>
                <w:szCs w:val="24"/>
              </w:rPr>
              <w:t>1353</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6615074C">
            <w:pPr>
              <w:widowControl/>
              <w:ind w:firstLine="0" w:firstLineChars="0"/>
              <w:jc w:val="center"/>
              <w:rPr>
                <w:color w:val="000000"/>
                <w:kern w:val="0"/>
                <w:sz w:val="24"/>
                <w:szCs w:val="24"/>
              </w:rPr>
            </w:pPr>
            <w:r>
              <w:rPr>
                <w:rFonts w:eastAsia="等线"/>
                <w:color w:val="000000"/>
                <w:sz w:val="24"/>
                <w:szCs w:val="24"/>
              </w:rPr>
              <w:t>701</w:t>
            </w:r>
          </w:p>
        </w:tc>
      </w:tr>
      <w:tr w14:paraId="2548B1DA">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610C8F38">
            <w:pPr>
              <w:widowControl/>
              <w:ind w:firstLine="0" w:firstLineChars="0"/>
              <w:jc w:val="center"/>
              <w:rPr>
                <w:color w:val="000000"/>
                <w:kern w:val="0"/>
                <w:sz w:val="24"/>
                <w:szCs w:val="24"/>
              </w:rPr>
            </w:pPr>
            <w:r>
              <w:rPr>
                <w:color w:val="000000"/>
                <w:kern w:val="0"/>
                <w:sz w:val="24"/>
                <w:szCs w:val="24"/>
              </w:rPr>
              <w:t>2015年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45524232">
            <w:pPr>
              <w:widowControl/>
              <w:ind w:firstLine="0" w:firstLineChars="0"/>
              <w:jc w:val="center"/>
              <w:rPr>
                <w:color w:val="000000"/>
                <w:kern w:val="0"/>
                <w:sz w:val="24"/>
                <w:szCs w:val="24"/>
              </w:rPr>
            </w:pPr>
            <w:r>
              <w:rPr>
                <w:rFonts w:eastAsia="等线"/>
                <w:color w:val="000000"/>
                <w:sz w:val="24"/>
                <w:szCs w:val="24"/>
              </w:rPr>
              <w:t>1590</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6990CD8F">
            <w:pPr>
              <w:widowControl/>
              <w:ind w:firstLine="0" w:firstLineChars="0"/>
              <w:jc w:val="center"/>
              <w:rPr>
                <w:color w:val="000000"/>
                <w:kern w:val="0"/>
                <w:sz w:val="24"/>
                <w:szCs w:val="24"/>
              </w:rPr>
            </w:pPr>
            <w:r>
              <w:rPr>
                <w:rFonts w:eastAsia="等线"/>
                <w:color w:val="000000"/>
                <w:sz w:val="24"/>
                <w:szCs w:val="24"/>
              </w:rPr>
              <w:t>693</w:t>
            </w:r>
          </w:p>
        </w:tc>
      </w:tr>
      <w:tr w14:paraId="6AE881CB">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318E32BB">
            <w:pPr>
              <w:widowControl/>
              <w:ind w:firstLine="0" w:firstLineChars="0"/>
              <w:jc w:val="center"/>
              <w:rPr>
                <w:color w:val="000000"/>
                <w:kern w:val="0"/>
                <w:sz w:val="24"/>
                <w:szCs w:val="24"/>
              </w:rPr>
            </w:pPr>
            <w:r>
              <w:rPr>
                <w:color w:val="000000"/>
                <w:kern w:val="0"/>
                <w:sz w:val="24"/>
                <w:szCs w:val="24"/>
              </w:rPr>
              <w:t>2016年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1DF35BBB">
            <w:pPr>
              <w:widowControl/>
              <w:ind w:firstLine="0" w:firstLineChars="0"/>
              <w:jc w:val="center"/>
              <w:rPr>
                <w:color w:val="000000"/>
                <w:kern w:val="0"/>
                <w:sz w:val="24"/>
                <w:szCs w:val="24"/>
              </w:rPr>
            </w:pPr>
            <w:r>
              <w:rPr>
                <w:rFonts w:eastAsia="等线"/>
                <w:color w:val="000000"/>
                <w:sz w:val="24"/>
                <w:szCs w:val="24"/>
              </w:rPr>
              <w:t>1666</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534714B5">
            <w:pPr>
              <w:widowControl/>
              <w:ind w:firstLine="0" w:firstLineChars="0"/>
              <w:jc w:val="center"/>
              <w:rPr>
                <w:color w:val="000000"/>
                <w:kern w:val="0"/>
                <w:sz w:val="24"/>
                <w:szCs w:val="24"/>
              </w:rPr>
            </w:pPr>
            <w:r>
              <w:rPr>
                <w:rFonts w:eastAsia="等线"/>
                <w:color w:val="000000"/>
                <w:sz w:val="24"/>
                <w:szCs w:val="24"/>
              </w:rPr>
              <w:t>623</w:t>
            </w:r>
          </w:p>
        </w:tc>
      </w:tr>
      <w:tr w14:paraId="2AC5D28E">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449A9655">
            <w:pPr>
              <w:widowControl/>
              <w:ind w:firstLine="0" w:firstLineChars="0"/>
              <w:jc w:val="center"/>
              <w:rPr>
                <w:color w:val="000000"/>
                <w:kern w:val="0"/>
                <w:sz w:val="24"/>
                <w:szCs w:val="24"/>
              </w:rPr>
            </w:pPr>
            <w:r>
              <w:rPr>
                <w:color w:val="000000"/>
                <w:kern w:val="0"/>
                <w:sz w:val="24"/>
                <w:szCs w:val="24"/>
              </w:rPr>
              <w:t>2017年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4B51665B">
            <w:pPr>
              <w:widowControl/>
              <w:ind w:firstLine="0" w:firstLineChars="0"/>
              <w:jc w:val="center"/>
              <w:rPr>
                <w:color w:val="000000"/>
                <w:kern w:val="0"/>
                <w:sz w:val="24"/>
                <w:szCs w:val="24"/>
              </w:rPr>
            </w:pPr>
            <w:r>
              <w:rPr>
                <w:rFonts w:eastAsia="等线"/>
                <w:color w:val="000000"/>
                <w:sz w:val="24"/>
                <w:szCs w:val="24"/>
              </w:rPr>
              <w:t>1698</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23992026">
            <w:pPr>
              <w:widowControl/>
              <w:ind w:firstLine="0" w:firstLineChars="0"/>
              <w:jc w:val="center"/>
              <w:rPr>
                <w:color w:val="000000"/>
                <w:kern w:val="0"/>
                <w:sz w:val="24"/>
                <w:szCs w:val="24"/>
              </w:rPr>
            </w:pPr>
            <w:r>
              <w:rPr>
                <w:rFonts w:eastAsia="等线"/>
                <w:color w:val="000000"/>
                <w:sz w:val="24"/>
                <w:szCs w:val="24"/>
              </w:rPr>
              <w:t>678</w:t>
            </w:r>
          </w:p>
        </w:tc>
      </w:tr>
      <w:bookmarkEnd w:id="14"/>
      <w:tr w14:paraId="37D38F9A">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22002807">
            <w:pPr>
              <w:widowControl/>
              <w:ind w:firstLine="0" w:firstLineChars="0"/>
              <w:jc w:val="center"/>
              <w:rPr>
                <w:color w:val="000000"/>
                <w:kern w:val="0"/>
                <w:sz w:val="24"/>
                <w:szCs w:val="24"/>
              </w:rPr>
            </w:pPr>
            <w:r>
              <w:rPr>
                <w:rFonts w:hint="eastAsia"/>
                <w:color w:val="000000"/>
                <w:kern w:val="0"/>
                <w:sz w:val="24"/>
                <w:szCs w:val="24"/>
              </w:rPr>
              <w:t>2</w:t>
            </w:r>
            <w:r>
              <w:rPr>
                <w:color w:val="000000"/>
                <w:kern w:val="0"/>
                <w:sz w:val="24"/>
                <w:szCs w:val="24"/>
              </w:rPr>
              <w:t>018</w:t>
            </w:r>
            <w:r>
              <w:rPr>
                <w:rFonts w:hint="eastAsia"/>
                <w:color w:val="000000"/>
                <w:kern w:val="0"/>
                <w:sz w:val="24"/>
                <w:szCs w:val="24"/>
              </w:rPr>
              <w:t>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4C1F7401">
            <w:pPr>
              <w:widowControl/>
              <w:ind w:firstLine="0" w:firstLineChars="0"/>
              <w:jc w:val="center"/>
              <w:rPr>
                <w:color w:val="000000"/>
                <w:kern w:val="0"/>
                <w:sz w:val="24"/>
                <w:szCs w:val="24"/>
              </w:rPr>
            </w:pPr>
            <w:r>
              <w:rPr>
                <w:rFonts w:eastAsia="等线"/>
                <w:color w:val="000000"/>
                <w:sz w:val="24"/>
                <w:szCs w:val="24"/>
              </w:rPr>
              <w:t>1804</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0EA600BF">
            <w:pPr>
              <w:widowControl/>
              <w:ind w:firstLine="0" w:firstLineChars="0"/>
              <w:jc w:val="center"/>
              <w:rPr>
                <w:color w:val="000000"/>
                <w:kern w:val="0"/>
                <w:sz w:val="24"/>
                <w:szCs w:val="24"/>
              </w:rPr>
            </w:pPr>
            <w:r>
              <w:rPr>
                <w:rFonts w:eastAsia="等线"/>
                <w:color w:val="000000"/>
                <w:sz w:val="24"/>
                <w:szCs w:val="24"/>
              </w:rPr>
              <w:t>450</w:t>
            </w:r>
          </w:p>
        </w:tc>
      </w:tr>
      <w:tr w14:paraId="3C7E76D0">
        <w:tblPrEx>
          <w:tblCellMar>
            <w:top w:w="0" w:type="dxa"/>
            <w:left w:w="108" w:type="dxa"/>
            <w:bottom w:w="0" w:type="dxa"/>
            <w:right w:w="108" w:type="dxa"/>
          </w:tblCellMar>
        </w:tblPrEx>
        <w:trPr>
          <w:trHeight w:val="454" w:hRule="atLeast"/>
          <w:jc w:val="center"/>
        </w:trPr>
        <w:tc>
          <w:tcPr>
            <w:tcW w:w="1373" w:type="pct"/>
            <w:tcBorders>
              <w:top w:val="nil"/>
              <w:left w:val="single" w:color="auto" w:sz="4" w:space="0"/>
              <w:bottom w:val="single" w:color="auto" w:sz="4" w:space="0"/>
              <w:right w:val="single" w:color="auto" w:sz="4" w:space="0"/>
            </w:tcBorders>
            <w:shd w:val="clear" w:color="auto" w:fill="auto"/>
            <w:noWrap/>
            <w:vAlign w:val="center"/>
          </w:tcPr>
          <w:p w14:paraId="79C9F57F">
            <w:pPr>
              <w:widowControl/>
              <w:ind w:firstLine="0" w:firstLineChars="0"/>
              <w:jc w:val="center"/>
              <w:rPr>
                <w:color w:val="000000"/>
                <w:kern w:val="0"/>
                <w:sz w:val="24"/>
                <w:szCs w:val="24"/>
              </w:rPr>
            </w:pPr>
            <w:r>
              <w:rPr>
                <w:rFonts w:hint="eastAsia"/>
                <w:color w:val="000000"/>
                <w:kern w:val="0"/>
                <w:sz w:val="24"/>
                <w:szCs w:val="24"/>
              </w:rPr>
              <w:t>2</w:t>
            </w:r>
            <w:r>
              <w:rPr>
                <w:color w:val="000000"/>
                <w:kern w:val="0"/>
                <w:sz w:val="24"/>
                <w:szCs w:val="24"/>
              </w:rPr>
              <w:t>019</w:t>
            </w:r>
            <w:r>
              <w:rPr>
                <w:rFonts w:hint="eastAsia"/>
                <w:color w:val="000000"/>
                <w:kern w:val="0"/>
                <w:sz w:val="24"/>
                <w:szCs w:val="24"/>
              </w:rPr>
              <w:t>年</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29DC8408">
            <w:pPr>
              <w:widowControl/>
              <w:ind w:firstLine="0" w:firstLineChars="0"/>
              <w:jc w:val="center"/>
              <w:rPr>
                <w:color w:val="000000"/>
                <w:kern w:val="0"/>
                <w:sz w:val="24"/>
                <w:szCs w:val="24"/>
              </w:rPr>
            </w:pPr>
            <w:r>
              <w:rPr>
                <w:rFonts w:eastAsia="等线"/>
                <w:color w:val="000000"/>
                <w:sz w:val="24"/>
                <w:szCs w:val="24"/>
              </w:rPr>
              <w:t>1631</w:t>
            </w:r>
          </w:p>
        </w:tc>
        <w:tc>
          <w:tcPr>
            <w:tcW w:w="1813" w:type="pct"/>
            <w:tcBorders>
              <w:top w:val="nil"/>
              <w:left w:val="single" w:color="auto" w:sz="4" w:space="0"/>
              <w:bottom w:val="single" w:color="auto" w:sz="4" w:space="0"/>
              <w:right w:val="single" w:color="auto" w:sz="4" w:space="0"/>
            </w:tcBorders>
            <w:shd w:val="clear" w:color="auto" w:fill="auto"/>
            <w:noWrap/>
            <w:vAlign w:val="center"/>
          </w:tcPr>
          <w:p w14:paraId="48D584E8">
            <w:pPr>
              <w:widowControl/>
              <w:ind w:firstLine="0" w:firstLineChars="0"/>
              <w:jc w:val="center"/>
              <w:rPr>
                <w:color w:val="000000"/>
                <w:kern w:val="0"/>
                <w:sz w:val="24"/>
                <w:szCs w:val="24"/>
              </w:rPr>
            </w:pPr>
            <w:r>
              <w:rPr>
                <w:rFonts w:eastAsia="等线"/>
                <w:color w:val="000000"/>
                <w:sz w:val="24"/>
                <w:szCs w:val="24"/>
              </w:rPr>
              <w:t>472</w:t>
            </w:r>
          </w:p>
        </w:tc>
      </w:tr>
    </w:tbl>
    <w:p w14:paraId="4F9DDF66">
      <w:pPr>
        <w:pStyle w:val="34"/>
        <w:ind w:firstLineChars="0"/>
        <w:rPr>
          <w:b/>
        </w:rPr>
      </w:pPr>
      <w:r>
        <w:rPr>
          <w:rFonts w:hint="eastAsia"/>
          <w:b/>
        </w:rPr>
        <w:t>2、交通运输发展需求预测</w:t>
      </w:r>
    </w:p>
    <w:p w14:paraId="085195B1">
      <w:pPr>
        <w:pStyle w:val="34"/>
        <w:ind w:firstLineChars="0"/>
      </w:pPr>
      <w:r>
        <w:rPr>
          <w:rFonts w:hint="eastAsia"/>
        </w:rPr>
        <w:t>“十四五”金义新区（金东）经济发展进入新常态和结构性调整的重要阶段。通过对“十四五”宏观经济发展的趋势分析以及交通运输与经济发展的相关性研究，采用弹性系数法，预测金东区“十四五”综合交通运输总体需求。总体上，金东区</w:t>
      </w:r>
      <w:r>
        <w:t>的客货运输需求将逐渐增加</w:t>
      </w:r>
      <w:r>
        <w:rPr>
          <w:rFonts w:hint="eastAsia"/>
        </w:rPr>
        <w:t>。</w:t>
      </w:r>
    </w:p>
    <w:p w14:paraId="6A651CEF">
      <w:pPr>
        <w:spacing w:line="360" w:lineRule="auto"/>
        <w:ind w:firstLine="422"/>
        <w:jc w:val="center"/>
        <w:rPr>
          <w:rFonts w:ascii="黑体" w:hAnsi="黑体" w:eastAsia="黑体"/>
          <w:b/>
          <w:sz w:val="21"/>
        </w:rPr>
      </w:pPr>
      <w:r>
        <w:rPr>
          <w:rFonts w:hint="eastAsia" w:ascii="黑体" w:hAnsi="黑体" w:eastAsia="黑体"/>
          <w:b/>
          <w:sz w:val="21"/>
        </w:rPr>
        <w:t>表</w:t>
      </w:r>
      <w:r>
        <w:rPr>
          <w:rFonts w:ascii="黑体" w:hAnsi="黑体" w:eastAsia="黑体"/>
          <w:b/>
          <w:sz w:val="21"/>
        </w:rPr>
        <w:t>3</w:t>
      </w:r>
      <w:r>
        <w:rPr>
          <w:rFonts w:hint="eastAsia" w:ascii="黑体" w:hAnsi="黑体" w:eastAsia="黑体"/>
          <w:b/>
          <w:sz w:val="21"/>
        </w:rPr>
        <w:t>-</w:t>
      </w:r>
      <w:r>
        <w:rPr>
          <w:rFonts w:ascii="黑体" w:hAnsi="黑体" w:eastAsia="黑体"/>
          <w:b/>
          <w:sz w:val="21"/>
        </w:rPr>
        <w:t>2</w:t>
      </w:r>
      <w:r>
        <w:rPr>
          <w:rFonts w:hint="eastAsia" w:ascii="黑体" w:hAnsi="黑体" w:eastAsia="黑体"/>
          <w:b/>
          <w:sz w:val="21"/>
        </w:rPr>
        <w:t xml:space="preserve"> 金东区客货</w:t>
      </w:r>
      <w:r>
        <w:rPr>
          <w:rFonts w:ascii="黑体" w:hAnsi="黑体" w:eastAsia="黑体"/>
          <w:b/>
          <w:sz w:val="21"/>
        </w:rPr>
        <w:t>运输</w:t>
      </w:r>
      <w:r>
        <w:rPr>
          <w:rFonts w:hint="eastAsia" w:ascii="黑体" w:hAnsi="黑体" w:eastAsia="黑体"/>
          <w:b/>
          <w:sz w:val="21"/>
        </w:rPr>
        <w:t>需求</w:t>
      </w:r>
      <w:r>
        <w:rPr>
          <w:rFonts w:ascii="黑体" w:hAnsi="黑体" w:eastAsia="黑体"/>
          <w:b/>
          <w:sz w:val="21"/>
        </w:rPr>
        <w:t>预测</w:t>
      </w:r>
      <w:r>
        <w:rPr>
          <w:rFonts w:hint="eastAsia" w:ascii="黑体" w:hAnsi="黑体" w:eastAsia="黑体"/>
          <w:b/>
          <w:sz w:val="21"/>
        </w:rPr>
        <w:t>表</w:t>
      </w:r>
    </w:p>
    <w:tbl>
      <w:tblPr>
        <w:tblStyle w:val="18"/>
        <w:tblW w:w="3109" w:type="pct"/>
        <w:jc w:val="center"/>
        <w:tblLayout w:type="autofit"/>
        <w:tblCellMar>
          <w:top w:w="0" w:type="dxa"/>
          <w:left w:w="108" w:type="dxa"/>
          <w:bottom w:w="0" w:type="dxa"/>
          <w:right w:w="108" w:type="dxa"/>
        </w:tblCellMar>
      </w:tblPr>
      <w:tblGrid>
        <w:gridCol w:w="1507"/>
        <w:gridCol w:w="1896"/>
        <w:gridCol w:w="1896"/>
      </w:tblGrid>
      <w:tr w14:paraId="7589E40F">
        <w:tblPrEx>
          <w:tblCellMar>
            <w:top w:w="0" w:type="dxa"/>
            <w:left w:w="108" w:type="dxa"/>
            <w:bottom w:w="0" w:type="dxa"/>
            <w:right w:w="108" w:type="dxa"/>
          </w:tblCellMar>
        </w:tblPrEx>
        <w:trPr>
          <w:trHeight w:val="454" w:hRule="atLeast"/>
          <w:jc w:val="center"/>
        </w:trPr>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EE4DF">
            <w:pPr>
              <w:widowControl/>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p>
        </w:tc>
        <w:tc>
          <w:tcPr>
            <w:tcW w:w="1789" w:type="pct"/>
            <w:tcBorders>
              <w:top w:val="single" w:color="auto" w:sz="4" w:space="0"/>
              <w:left w:val="nil"/>
              <w:bottom w:val="single" w:color="auto" w:sz="4" w:space="0"/>
              <w:right w:val="single" w:color="auto" w:sz="4" w:space="0"/>
            </w:tcBorders>
            <w:shd w:val="clear" w:color="auto" w:fill="auto"/>
            <w:noWrap/>
            <w:vAlign w:val="center"/>
          </w:tcPr>
          <w:p w14:paraId="73CAD4D8">
            <w:pPr>
              <w:widowControl/>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客运量（万人）</w:t>
            </w:r>
          </w:p>
        </w:tc>
        <w:tc>
          <w:tcPr>
            <w:tcW w:w="1789" w:type="pct"/>
            <w:tcBorders>
              <w:top w:val="single" w:color="auto" w:sz="4" w:space="0"/>
              <w:left w:val="nil"/>
              <w:bottom w:val="single" w:color="auto" w:sz="4" w:space="0"/>
              <w:right w:val="single" w:color="auto" w:sz="4" w:space="0"/>
            </w:tcBorders>
            <w:shd w:val="clear" w:color="auto" w:fill="auto"/>
            <w:noWrap/>
            <w:vAlign w:val="center"/>
          </w:tcPr>
          <w:p w14:paraId="0003884D">
            <w:pPr>
              <w:widowControl/>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货运量（万吨）</w:t>
            </w:r>
          </w:p>
        </w:tc>
      </w:tr>
      <w:tr w14:paraId="712A336F">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3EB18840">
            <w:pPr>
              <w:widowControl/>
              <w:ind w:firstLine="0" w:firstLineChars="0"/>
              <w:jc w:val="center"/>
              <w:rPr>
                <w:color w:val="000000"/>
                <w:kern w:val="0"/>
                <w:sz w:val="24"/>
                <w:szCs w:val="24"/>
              </w:rPr>
            </w:pPr>
            <w:r>
              <w:rPr>
                <w:color w:val="000000"/>
                <w:kern w:val="0"/>
                <w:sz w:val="24"/>
                <w:szCs w:val="24"/>
              </w:rPr>
              <w:t>2020年</w:t>
            </w:r>
          </w:p>
        </w:tc>
        <w:tc>
          <w:tcPr>
            <w:tcW w:w="1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83775">
            <w:pPr>
              <w:widowControl/>
              <w:ind w:firstLine="0" w:firstLineChars="0"/>
              <w:jc w:val="center"/>
              <w:rPr>
                <w:color w:val="000000"/>
                <w:kern w:val="0"/>
                <w:sz w:val="24"/>
                <w:szCs w:val="24"/>
              </w:rPr>
            </w:pPr>
            <w:r>
              <w:rPr>
                <w:rFonts w:eastAsia="等线"/>
                <w:color w:val="000000"/>
                <w:sz w:val="24"/>
                <w:szCs w:val="24"/>
              </w:rPr>
              <w:t>1716</w:t>
            </w:r>
          </w:p>
        </w:tc>
        <w:tc>
          <w:tcPr>
            <w:tcW w:w="1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C5802">
            <w:pPr>
              <w:widowControl/>
              <w:ind w:firstLine="0" w:firstLineChars="0"/>
              <w:jc w:val="center"/>
              <w:rPr>
                <w:color w:val="000000"/>
                <w:kern w:val="0"/>
                <w:sz w:val="24"/>
                <w:szCs w:val="24"/>
              </w:rPr>
            </w:pPr>
            <w:r>
              <w:rPr>
                <w:rFonts w:eastAsia="等线"/>
                <w:color w:val="000000"/>
                <w:sz w:val="24"/>
                <w:szCs w:val="24"/>
              </w:rPr>
              <w:t>495</w:t>
            </w:r>
          </w:p>
        </w:tc>
      </w:tr>
      <w:tr w14:paraId="079ADD7D">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3C04846F">
            <w:pPr>
              <w:widowControl/>
              <w:ind w:firstLine="0" w:firstLineChars="0"/>
              <w:jc w:val="center"/>
              <w:rPr>
                <w:color w:val="000000"/>
                <w:kern w:val="0"/>
                <w:sz w:val="24"/>
                <w:szCs w:val="24"/>
              </w:rPr>
            </w:pPr>
            <w:r>
              <w:rPr>
                <w:color w:val="000000"/>
                <w:kern w:val="0"/>
                <w:sz w:val="24"/>
                <w:szCs w:val="24"/>
              </w:rPr>
              <w:t>2021年</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3ECDA49C">
            <w:pPr>
              <w:widowControl/>
              <w:ind w:firstLine="0" w:firstLineChars="0"/>
              <w:jc w:val="center"/>
              <w:rPr>
                <w:color w:val="000000"/>
                <w:kern w:val="0"/>
                <w:sz w:val="24"/>
                <w:szCs w:val="24"/>
              </w:rPr>
            </w:pPr>
            <w:r>
              <w:rPr>
                <w:rFonts w:eastAsia="等线"/>
                <w:color w:val="000000"/>
                <w:sz w:val="24"/>
                <w:szCs w:val="24"/>
              </w:rPr>
              <w:t>1805</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79AF4BFD">
            <w:pPr>
              <w:widowControl/>
              <w:ind w:firstLine="0" w:firstLineChars="0"/>
              <w:jc w:val="center"/>
              <w:rPr>
                <w:color w:val="000000"/>
                <w:kern w:val="0"/>
                <w:sz w:val="24"/>
                <w:szCs w:val="24"/>
              </w:rPr>
            </w:pPr>
            <w:r>
              <w:rPr>
                <w:rFonts w:eastAsia="等线"/>
                <w:color w:val="000000"/>
                <w:sz w:val="24"/>
                <w:szCs w:val="24"/>
              </w:rPr>
              <w:t>519</w:t>
            </w:r>
          </w:p>
        </w:tc>
      </w:tr>
      <w:tr w14:paraId="55B20853">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113E1E7D">
            <w:pPr>
              <w:widowControl/>
              <w:ind w:firstLine="0" w:firstLineChars="0"/>
              <w:jc w:val="center"/>
              <w:rPr>
                <w:color w:val="000000"/>
                <w:kern w:val="0"/>
                <w:sz w:val="24"/>
                <w:szCs w:val="24"/>
              </w:rPr>
            </w:pPr>
            <w:r>
              <w:rPr>
                <w:color w:val="000000"/>
                <w:kern w:val="0"/>
                <w:sz w:val="24"/>
                <w:szCs w:val="24"/>
              </w:rPr>
              <w:t>2022年</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7AF1A1B1">
            <w:pPr>
              <w:widowControl/>
              <w:ind w:firstLine="0" w:firstLineChars="0"/>
              <w:jc w:val="center"/>
              <w:rPr>
                <w:color w:val="000000"/>
                <w:kern w:val="0"/>
                <w:sz w:val="24"/>
                <w:szCs w:val="24"/>
              </w:rPr>
            </w:pPr>
            <w:r>
              <w:rPr>
                <w:rFonts w:eastAsia="等线"/>
                <w:color w:val="000000"/>
                <w:sz w:val="24"/>
                <w:szCs w:val="24"/>
              </w:rPr>
              <w:t>1899</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5F3722EC">
            <w:pPr>
              <w:widowControl/>
              <w:ind w:firstLine="0" w:firstLineChars="0"/>
              <w:jc w:val="center"/>
              <w:rPr>
                <w:color w:val="000000"/>
                <w:kern w:val="0"/>
                <w:sz w:val="24"/>
                <w:szCs w:val="24"/>
              </w:rPr>
            </w:pPr>
            <w:r>
              <w:rPr>
                <w:rFonts w:eastAsia="等线"/>
                <w:color w:val="000000"/>
                <w:sz w:val="24"/>
                <w:szCs w:val="24"/>
              </w:rPr>
              <w:t>545</w:t>
            </w:r>
          </w:p>
        </w:tc>
      </w:tr>
      <w:tr w14:paraId="46F04D49">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6F806737">
            <w:pPr>
              <w:widowControl/>
              <w:ind w:firstLine="0" w:firstLineChars="0"/>
              <w:jc w:val="center"/>
              <w:rPr>
                <w:color w:val="000000"/>
                <w:kern w:val="0"/>
                <w:sz w:val="24"/>
                <w:szCs w:val="24"/>
              </w:rPr>
            </w:pPr>
            <w:r>
              <w:rPr>
                <w:color w:val="000000"/>
                <w:kern w:val="0"/>
                <w:sz w:val="24"/>
                <w:szCs w:val="24"/>
              </w:rPr>
              <w:t>2023年</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5D7F8268">
            <w:pPr>
              <w:widowControl/>
              <w:ind w:firstLine="0" w:firstLineChars="0"/>
              <w:jc w:val="center"/>
              <w:rPr>
                <w:color w:val="000000"/>
                <w:kern w:val="0"/>
                <w:sz w:val="24"/>
                <w:szCs w:val="24"/>
              </w:rPr>
            </w:pPr>
            <w:r>
              <w:rPr>
                <w:rFonts w:eastAsia="等线"/>
                <w:color w:val="000000"/>
                <w:sz w:val="24"/>
                <w:szCs w:val="24"/>
              </w:rPr>
              <w:t>1998</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5A2FADE8">
            <w:pPr>
              <w:widowControl/>
              <w:ind w:firstLine="0" w:firstLineChars="0"/>
              <w:jc w:val="center"/>
              <w:rPr>
                <w:color w:val="000000"/>
                <w:kern w:val="0"/>
                <w:sz w:val="24"/>
                <w:szCs w:val="24"/>
              </w:rPr>
            </w:pPr>
            <w:r>
              <w:rPr>
                <w:rFonts w:eastAsia="等线"/>
                <w:color w:val="000000"/>
                <w:sz w:val="24"/>
                <w:szCs w:val="24"/>
              </w:rPr>
              <w:t>571</w:t>
            </w:r>
          </w:p>
        </w:tc>
      </w:tr>
      <w:tr w14:paraId="1DAE891F">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573E06CA">
            <w:pPr>
              <w:widowControl/>
              <w:ind w:firstLine="0" w:firstLineChars="0"/>
              <w:jc w:val="center"/>
              <w:rPr>
                <w:color w:val="000000"/>
                <w:kern w:val="0"/>
                <w:sz w:val="24"/>
                <w:szCs w:val="24"/>
              </w:rPr>
            </w:pPr>
            <w:r>
              <w:rPr>
                <w:color w:val="000000"/>
                <w:kern w:val="0"/>
                <w:sz w:val="24"/>
                <w:szCs w:val="24"/>
              </w:rPr>
              <w:t>2024年</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66B67F63">
            <w:pPr>
              <w:widowControl/>
              <w:ind w:firstLine="0" w:firstLineChars="0"/>
              <w:jc w:val="center"/>
              <w:rPr>
                <w:rFonts w:eastAsia="等线"/>
                <w:color w:val="000000"/>
                <w:sz w:val="24"/>
                <w:szCs w:val="24"/>
              </w:rPr>
            </w:pPr>
            <w:r>
              <w:rPr>
                <w:rFonts w:eastAsia="等线"/>
                <w:color w:val="000000"/>
                <w:sz w:val="24"/>
                <w:szCs w:val="24"/>
              </w:rPr>
              <w:t>2102</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44C9F910">
            <w:pPr>
              <w:widowControl/>
              <w:ind w:firstLine="0" w:firstLineChars="0"/>
              <w:jc w:val="center"/>
              <w:rPr>
                <w:rFonts w:eastAsia="等线"/>
                <w:color w:val="000000"/>
                <w:sz w:val="24"/>
                <w:szCs w:val="24"/>
              </w:rPr>
            </w:pPr>
            <w:r>
              <w:rPr>
                <w:rFonts w:eastAsia="等线"/>
                <w:color w:val="000000"/>
                <w:sz w:val="24"/>
                <w:szCs w:val="24"/>
              </w:rPr>
              <w:t>599</w:t>
            </w:r>
          </w:p>
        </w:tc>
      </w:tr>
      <w:tr w14:paraId="3A745DAE">
        <w:tblPrEx>
          <w:tblCellMar>
            <w:top w:w="0" w:type="dxa"/>
            <w:left w:w="108" w:type="dxa"/>
            <w:bottom w:w="0" w:type="dxa"/>
            <w:right w:w="108" w:type="dxa"/>
          </w:tblCellMar>
        </w:tblPrEx>
        <w:trPr>
          <w:trHeight w:val="454" w:hRule="atLeast"/>
          <w:jc w:val="center"/>
        </w:trPr>
        <w:tc>
          <w:tcPr>
            <w:tcW w:w="1422" w:type="pct"/>
            <w:tcBorders>
              <w:top w:val="nil"/>
              <w:left w:val="single" w:color="auto" w:sz="4" w:space="0"/>
              <w:bottom w:val="single" w:color="auto" w:sz="4" w:space="0"/>
              <w:right w:val="single" w:color="auto" w:sz="4" w:space="0"/>
            </w:tcBorders>
            <w:shd w:val="clear" w:color="auto" w:fill="auto"/>
            <w:noWrap/>
            <w:vAlign w:val="center"/>
          </w:tcPr>
          <w:p w14:paraId="391E3E4A">
            <w:pPr>
              <w:widowControl/>
              <w:ind w:firstLine="0" w:firstLineChars="0"/>
              <w:jc w:val="center"/>
              <w:rPr>
                <w:color w:val="000000"/>
                <w:kern w:val="0"/>
                <w:sz w:val="24"/>
                <w:szCs w:val="24"/>
              </w:rPr>
            </w:pPr>
            <w:r>
              <w:rPr>
                <w:color w:val="000000"/>
                <w:kern w:val="0"/>
                <w:sz w:val="24"/>
                <w:szCs w:val="24"/>
              </w:rPr>
              <w:t>2025年</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0B2C7882">
            <w:pPr>
              <w:widowControl/>
              <w:ind w:firstLine="0" w:firstLineChars="0"/>
              <w:jc w:val="center"/>
              <w:rPr>
                <w:color w:val="000000"/>
                <w:kern w:val="0"/>
                <w:sz w:val="24"/>
                <w:szCs w:val="24"/>
              </w:rPr>
            </w:pPr>
            <w:r>
              <w:rPr>
                <w:rFonts w:eastAsia="等线"/>
                <w:color w:val="000000"/>
                <w:sz w:val="24"/>
                <w:szCs w:val="24"/>
              </w:rPr>
              <w:t>2211</w:t>
            </w:r>
          </w:p>
        </w:tc>
        <w:tc>
          <w:tcPr>
            <w:tcW w:w="1789" w:type="pct"/>
            <w:tcBorders>
              <w:top w:val="nil"/>
              <w:left w:val="single" w:color="auto" w:sz="4" w:space="0"/>
              <w:bottom w:val="single" w:color="auto" w:sz="4" w:space="0"/>
              <w:right w:val="single" w:color="auto" w:sz="4" w:space="0"/>
            </w:tcBorders>
            <w:shd w:val="clear" w:color="auto" w:fill="auto"/>
            <w:noWrap/>
            <w:vAlign w:val="center"/>
          </w:tcPr>
          <w:p w14:paraId="17AABB52">
            <w:pPr>
              <w:widowControl/>
              <w:ind w:firstLine="0" w:firstLineChars="0"/>
              <w:jc w:val="center"/>
              <w:rPr>
                <w:color w:val="000000"/>
                <w:kern w:val="0"/>
                <w:sz w:val="24"/>
                <w:szCs w:val="24"/>
              </w:rPr>
            </w:pPr>
            <w:r>
              <w:rPr>
                <w:rFonts w:eastAsia="等线"/>
                <w:color w:val="000000"/>
                <w:sz w:val="24"/>
                <w:szCs w:val="24"/>
              </w:rPr>
              <w:t>629</w:t>
            </w:r>
          </w:p>
        </w:tc>
      </w:tr>
    </w:tbl>
    <w:p w14:paraId="361D9F21">
      <w:pPr>
        <w:spacing w:line="360" w:lineRule="auto"/>
        <w:ind w:firstLine="0" w:firstLineChars="0"/>
        <w:rPr>
          <w:rFonts w:ascii="仿宋_GB2312" w:hAnsi="仿宋_GB2312" w:eastAsia="仿宋_GB2312"/>
        </w:rPr>
      </w:pPr>
    </w:p>
    <w:p w14:paraId="38242DAC">
      <w:pPr>
        <w:pStyle w:val="34"/>
        <w:ind w:firstLineChars="0"/>
      </w:pPr>
      <w:r>
        <w:rPr>
          <w:rFonts w:hint="eastAsia"/>
        </w:rPr>
        <w:t>金东区在“十四五”期间，客运量整体呈现上升趋势，年均增长率为5</w:t>
      </w:r>
      <w:r>
        <w:t>.2</w:t>
      </w:r>
      <w:r>
        <w:rPr>
          <w:rFonts w:hint="eastAsia"/>
        </w:rPr>
        <w:t>%。预计202</w:t>
      </w:r>
      <w:r>
        <w:t>5</w:t>
      </w:r>
      <w:r>
        <w:rPr>
          <w:rFonts w:hint="eastAsia"/>
        </w:rPr>
        <w:t>年客运总量将达到</w:t>
      </w:r>
      <w:r>
        <w:t>2211</w:t>
      </w:r>
      <w:r>
        <w:rPr>
          <w:rFonts w:hint="eastAsia"/>
        </w:rPr>
        <w:t>万人左右，是2</w:t>
      </w:r>
      <w:r>
        <w:t>019</w:t>
      </w:r>
      <w:r>
        <w:rPr>
          <w:rFonts w:hint="eastAsia"/>
        </w:rPr>
        <w:t>年的1</w:t>
      </w:r>
      <w:r>
        <w:t>.4</w:t>
      </w:r>
      <w:r>
        <w:rPr>
          <w:rFonts w:hint="eastAsia"/>
        </w:rPr>
        <w:t>倍。金东区货运需求自2018年开始将保持持续增长，预计2025年金东区货运总量将达到629万吨左右，是2019年的1.3倍。</w:t>
      </w:r>
    </w:p>
    <w:p w14:paraId="5F525A98">
      <w:pPr>
        <w:pStyle w:val="34"/>
        <w:ind w:firstLine="0" w:firstLineChars="0"/>
        <w:jc w:val="left"/>
      </w:pPr>
      <w:r>
        <w:drawing>
          <wp:inline distT="0" distB="0" distL="0" distR="0">
            <wp:extent cx="5274310" cy="3131185"/>
            <wp:effectExtent l="0" t="0" r="21590"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03992">
      <w:pPr>
        <w:ind w:firstLine="0" w:firstLineChars="0"/>
        <w:jc w:val="center"/>
        <w:rPr>
          <w:rFonts w:ascii="黑体" w:hAnsi="黑体" w:eastAsia="黑体"/>
          <w:b/>
          <w:sz w:val="21"/>
        </w:rPr>
      </w:pPr>
      <w:r>
        <w:rPr>
          <w:rFonts w:hint="eastAsia" w:ascii="黑体" w:hAnsi="黑体" w:eastAsia="黑体"/>
          <w:b/>
          <w:sz w:val="21"/>
        </w:rPr>
        <w:t>图</w:t>
      </w:r>
      <w:r>
        <w:rPr>
          <w:rFonts w:ascii="黑体" w:hAnsi="黑体" w:eastAsia="黑体"/>
          <w:b/>
          <w:sz w:val="21"/>
        </w:rPr>
        <w:t>3</w:t>
      </w:r>
      <w:r>
        <w:rPr>
          <w:rFonts w:hint="eastAsia" w:ascii="黑体" w:hAnsi="黑体" w:eastAsia="黑体"/>
          <w:b/>
          <w:sz w:val="21"/>
        </w:rPr>
        <w:t>-1 金东区近年与未来客运量变化趋势图</w:t>
      </w:r>
    </w:p>
    <w:p w14:paraId="7151B726">
      <w:pPr>
        <w:ind w:firstLine="0" w:firstLineChars="0"/>
        <w:rPr>
          <w:rFonts w:ascii="黑体" w:hAnsi="黑体" w:eastAsia="黑体"/>
          <w:b/>
          <w:sz w:val="21"/>
        </w:rPr>
      </w:pPr>
    </w:p>
    <w:p w14:paraId="6B837038">
      <w:pPr>
        <w:ind w:firstLine="0" w:firstLineChars="0"/>
        <w:rPr>
          <w:rFonts w:ascii="黑体" w:hAnsi="黑体" w:eastAsia="黑体"/>
          <w:b/>
          <w:sz w:val="21"/>
        </w:rPr>
      </w:pPr>
      <w:r>
        <w:drawing>
          <wp:inline distT="0" distB="0" distL="0" distR="0">
            <wp:extent cx="5159375" cy="3246755"/>
            <wp:effectExtent l="0" t="0" r="317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5522AF">
      <w:pPr>
        <w:ind w:firstLine="0" w:firstLineChars="0"/>
        <w:jc w:val="center"/>
        <w:rPr>
          <w:rFonts w:ascii="黑体" w:hAnsi="黑体" w:eastAsia="黑体"/>
          <w:b/>
          <w:sz w:val="21"/>
        </w:rPr>
      </w:pPr>
      <w:r>
        <w:rPr>
          <w:rFonts w:hint="eastAsia" w:ascii="黑体" w:hAnsi="黑体" w:eastAsia="黑体"/>
          <w:b/>
          <w:sz w:val="21"/>
        </w:rPr>
        <w:t>图</w:t>
      </w:r>
      <w:r>
        <w:rPr>
          <w:rFonts w:ascii="黑体" w:hAnsi="黑体" w:eastAsia="黑体"/>
          <w:b/>
          <w:sz w:val="21"/>
        </w:rPr>
        <w:t>3</w:t>
      </w:r>
      <w:r>
        <w:rPr>
          <w:rFonts w:hint="eastAsia" w:ascii="黑体" w:hAnsi="黑体" w:eastAsia="黑体"/>
          <w:b/>
          <w:sz w:val="21"/>
        </w:rPr>
        <w:t>-2 金东区近年与未来货运量变化趋势图</w:t>
      </w:r>
    </w:p>
    <w:p w14:paraId="5176FC8C">
      <w:pPr>
        <w:ind w:firstLine="0" w:firstLineChars="0"/>
        <w:rPr>
          <w:rFonts w:ascii="黑体" w:hAnsi="黑体" w:eastAsia="黑体"/>
          <w:b/>
          <w:sz w:val="21"/>
        </w:rPr>
      </w:pPr>
    </w:p>
    <w:p w14:paraId="73F3ACA9">
      <w:pPr>
        <w:ind w:firstLine="0" w:firstLineChars="0"/>
        <w:rPr>
          <w:rFonts w:ascii="黑体" w:hAnsi="黑体" w:eastAsia="黑体"/>
          <w:b/>
          <w:sz w:val="21"/>
        </w:rPr>
      </w:pPr>
    </w:p>
    <w:p w14:paraId="4FDCB3ED">
      <w:pPr>
        <w:ind w:firstLine="0" w:firstLineChars="0"/>
        <w:rPr>
          <w:rFonts w:ascii="黑体" w:hAnsi="黑体" w:eastAsia="黑体"/>
          <w:b/>
          <w:sz w:val="21"/>
        </w:rPr>
      </w:pPr>
    </w:p>
    <w:p w14:paraId="628895C5">
      <w:pPr>
        <w:ind w:firstLine="0" w:firstLineChars="0"/>
        <w:rPr>
          <w:rFonts w:ascii="黑体" w:hAnsi="黑体" w:eastAsia="黑体"/>
          <w:b/>
          <w:sz w:val="21"/>
        </w:rPr>
      </w:pPr>
    </w:p>
    <w:p w14:paraId="617E35C0">
      <w:pPr>
        <w:ind w:firstLine="0" w:firstLineChars="0"/>
        <w:rPr>
          <w:rFonts w:ascii="黑体" w:hAnsi="黑体" w:eastAsia="黑体"/>
          <w:b/>
          <w:sz w:val="21"/>
        </w:rPr>
      </w:pPr>
      <w:r>
        <w:rPr>
          <w:rFonts w:ascii="黑体" w:hAnsi="黑体" w:eastAsia="黑体"/>
          <w:b/>
          <w:sz w:val="21"/>
        </w:rPr>
        <w:br w:type="page"/>
      </w:r>
    </w:p>
    <w:p w14:paraId="563E9973">
      <w:pPr>
        <w:pStyle w:val="2"/>
        <w:ind w:firstLine="635"/>
      </w:pPr>
      <w:bookmarkStart w:id="15" w:name="_Toc43384727"/>
      <w:bookmarkStart w:id="16" w:name="_Toc24658623"/>
      <w:bookmarkStart w:id="17" w:name="_Toc26524220"/>
      <w:bookmarkStart w:id="18" w:name="_Toc23237823"/>
      <w:r>
        <w:rPr>
          <w:rFonts w:hint="eastAsia"/>
        </w:rPr>
        <w:t>三</w:t>
      </w:r>
      <w:r>
        <w:t>、</w:t>
      </w:r>
      <w:r>
        <w:rPr>
          <w:rFonts w:hint="eastAsia"/>
        </w:rPr>
        <w:t>综合交通发展定位与目标</w:t>
      </w:r>
      <w:bookmarkEnd w:id="15"/>
    </w:p>
    <w:p w14:paraId="594754FB">
      <w:pPr>
        <w:pStyle w:val="4"/>
        <w:ind w:firstLine="643"/>
      </w:pPr>
      <w:bookmarkStart w:id="19" w:name="_Toc43384728"/>
      <w:r>
        <w:rPr>
          <w:rFonts w:hint="eastAsia"/>
        </w:rPr>
        <w:t>（一）指导思想</w:t>
      </w:r>
      <w:bookmarkEnd w:id="16"/>
      <w:bookmarkEnd w:id="17"/>
      <w:bookmarkEnd w:id="18"/>
      <w:bookmarkEnd w:id="19"/>
    </w:p>
    <w:p w14:paraId="46E08FE2">
      <w:pPr>
        <w:pStyle w:val="30"/>
        <w:ind w:firstLine="640"/>
        <w:rPr>
          <w:rFonts w:eastAsia="仿宋"/>
          <w:sz w:val="32"/>
          <w:szCs w:val="30"/>
        </w:rPr>
      </w:pPr>
      <w:r>
        <w:rPr>
          <w:rFonts w:hint="eastAsia" w:eastAsia="仿宋"/>
          <w:sz w:val="32"/>
          <w:szCs w:val="30"/>
        </w:rPr>
        <w:t>高举习近平新时代中国特色社会主义思想伟大旗帜，深入学习贯彻党的十九大和庆祝改革开放40周年大会精神，</w:t>
      </w:r>
      <w:r>
        <w:rPr>
          <w:rFonts w:eastAsia="仿宋"/>
          <w:sz w:val="32"/>
          <w:szCs w:val="30"/>
        </w:rPr>
        <w:t>认真落实习近平总书记来浙江考察时的重要讲话精神</w:t>
      </w:r>
      <w:r>
        <w:rPr>
          <w:rFonts w:hint="eastAsia" w:eastAsia="仿宋"/>
          <w:sz w:val="32"/>
          <w:szCs w:val="30"/>
        </w:rPr>
        <w:t>和对</w:t>
      </w:r>
      <w:r>
        <w:rPr>
          <w:rFonts w:eastAsia="仿宋"/>
          <w:sz w:val="32"/>
          <w:szCs w:val="30"/>
        </w:rPr>
        <w:t>浙江交通运输工作的重要指示精神</w:t>
      </w:r>
      <w:r>
        <w:rPr>
          <w:rFonts w:hint="eastAsia" w:eastAsia="仿宋"/>
          <w:sz w:val="32"/>
          <w:szCs w:val="30"/>
        </w:rPr>
        <w:t>，</w:t>
      </w:r>
      <w:r>
        <w:rPr>
          <w:rFonts w:eastAsia="仿宋"/>
          <w:sz w:val="32"/>
          <w:szCs w:val="30"/>
        </w:rPr>
        <w:t>全面贯彻落实省委十四届七次全会和省市有关会议精神，坚定扛起“三地一窗口”的使命担当，</w:t>
      </w:r>
      <w:r>
        <w:rPr>
          <w:rFonts w:hint="eastAsia" w:eastAsia="仿宋"/>
          <w:sz w:val="32"/>
          <w:szCs w:val="30"/>
        </w:rPr>
        <w:t>推进“八八战略”再深化、改革开放再出发，按照“打造增长极、共建都市区、当好答卷人”的总要求，锚定设区20周年以及浙江省第五个省级新区设立时间节点，按照《交通强国建设纲要》的总体要求</w:t>
      </w:r>
      <w:r>
        <w:rPr>
          <w:rFonts w:eastAsia="仿宋"/>
          <w:sz w:val="32"/>
          <w:szCs w:val="30"/>
        </w:rPr>
        <w:t>，牢牢把握交通“先行官”定位，统筹海陆空各种交通资源优化配置，统筹各种交通方式融合发展，构建安全、便捷、高效、绿色、经济的现代化综合立体交通体系，努力打造全省海陆开放大通道示范区，以大抓交通、抓大交通的实绩实效，为高水平现代化</w:t>
      </w:r>
      <w:r>
        <w:rPr>
          <w:rFonts w:hint="eastAsia" w:eastAsia="仿宋"/>
          <w:sz w:val="32"/>
          <w:szCs w:val="30"/>
        </w:rPr>
        <w:t>省级新区</w:t>
      </w:r>
      <w:r>
        <w:rPr>
          <w:rFonts w:eastAsia="仿宋"/>
          <w:sz w:val="32"/>
          <w:szCs w:val="30"/>
        </w:rPr>
        <w:t>建设当好先行</w:t>
      </w:r>
      <w:r>
        <w:rPr>
          <w:rFonts w:hint="eastAsia" w:eastAsia="仿宋"/>
          <w:sz w:val="32"/>
          <w:szCs w:val="30"/>
        </w:rPr>
        <w:t>，</w:t>
      </w:r>
      <w:r>
        <w:rPr>
          <w:rFonts w:eastAsia="仿宋"/>
          <w:sz w:val="32"/>
          <w:szCs w:val="30"/>
        </w:rPr>
        <w:t>为共建“和美金东、希望新城”再立新功。</w:t>
      </w:r>
    </w:p>
    <w:p w14:paraId="0E265D37">
      <w:pPr>
        <w:pStyle w:val="4"/>
        <w:ind w:firstLine="643"/>
      </w:pPr>
      <w:bookmarkStart w:id="20" w:name="_Toc43384729"/>
      <w:r>
        <w:rPr>
          <w:rFonts w:hint="eastAsia"/>
        </w:rPr>
        <w:t>（二）基本原则</w:t>
      </w:r>
      <w:bookmarkEnd w:id="20"/>
    </w:p>
    <w:p w14:paraId="0C6CE278">
      <w:pPr>
        <w:ind w:firstLine="643"/>
        <w:rPr>
          <w:rFonts w:ascii="仿宋" w:hAnsi="仿宋" w:eastAsia="仿宋"/>
          <w:snapToGrid w:val="0"/>
          <w:kern w:val="0"/>
          <w:sz w:val="32"/>
          <w:szCs w:val="28"/>
        </w:rPr>
      </w:pPr>
      <w:r>
        <w:rPr>
          <w:rFonts w:hint="eastAsia" w:ascii="仿宋" w:hAnsi="仿宋" w:eastAsia="仿宋"/>
          <w:b/>
          <w:snapToGrid w:val="0"/>
          <w:kern w:val="0"/>
          <w:sz w:val="32"/>
          <w:szCs w:val="28"/>
        </w:rPr>
        <w:t>强化引领，服务大局。</w:t>
      </w:r>
      <w:r>
        <w:rPr>
          <w:rFonts w:hint="eastAsia" w:ascii="仿宋" w:hAnsi="仿宋" w:eastAsia="仿宋"/>
          <w:snapToGrid w:val="0"/>
          <w:kern w:val="0"/>
          <w:sz w:val="32"/>
          <w:szCs w:val="28"/>
        </w:rPr>
        <w:t>准确把握长三角一体化等重大国家战略，瞄准“两个高水平”奋斗目标，对标交通强国建设示范区、更高质量发展先行区和人民满意交通样板区“三区”建设。强化金义新区建设，加强金义都市区间互联互通水平，充分发挥综合交通运输对战略支撑、主体功能发挥、经济社会发展的引领作用。</w:t>
      </w:r>
    </w:p>
    <w:p w14:paraId="0E154086">
      <w:pPr>
        <w:ind w:firstLine="643"/>
        <w:rPr>
          <w:rFonts w:ascii="仿宋" w:hAnsi="仿宋" w:eastAsia="仿宋"/>
          <w:b/>
          <w:sz w:val="32"/>
          <w:szCs w:val="28"/>
        </w:rPr>
      </w:pPr>
      <w:r>
        <w:rPr>
          <w:rFonts w:ascii="仿宋" w:hAnsi="仿宋" w:eastAsia="仿宋"/>
          <w:b/>
          <w:sz w:val="32"/>
          <w:szCs w:val="28"/>
        </w:rPr>
        <w:t>适度超前</w:t>
      </w:r>
      <w:r>
        <w:rPr>
          <w:rFonts w:hint="eastAsia" w:ascii="仿宋" w:hAnsi="仿宋" w:eastAsia="仿宋"/>
          <w:b/>
          <w:sz w:val="32"/>
          <w:szCs w:val="28"/>
        </w:rPr>
        <w:t>，科学布局。</w:t>
      </w:r>
      <w:r>
        <w:rPr>
          <w:rFonts w:ascii="仿宋" w:hAnsi="仿宋" w:eastAsia="仿宋"/>
          <w:snapToGrid w:val="0"/>
          <w:kern w:val="0"/>
          <w:sz w:val="32"/>
          <w:szCs w:val="28"/>
        </w:rPr>
        <w:t>紧紧抓住当前</w:t>
      </w:r>
      <w:r>
        <w:rPr>
          <w:rFonts w:hint="eastAsia" w:ascii="仿宋" w:hAnsi="仿宋" w:eastAsia="仿宋"/>
          <w:snapToGrid w:val="0"/>
          <w:kern w:val="0"/>
          <w:sz w:val="32"/>
          <w:szCs w:val="28"/>
        </w:rPr>
        <w:t>交通强国建设</w:t>
      </w:r>
      <w:r>
        <w:rPr>
          <w:rFonts w:ascii="仿宋" w:hAnsi="仿宋" w:eastAsia="仿宋"/>
          <w:snapToGrid w:val="0"/>
          <w:kern w:val="0"/>
          <w:sz w:val="32"/>
          <w:szCs w:val="28"/>
        </w:rPr>
        <w:t>的重要机遇期，始终把交通运输放在服务经济社会发展大局中来定位和谋划，坚持交通基础设施率先发展，适度超前配置，认真谋划</w:t>
      </w:r>
      <w:r>
        <w:rPr>
          <w:rFonts w:hint="eastAsia" w:ascii="仿宋" w:hAnsi="仿宋" w:eastAsia="仿宋"/>
          <w:snapToGrid w:val="0"/>
          <w:kern w:val="0"/>
          <w:sz w:val="32"/>
          <w:szCs w:val="28"/>
        </w:rPr>
        <w:t>金义新区（金东）</w:t>
      </w:r>
      <w:r>
        <w:rPr>
          <w:rFonts w:ascii="仿宋" w:hAnsi="仿宋" w:eastAsia="仿宋"/>
          <w:snapToGrid w:val="0"/>
          <w:kern w:val="0"/>
          <w:sz w:val="32"/>
          <w:szCs w:val="28"/>
        </w:rPr>
        <w:t>综合交通运输“十</w:t>
      </w:r>
      <w:r>
        <w:rPr>
          <w:rFonts w:hint="eastAsia" w:ascii="仿宋" w:hAnsi="仿宋" w:eastAsia="仿宋"/>
          <w:snapToGrid w:val="0"/>
          <w:kern w:val="0"/>
          <w:sz w:val="32"/>
          <w:szCs w:val="28"/>
        </w:rPr>
        <w:t>四</w:t>
      </w:r>
      <w:r>
        <w:rPr>
          <w:rFonts w:ascii="仿宋" w:hAnsi="仿宋" w:eastAsia="仿宋"/>
          <w:snapToGrid w:val="0"/>
          <w:kern w:val="0"/>
          <w:sz w:val="32"/>
          <w:szCs w:val="28"/>
        </w:rPr>
        <w:t>五”规划，全面提升交通运输对</w:t>
      </w:r>
      <w:r>
        <w:rPr>
          <w:rFonts w:hint="eastAsia" w:ascii="仿宋" w:hAnsi="仿宋" w:eastAsia="仿宋"/>
          <w:snapToGrid w:val="0"/>
          <w:kern w:val="0"/>
          <w:sz w:val="32"/>
          <w:szCs w:val="28"/>
        </w:rPr>
        <w:t>金义新区（金东）</w:t>
      </w:r>
      <w:r>
        <w:rPr>
          <w:rFonts w:ascii="仿宋" w:hAnsi="仿宋" w:eastAsia="仿宋"/>
          <w:snapToGrid w:val="0"/>
          <w:kern w:val="0"/>
          <w:sz w:val="32"/>
          <w:szCs w:val="28"/>
        </w:rPr>
        <w:t>经济社会发展的支撑保障和先行引导作用。</w:t>
      </w:r>
    </w:p>
    <w:p w14:paraId="295963DF">
      <w:pPr>
        <w:pStyle w:val="30"/>
        <w:spacing w:line="240" w:lineRule="auto"/>
        <w:ind w:firstLine="643"/>
        <w:rPr>
          <w:rFonts w:eastAsia="仿宋"/>
          <w:sz w:val="32"/>
          <w:szCs w:val="28"/>
        </w:rPr>
      </w:pPr>
      <w:r>
        <w:rPr>
          <w:rFonts w:ascii="仿宋" w:hAnsi="仿宋" w:eastAsia="仿宋"/>
          <w:b/>
          <w:bCs/>
          <w:sz w:val="32"/>
          <w:szCs w:val="28"/>
        </w:rPr>
        <w:t>统筹融合，人民满意。</w:t>
      </w:r>
      <w:r>
        <w:rPr>
          <w:rFonts w:eastAsia="仿宋"/>
          <w:sz w:val="32"/>
          <w:szCs w:val="28"/>
        </w:rPr>
        <w:t>更加注重全方位、多层次融合发展，与国土空间规划充分衔接，着力打破行政分割和市场壁垒，重点面向长三角、环杭州湾经济区、都市经济圈，从以人为本角度出发，谋划区域交通一体化衔接，推动多种交通方式向有机融合转变，构建基础设施互联互通和运输服务一体化的综合立体交通网络，实现人享其行、货畅其流。</w:t>
      </w:r>
    </w:p>
    <w:p w14:paraId="15ECF60D">
      <w:pPr>
        <w:pStyle w:val="30"/>
        <w:spacing w:line="240" w:lineRule="auto"/>
        <w:ind w:firstLine="643"/>
        <w:rPr>
          <w:rFonts w:eastAsia="仿宋"/>
          <w:sz w:val="32"/>
          <w:szCs w:val="28"/>
        </w:rPr>
      </w:pPr>
      <w:r>
        <w:rPr>
          <w:rFonts w:ascii="仿宋" w:hAnsi="仿宋" w:eastAsia="仿宋"/>
          <w:b/>
          <w:bCs/>
          <w:sz w:val="32"/>
          <w:szCs w:val="28"/>
        </w:rPr>
        <w:t>智慧安全，绿色集约。</w:t>
      </w:r>
      <w:r>
        <w:rPr>
          <w:rFonts w:eastAsia="仿宋"/>
          <w:sz w:val="32"/>
          <w:szCs w:val="28"/>
        </w:rPr>
        <w:t>秉持高质量发展理念，更加注重创新驱动，加速高新技术集成创新与应用，重点推动交通基础设施智慧化发展，全面提高综合交通运输网络的安全性、可靠性、运载效能和应对自然灾害、突发事件的保障能力。践行绿水青山就是金山银山的</w:t>
      </w:r>
      <w:r>
        <w:rPr>
          <w:rFonts w:hint="eastAsia" w:eastAsia="仿宋"/>
          <w:sz w:val="32"/>
          <w:szCs w:val="28"/>
        </w:rPr>
        <w:t>发展</w:t>
      </w:r>
      <w:r>
        <w:rPr>
          <w:rFonts w:eastAsia="仿宋"/>
          <w:sz w:val="32"/>
          <w:szCs w:val="28"/>
        </w:rPr>
        <w:t>理念，切实考虑浙江省生态环境承载力，合理规划</w:t>
      </w:r>
      <w:r>
        <w:rPr>
          <w:rFonts w:hint="eastAsia" w:eastAsia="仿宋"/>
          <w:sz w:val="32"/>
          <w:szCs w:val="28"/>
        </w:rPr>
        <w:t>交通基础设施</w:t>
      </w:r>
      <w:r>
        <w:rPr>
          <w:rFonts w:eastAsia="仿宋"/>
          <w:sz w:val="32"/>
          <w:szCs w:val="28"/>
        </w:rPr>
        <w:t>线性工程和枢纽布局，</w:t>
      </w:r>
      <w:r>
        <w:rPr>
          <w:rFonts w:hint="eastAsia" w:eastAsia="仿宋"/>
          <w:sz w:val="32"/>
          <w:szCs w:val="28"/>
        </w:rPr>
        <w:t>积极开展交通设施规划建设全过程绿色化升级，</w:t>
      </w:r>
      <w:r>
        <w:rPr>
          <w:rFonts w:eastAsia="仿宋"/>
          <w:sz w:val="32"/>
          <w:szCs w:val="28"/>
        </w:rPr>
        <w:t>着力构建低碳环保、集约节约的绿色综合交通体系。</w:t>
      </w:r>
    </w:p>
    <w:p w14:paraId="31ACE285">
      <w:pPr>
        <w:pStyle w:val="4"/>
        <w:ind w:firstLine="643"/>
      </w:pPr>
      <w:bookmarkStart w:id="21" w:name="_Toc43384730"/>
      <w:r>
        <w:rPr>
          <w:rFonts w:hint="eastAsia"/>
        </w:rPr>
        <w:t>（三）发展目标</w:t>
      </w:r>
      <w:bookmarkEnd w:id="21"/>
    </w:p>
    <w:p w14:paraId="7B7B8D43">
      <w:pPr>
        <w:pStyle w:val="27"/>
        <w:numPr>
          <w:ilvl w:val="0"/>
          <w:numId w:val="4"/>
        </w:numPr>
        <w:ind w:firstLineChars="0"/>
        <w:rPr>
          <w:b/>
          <w:sz w:val="32"/>
          <w:szCs w:val="28"/>
        </w:rPr>
      </w:pPr>
      <w:r>
        <w:rPr>
          <w:b/>
          <w:sz w:val="32"/>
          <w:szCs w:val="28"/>
        </w:rPr>
        <w:t>总体目标</w:t>
      </w:r>
    </w:p>
    <w:p w14:paraId="78F73491">
      <w:pPr>
        <w:pStyle w:val="43"/>
        <w:jc w:val="left"/>
        <w:rPr>
          <w:rFonts w:cs="仿宋_GB2312"/>
          <w:szCs w:val="32"/>
        </w:rPr>
      </w:pPr>
      <w:r>
        <w:rPr>
          <w:rFonts w:hint="eastAsia" w:cs="仿宋_GB2312"/>
          <w:szCs w:val="32"/>
        </w:rPr>
        <w:t>在“十三五”发展现状和“十四五”新的发展形势下加快构建便捷、安全、经济、高效的综合运输体系，充分发挥交通运输的基础保障作用，必须紧紧围绕金义新区（金东）城市发展方向，准确把握金义新区（金东）综合交通运输体系发展定位。</w:t>
      </w:r>
    </w:p>
    <w:p w14:paraId="756E1DE9">
      <w:pPr>
        <w:pStyle w:val="43"/>
        <w:jc w:val="left"/>
        <w:rPr>
          <w:rFonts w:cs="仿宋_GB2312"/>
          <w:szCs w:val="32"/>
        </w:rPr>
      </w:pPr>
      <w:r>
        <w:rPr>
          <w:rFonts w:hint="eastAsia" w:cs="仿宋_GB2312"/>
          <w:szCs w:val="32"/>
        </w:rPr>
        <w:t>金义新区（金东）综合交通运输事业发展的总体定位是：</w:t>
      </w:r>
      <w:r>
        <w:rPr>
          <w:rFonts w:hint="eastAsia" w:ascii="黑体" w:hAnsi="黑体" w:eastAsia="黑体" w:cs="仿宋_GB2312"/>
          <w:b/>
          <w:szCs w:val="32"/>
        </w:rPr>
        <w:t>浙江都市区交通高质量一体化发展示范区，是具有对标国际品质的“区”域交通标杆地、金义黄金主轴交通战略核心通道、全域同城化发展主战场</w:t>
      </w:r>
      <w:r>
        <w:rPr>
          <w:rFonts w:hint="eastAsia" w:cs="仿宋_GB2312"/>
          <w:szCs w:val="32"/>
        </w:rPr>
        <w:t>。到2025年，基本实现交通运输现代化，建成布局合理、衔接顺畅、资源集约、安全可靠、绿色智能的现代综合交通运输体系，</w:t>
      </w:r>
      <w:r>
        <w:rPr>
          <w:rFonts w:hint="eastAsia"/>
        </w:rPr>
        <w:t>加快构建</w:t>
      </w:r>
      <w:r>
        <w:rPr>
          <w:rFonts w:hint="eastAsia" w:ascii="黑体" w:hAnsi="黑体" w:eastAsia="黑体" w:cs="仿宋_GB2312"/>
          <w:b/>
          <w:szCs w:val="32"/>
        </w:rPr>
        <w:t>“区域主要城镇30分钟交通圈、金义都市区1小时交通圈、杭甬温三大都市圈1小时交通圈、长三角中心城市2小时交通圈以及旅游客运一日交通圈”</w:t>
      </w:r>
      <w:r>
        <w:rPr>
          <w:rFonts w:hint="eastAsia" w:cs="仿宋_GB2312"/>
          <w:szCs w:val="32"/>
        </w:rPr>
        <w:t>，实现更高质量发展，各种运输方式的比较优势得到充分发挥，对经济、产业的支持作用显著增强，运输效率显著提升，基本满足人民群众更高水平的出行需求。</w:t>
      </w:r>
    </w:p>
    <w:p w14:paraId="6ADE9276">
      <w:pPr>
        <w:pStyle w:val="27"/>
        <w:numPr>
          <w:ilvl w:val="0"/>
          <w:numId w:val="5"/>
        </w:numPr>
        <w:ind w:firstLineChars="0"/>
        <w:jc w:val="left"/>
        <w:rPr>
          <w:b/>
          <w:sz w:val="32"/>
          <w:szCs w:val="28"/>
        </w:rPr>
      </w:pPr>
      <w:r>
        <w:rPr>
          <w:rFonts w:hint="eastAsia"/>
          <w:b/>
          <w:sz w:val="32"/>
          <w:szCs w:val="28"/>
        </w:rPr>
        <w:t>具体目标</w:t>
      </w:r>
    </w:p>
    <w:p w14:paraId="398E7D53">
      <w:pPr>
        <w:pStyle w:val="43"/>
        <w:ind w:firstLine="643"/>
        <w:jc w:val="left"/>
        <w:rPr>
          <w:rFonts w:cs="仿宋_GB2312" w:hAnsiTheme="minorHAnsi"/>
          <w:szCs w:val="32"/>
        </w:rPr>
      </w:pPr>
      <w:r>
        <w:rPr>
          <w:rFonts w:hint="eastAsia" w:cs="仿宋_GB2312" w:hAnsiTheme="minorHAnsi"/>
          <w:b/>
          <w:szCs w:val="32"/>
        </w:rPr>
        <w:t>——综合立体交通网络基本形成（构筑区域综合一体化交通运输体系）。</w:t>
      </w:r>
      <w:r>
        <w:rPr>
          <w:rFonts w:hint="eastAsia" w:cs="仿宋_GB2312" w:hAnsiTheme="minorHAnsi"/>
          <w:szCs w:val="32"/>
        </w:rPr>
        <w:t>统筹铁路、轨道交通、公路、水运、民航、枢纽等多种交通方式，全方位形成高效优质的综合立体交通网络</w:t>
      </w:r>
      <w:r>
        <w:rPr>
          <w:rFonts w:hint="eastAsia" w:cs="仿宋_GB2312" w:hAnsiTheme="minorHAnsi"/>
          <w:b/>
          <w:szCs w:val="32"/>
        </w:rPr>
        <w:t>。谋划区域南北链接通道，</w:t>
      </w:r>
      <w:r>
        <w:rPr>
          <w:rFonts w:hint="eastAsia" w:cs="仿宋_GB2312" w:hAnsiTheme="minorHAnsi"/>
          <w:szCs w:val="32"/>
        </w:rPr>
        <w:t>充分发挥金义新区（金东）区作为金义都市圈核心区位的桥梁作用，积极推动与北部兰溪以及南部武义、永康等地的衔接进程；</w:t>
      </w:r>
      <w:r>
        <w:rPr>
          <w:rFonts w:hint="eastAsia" w:cs="仿宋_GB2312" w:hAnsiTheme="minorHAnsi"/>
          <w:b/>
          <w:szCs w:val="32"/>
        </w:rPr>
        <w:t>助推产业经济产城融合，</w:t>
      </w:r>
      <w:r>
        <w:rPr>
          <w:rFonts w:hint="eastAsia" w:cs="仿宋_GB2312" w:hAnsiTheme="minorHAnsi"/>
          <w:szCs w:val="32"/>
        </w:rPr>
        <w:t>强化重要产业组团与城区以及外部交通快速衔接，以交通助推与引领产业发展</w:t>
      </w:r>
      <w:r>
        <w:rPr>
          <w:rFonts w:hint="eastAsia" w:cs="仿宋_GB2312" w:hAnsiTheme="minorHAnsi"/>
          <w:b/>
          <w:szCs w:val="32"/>
        </w:rPr>
        <w:t>；高水平建设“四好农村路”，</w:t>
      </w:r>
      <w:r>
        <w:rPr>
          <w:rFonts w:hint="eastAsia" w:cs="仿宋_GB2312" w:hAnsiTheme="minorHAnsi"/>
          <w:szCs w:val="32"/>
        </w:rPr>
        <w:t>力争完成浙江省“四好农村路”示范县创建，全力打造“畅通、安全、舒适、美丽”的高质量“四好农村路”，建成具有金义新区（金东）特色的高水平“四好农村路”，实现农村公路现代化。</w:t>
      </w:r>
    </w:p>
    <w:p w14:paraId="6D20E4D1">
      <w:pPr>
        <w:pStyle w:val="43"/>
        <w:ind w:firstLine="643"/>
        <w:rPr>
          <w:rFonts w:cs="仿宋_GB2312" w:hAnsiTheme="minorHAnsi"/>
          <w:szCs w:val="32"/>
        </w:rPr>
      </w:pPr>
      <w:r>
        <w:rPr>
          <w:rFonts w:hint="eastAsia" w:cs="仿宋_GB2312" w:hAnsiTheme="minorHAnsi"/>
          <w:b/>
          <w:szCs w:val="32"/>
        </w:rPr>
        <w:t>——枢纽辐射能级大幅提升。依托高铁金义站和义乌国际机场，打造金义核心枢纽，</w:t>
      </w:r>
      <w:r>
        <w:rPr>
          <w:rFonts w:hint="eastAsia" w:cs="仿宋_GB2312" w:hAnsiTheme="minorHAnsi"/>
          <w:szCs w:val="32"/>
        </w:rPr>
        <w:t>对接义乌机场集疏运体系，实现机场与高铁站运输资源的高效整合，形成面向国际、通达全国、辐射周边、高效衔接的金义核心枢纽，构建浙中城市群客运枢纽体系的核心支点；以金华南站为核心，整合竹马馆区块、婺城港水运作业区等运输资源，</w:t>
      </w:r>
      <w:r>
        <w:rPr>
          <w:rFonts w:hint="eastAsia" w:cs="仿宋_GB2312" w:hAnsiTheme="minorHAnsi"/>
          <w:b/>
          <w:szCs w:val="32"/>
        </w:rPr>
        <w:t>打造“联通全球、接轨国际”的浙中公铁水联运港</w:t>
      </w:r>
      <w:r>
        <w:rPr>
          <w:rFonts w:hint="eastAsia" w:cs="仿宋_GB2312" w:hAnsiTheme="minorHAnsi"/>
          <w:szCs w:val="32"/>
        </w:rPr>
        <w:t>。</w:t>
      </w:r>
    </w:p>
    <w:p w14:paraId="4E8750D2">
      <w:pPr>
        <w:pStyle w:val="43"/>
        <w:ind w:firstLine="643"/>
        <w:rPr>
          <w:rFonts w:cs="仿宋_GB2312" w:hAnsiTheme="minorHAnsi"/>
          <w:b/>
          <w:szCs w:val="32"/>
        </w:rPr>
      </w:pPr>
      <w:r>
        <w:rPr>
          <w:rFonts w:hint="eastAsia" w:cs="仿宋_GB2312" w:hAnsiTheme="minorHAnsi"/>
          <w:b/>
          <w:szCs w:val="32"/>
        </w:rPr>
        <w:t>——物流多式联运经济高效。到2025年，改造提升“一港一区”形成具有国内影响力的物流枢纽，金义新区（金东）物流业增加值达到30亿元以上，多式联运比例达到10%以上，基本建成现代物流服务体系。</w:t>
      </w:r>
      <w:r>
        <w:rPr>
          <w:rFonts w:hint="eastAsia" w:cs="仿宋_GB2312" w:hAnsiTheme="minorHAnsi"/>
          <w:szCs w:val="32"/>
        </w:rPr>
        <w:t>打造集约整合的综合货运体系。强化“义新欧”“义甬舟”双向开放国际物流大通道，</w:t>
      </w:r>
      <w:r>
        <w:rPr>
          <w:rFonts w:hint="eastAsia" w:cs="仿宋_GB2312"/>
          <w:szCs w:val="32"/>
        </w:rPr>
        <w:t>突出金义商贸流通优势和陆港口岸功能提升，着力推进义乌国际陆港体系建设，重点推进华东联运新城、金义综保区、华东农产品物流中心等重大枢纽港站建设，打造华东物流中心。</w:t>
      </w:r>
    </w:p>
    <w:p w14:paraId="452621B5">
      <w:pPr>
        <w:pStyle w:val="27"/>
        <w:spacing w:before="156" w:beforeLines="50" w:after="156" w:afterLines="50"/>
        <w:ind w:left="924" w:firstLine="0" w:firstLineChars="0"/>
        <w:jc w:val="center"/>
        <w:rPr>
          <w:rFonts w:ascii="黑体" w:hAnsi="黑体" w:eastAsia="黑体"/>
          <w:b/>
          <w:sz w:val="21"/>
          <w:szCs w:val="24"/>
        </w:rPr>
      </w:pPr>
    </w:p>
    <w:p w14:paraId="6C504060">
      <w:pPr>
        <w:pStyle w:val="27"/>
        <w:spacing w:before="156" w:beforeLines="50" w:after="156" w:afterLines="50"/>
        <w:ind w:left="924" w:firstLine="0" w:firstLineChars="0"/>
        <w:jc w:val="center"/>
        <w:rPr>
          <w:rFonts w:ascii="黑体" w:hAnsi="黑体" w:eastAsia="黑体"/>
          <w:b/>
          <w:sz w:val="21"/>
          <w:szCs w:val="24"/>
        </w:rPr>
      </w:pPr>
    </w:p>
    <w:p w14:paraId="10437CD5">
      <w:pPr>
        <w:ind w:firstLine="560"/>
        <w:rPr>
          <w:rFonts w:ascii="仿宋"/>
        </w:rPr>
      </w:pPr>
    </w:p>
    <w:p w14:paraId="24349F84">
      <w:pPr>
        <w:ind w:firstLine="560"/>
      </w:pPr>
      <w:r>
        <w:br w:type="page"/>
      </w:r>
    </w:p>
    <w:p w14:paraId="623F20AE">
      <w:pPr>
        <w:pStyle w:val="2"/>
        <w:ind w:firstLine="635"/>
      </w:pPr>
      <w:bookmarkStart w:id="22" w:name="_Toc43384731"/>
      <w:r>
        <w:rPr>
          <w:rFonts w:hint="eastAsia"/>
        </w:rPr>
        <w:t>四</w:t>
      </w:r>
      <w:r>
        <w:t>、</w:t>
      </w:r>
      <w:r>
        <w:rPr>
          <w:rFonts w:hint="eastAsia"/>
        </w:rPr>
        <w:t>综合交通规划总体布局</w:t>
      </w:r>
      <w:bookmarkEnd w:id="22"/>
    </w:p>
    <w:p w14:paraId="7112F012">
      <w:pPr>
        <w:pStyle w:val="4"/>
        <w:ind w:firstLine="643"/>
      </w:pPr>
      <w:bookmarkStart w:id="23" w:name="_Toc43384732"/>
      <w:r>
        <w:rPr>
          <w:rFonts w:hint="eastAsia"/>
        </w:rPr>
        <w:t>（一）高标准构筑</w:t>
      </w:r>
      <w:r>
        <w:t>综合运输通道</w:t>
      </w:r>
      <w:bookmarkEnd w:id="23"/>
    </w:p>
    <w:p w14:paraId="55900D67">
      <w:pPr>
        <w:pStyle w:val="34"/>
        <w:rPr>
          <w:rFonts w:ascii="Times New Roman"/>
        </w:rPr>
      </w:pPr>
      <w:r>
        <w:rPr>
          <w:rFonts w:ascii="Times New Roman"/>
        </w:rPr>
        <w:t>根据</w:t>
      </w:r>
      <w:r>
        <w:rPr>
          <w:rFonts w:hint="eastAsia" w:ascii="Times New Roman"/>
        </w:rPr>
        <w:t>金义新区（金东）</w:t>
      </w:r>
      <w:r>
        <w:rPr>
          <w:rFonts w:ascii="Times New Roman"/>
        </w:rPr>
        <w:t>现状空间布局和交通区位特点，</w:t>
      </w:r>
      <w:r>
        <w:rPr>
          <w:rFonts w:hint="eastAsia" w:ascii="Times New Roman"/>
        </w:rPr>
        <w:t>依托国家和省级综合运输通道建设，</w:t>
      </w:r>
      <w:r>
        <w:rPr>
          <w:rFonts w:ascii="Times New Roman"/>
        </w:rPr>
        <w:t>满足经济发展、旅游开发的需要</w:t>
      </w:r>
      <w:r>
        <w:rPr>
          <w:rFonts w:hint="eastAsia" w:ascii="Times New Roman"/>
        </w:rPr>
        <w:t>，</w:t>
      </w:r>
      <w:r>
        <w:rPr>
          <w:rFonts w:ascii="Times New Roman"/>
        </w:rPr>
        <w:t>以增强</w:t>
      </w:r>
      <w:r>
        <w:rPr>
          <w:rFonts w:hint="eastAsia" w:ascii="Times New Roman"/>
        </w:rPr>
        <w:t>金义新区（金东）</w:t>
      </w:r>
      <w:r>
        <w:rPr>
          <w:rFonts w:ascii="Times New Roman"/>
        </w:rPr>
        <w:t>交通集聚和辐射能力、强化区位优势和枢纽地位为导向，</w:t>
      </w:r>
      <w:r>
        <w:rPr>
          <w:rFonts w:hint="eastAsia" w:ascii="Times New Roman"/>
        </w:rPr>
        <w:t>全方位对接“一带一路”，布局</w:t>
      </w:r>
      <w:r>
        <w:rPr>
          <w:rFonts w:ascii="黑体" w:hAnsi="黑体" w:eastAsia="黑体"/>
          <w:b/>
        </w:rPr>
        <w:t>“</w:t>
      </w:r>
      <w:r>
        <w:rPr>
          <w:rFonts w:hint="eastAsia" w:ascii="黑体" w:hAnsi="黑体" w:eastAsia="黑体"/>
          <w:b/>
        </w:rPr>
        <w:t>两横两</w:t>
      </w:r>
      <w:r>
        <w:rPr>
          <w:rFonts w:ascii="黑体" w:hAnsi="黑体" w:eastAsia="黑体"/>
          <w:b/>
        </w:rPr>
        <w:t>纵</w:t>
      </w:r>
      <w:r>
        <w:rPr>
          <w:rFonts w:hint="eastAsia" w:ascii="黑体" w:hAnsi="黑体" w:eastAsia="黑体"/>
          <w:b/>
        </w:rPr>
        <w:t>—井字型</w:t>
      </w:r>
      <w:r>
        <w:rPr>
          <w:rFonts w:ascii="黑体" w:hAnsi="黑体" w:eastAsia="黑体"/>
          <w:b/>
        </w:rPr>
        <w:t>”</w:t>
      </w:r>
      <w:r>
        <w:rPr>
          <w:rFonts w:hint="eastAsia" w:ascii="Times New Roman"/>
        </w:rPr>
        <w:t>区域</w:t>
      </w:r>
      <w:r>
        <w:rPr>
          <w:rFonts w:ascii="Times New Roman"/>
        </w:rPr>
        <w:t>综合运输通道</w:t>
      </w:r>
      <w:r>
        <w:rPr>
          <w:rFonts w:hint="eastAsia" w:ascii="Times New Roman"/>
        </w:rPr>
        <w:t>轴线</w:t>
      </w:r>
      <w:r>
        <w:rPr>
          <w:rFonts w:ascii="Times New Roman"/>
        </w:rPr>
        <w:t>。以干线铁路、高速公路、高等级航道为骨干，加密拓展对外干线交通网；以市域轨道、快速路为主体，构建都市区一体化综合交通干线网；以农村公路为基础，进一步完善广泛覆盖乡村人口、产业、旅游等节点的支线路网。</w:t>
      </w:r>
    </w:p>
    <w:p w14:paraId="4485BC26">
      <w:pPr>
        <w:pStyle w:val="34"/>
        <w:ind w:firstLine="643"/>
        <w:rPr>
          <w:rFonts w:ascii="Times New Roman"/>
          <w:b/>
        </w:rPr>
      </w:pPr>
      <w:r>
        <w:rPr>
          <w:rFonts w:hint="eastAsia" w:ascii="Times New Roman"/>
          <w:b/>
        </w:rPr>
        <w:t>（1）横一：沪浙赣通道</w:t>
      </w:r>
    </w:p>
    <w:p w14:paraId="2855863E">
      <w:pPr>
        <w:pStyle w:val="34"/>
        <w:rPr>
          <w:rFonts w:ascii="Times New Roman"/>
        </w:rPr>
      </w:pPr>
      <w:r>
        <w:rPr>
          <w:rFonts w:hint="eastAsia" w:ascii="Times New Roman"/>
        </w:rPr>
        <w:t>国家级综合运输通道。以杭金衢高速、沪昆铁路、沪昆高铁为对外辐射主线，东接义乌、东阳，提升经贸联系，西联金华婺城方向，携手共谋发展。同时以老03省道、金义快速路、G235国道金义新区（金东）段（金义中线）和金义东城际轨道强化内部核心通道，进一步提升金义核心区的影响力。</w:t>
      </w:r>
    </w:p>
    <w:p w14:paraId="0D0F8069">
      <w:pPr>
        <w:pStyle w:val="34"/>
        <w:ind w:firstLine="643"/>
        <w:rPr>
          <w:rFonts w:ascii="Times New Roman"/>
          <w:b/>
        </w:rPr>
      </w:pPr>
      <w:r>
        <w:rPr>
          <w:rFonts w:hint="eastAsia" w:ascii="Times New Roman"/>
          <w:b/>
        </w:rPr>
        <w:t>（2）“纵一”：浙闽粤通道（沪</w:t>
      </w:r>
      <w:r>
        <w:rPr>
          <w:rFonts w:ascii="Times New Roman"/>
          <w:b/>
        </w:rPr>
        <w:t>(宁)浙赣运输通道</w:t>
      </w:r>
      <w:r>
        <w:rPr>
          <w:rFonts w:hint="eastAsia" w:ascii="Times New Roman"/>
          <w:b/>
        </w:rPr>
        <w:t>）</w:t>
      </w:r>
    </w:p>
    <w:p w14:paraId="70D7B555">
      <w:pPr>
        <w:pStyle w:val="34"/>
        <w:rPr>
          <w:rFonts w:ascii="Times New Roman"/>
        </w:rPr>
      </w:pPr>
      <w:r>
        <w:rPr>
          <w:rFonts w:hint="eastAsia" w:ascii="Times New Roman"/>
        </w:rPr>
        <w:t>拟增国家级综合运输通道同时也是金义都市区统筹发展廊道。沿都市区东部、西部带状城镇群形成串珠状发展空间，串联现有重要的县市域中心城市、重要城镇以及未来的重要开发节点。通道以金丽温高速、金温铁路、金温新双线为主轴线，辅以G330国道、G235国道东二环等路线，打造融入金义都市区核心枢纽的快速、便捷的综合交通体系，实现南北通达顺畅，是网络型都市区内部要素集聚的主要空间。</w:t>
      </w:r>
    </w:p>
    <w:p w14:paraId="1909B2F8">
      <w:pPr>
        <w:pStyle w:val="34"/>
        <w:ind w:firstLine="643"/>
        <w:rPr>
          <w:rFonts w:ascii="Times New Roman"/>
          <w:b/>
        </w:rPr>
      </w:pPr>
      <w:r>
        <w:rPr>
          <w:rFonts w:hint="eastAsia" w:ascii="Times New Roman"/>
          <w:b/>
        </w:rPr>
        <w:t>（3）“横二”：义甬舟通道</w:t>
      </w:r>
    </w:p>
    <w:p w14:paraId="63C84A9F">
      <w:pPr>
        <w:pStyle w:val="34"/>
        <w:rPr>
          <w:rFonts w:ascii="Times New Roman"/>
        </w:rPr>
      </w:pPr>
      <w:r>
        <w:rPr>
          <w:rFonts w:hint="eastAsia" w:ascii="Times New Roman"/>
        </w:rPr>
        <w:t>区域级综合运输通道同时也是都市区内陆通往海上丝绸之路的通道。起自宁波市，经绍兴、义乌至金华，是向西连接丝绸之路经济带和长江经济带，向东对接海上丝绸之路的重要通道，贯穿金义、宁波两大全国性枢纽及义乌国际陆港、宁波舟山港两大港口体系。通道内规划建设甬金衢上高速、金义东公路，形成以铁路、公路为重点的运输大通道，并进一步发展海铁联运，实现海港与陆港的无缝衔接。</w:t>
      </w:r>
    </w:p>
    <w:p w14:paraId="5283E0BA">
      <w:pPr>
        <w:pStyle w:val="34"/>
        <w:ind w:firstLine="643"/>
        <w:rPr>
          <w:rFonts w:ascii="Times New Roman"/>
          <w:b/>
        </w:rPr>
      </w:pPr>
      <w:r>
        <w:rPr>
          <w:rFonts w:hint="eastAsia" w:ascii="Times New Roman"/>
          <w:b/>
        </w:rPr>
        <w:t>（4）“纵二”：金兰武永交通走廊</w:t>
      </w:r>
    </w:p>
    <w:p w14:paraId="1D7BA8C6">
      <w:pPr>
        <w:pStyle w:val="34"/>
        <w:rPr>
          <w:rFonts w:ascii="Times New Roman"/>
        </w:rPr>
      </w:pPr>
      <w:r>
        <w:rPr>
          <w:rFonts w:hint="eastAsia" w:ascii="Times New Roman"/>
        </w:rPr>
        <w:t>以G1512甬金高速、金甬舟铁路、义兰公路等为主轴线，强化金义新区（金东）与义乌、武义、兰溪、东阳等金义都市圈其他县市之间的联系，深入连接宁波等沿海城市，进一步提升金义新区（金东）对外进出口贸易能力，大力推进区域内经济的可持续发展。</w:t>
      </w:r>
    </w:p>
    <w:p w14:paraId="45006505">
      <w:pPr>
        <w:pStyle w:val="46"/>
        <w:ind w:firstLine="560"/>
        <w:rPr>
          <w:rFonts w:ascii="黑体" w:hAnsi="黑体" w:eastAsia="黑体"/>
          <w:b/>
          <w:sz w:val="21"/>
        </w:rPr>
      </w:pPr>
      <w:r>
        <w:rPr>
          <w:rFonts w:hint="eastAsia" w:ascii="黑体" w:hAnsi="黑体" w:eastAsia="黑体"/>
          <w:b/>
          <w:sz w:val="21"/>
        </w:rPr>
        <w:t>表4-1金华市对外通道主要交通干线构成表</w:t>
      </w:r>
    </w:p>
    <w:tbl>
      <w:tblPr>
        <w:tblStyle w:val="18"/>
        <w:tblW w:w="495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3568"/>
        <w:gridCol w:w="1425"/>
        <w:gridCol w:w="1504"/>
      </w:tblGrid>
      <w:tr w14:paraId="25937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153" w:type="pct"/>
            <w:vAlign w:val="center"/>
          </w:tcPr>
          <w:p w14:paraId="5C69C240">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方向</w:t>
            </w:r>
          </w:p>
        </w:tc>
        <w:tc>
          <w:tcPr>
            <w:tcW w:w="2113" w:type="pct"/>
            <w:vAlign w:val="center"/>
          </w:tcPr>
          <w:p w14:paraId="376F76C9">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主要交通干线</w:t>
            </w:r>
          </w:p>
        </w:tc>
        <w:tc>
          <w:tcPr>
            <w:tcW w:w="844" w:type="pct"/>
            <w:vAlign w:val="center"/>
          </w:tcPr>
          <w:p w14:paraId="3D741DE4">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规划等级</w:t>
            </w:r>
          </w:p>
        </w:tc>
        <w:tc>
          <w:tcPr>
            <w:tcW w:w="890" w:type="pct"/>
            <w:vAlign w:val="center"/>
          </w:tcPr>
          <w:p w14:paraId="40CCD7F0">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建设性质</w:t>
            </w:r>
          </w:p>
        </w:tc>
      </w:tr>
      <w:tr w14:paraId="0B8F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restart"/>
            <w:vAlign w:val="center"/>
          </w:tcPr>
          <w:p w14:paraId="525D00BB">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杭州</w:t>
            </w:r>
          </w:p>
          <w:p w14:paraId="70810BD5">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（上海、南京）</w:t>
            </w:r>
          </w:p>
        </w:tc>
        <w:tc>
          <w:tcPr>
            <w:tcW w:w="2113" w:type="pct"/>
            <w:vAlign w:val="center"/>
          </w:tcPr>
          <w:p w14:paraId="1A19FAEC">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沪昆高铁</w:t>
            </w:r>
          </w:p>
        </w:tc>
        <w:tc>
          <w:tcPr>
            <w:tcW w:w="844" w:type="pct"/>
            <w:vAlign w:val="center"/>
          </w:tcPr>
          <w:p w14:paraId="51B99A56">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客专</w:t>
            </w:r>
          </w:p>
        </w:tc>
        <w:tc>
          <w:tcPr>
            <w:tcW w:w="890" w:type="pct"/>
            <w:vAlign w:val="center"/>
          </w:tcPr>
          <w:p w14:paraId="62A9EB42">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58B61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570E5AA3">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0142AD67">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金义高铁三四线</w:t>
            </w:r>
          </w:p>
        </w:tc>
        <w:tc>
          <w:tcPr>
            <w:tcW w:w="844" w:type="pct"/>
            <w:vAlign w:val="center"/>
          </w:tcPr>
          <w:p w14:paraId="1B0E42EE">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客专</w:t>
            </w:r>
          </w:p>
        </w:tc>
        <w:tc>
          <w:tcPr>
            <w:tcW w:w="890" w:type="pct"/>
            <w:vAlign w:val="center"/>
          </w:tcPr>
          <w:p w14:paraId="38E3331E">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规划</w:t>
            </w:r>
          </w:p>
        </w:tc>
      </w:tr>
      <w:tr w14:paraId="1AF09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282545A0">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490B11F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沪昆铁路</w:t>
            </w:r>
          </w:p>
        </w:tc>
        <w:tc>
          <w:tcPr>
            <w:tcW w:w="844" w:type="pct"/>
            <w:vAlign w:val="center"/>
          </w:tcPr>
          <w:p w14:paraId="12D1CE50">
            <w:pPr>
              <w:adjustRightInd w:val="0"/>
              <w:snapToGrid w:val="0"/>
              <w:ind w:firstLine="0"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I</w:t>
            </w:r>
            <w:r>
              <w:rPr>
                <w:rFonts w:hint="eastAsia" w:asciiTheme="minorEastAsia" w:hAnsiTheme="minorEastAsia" w:eastAsiaTheme="minorEastAsia"/>
                <w:kern w:val="0"/>
                <w:sz w:val="24"/>
                <w:szCs w:val="24"/>
              </w:rPr>
              <w:t>级双线</w:t>
            </w:r>
          </w:p>
        </w:tc>
        <w:tc>
          <w:tcPr>
            <w:tcW w:w="890" w:type="pct"/>
            <w:vAlign w:val="center"/>
          </w:tcPr>
          <w:p w14:paraId="4D80A93F">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6B3641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5C2E7FDF">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34AC5DA4">
            <w:pPr>
              <w:adjustRightInd w:val="0"/>
              <w:snapToGrid w:val="0"/>
              <w:ind w:firstLine="0" w:firstLineChars="0"/>
              <w:jc w:val="center"/>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沪昆高速G60（杭金衢高速）</w:t>
            </w:r>
          </w:p>
        </w:tc>
        <w:tc>
          <w:tcPr>
            <w:tcW w:w="844" w:type="pct"/>
            <w:vAlign w:val="center"/>
          </w:tcPr>
          <w:p w14:paraId="6D416D1A">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7E591363">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253B0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2896B0CD">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3A564BEB">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G235</w:t>
            </w:r>
          </w:p>
        </w:tc>
        <w:tc>
          <w:tcPr>
            <w:tcW w:w="844" w:type="pct"/>
            <w:vAlign w:val="center"/>
          </w:tcPr>
          <w:p w14:paraId="0F77DD0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一级公路</w:t>
            </w:r>
          </w:p>
        </w:tc>
        <w:tc>
          <w:tcPr>
            <w:tcW w:w="890" w:type="pct"/>
            <w:vAlign w:val="center"/>
          </w:tcPr>
          <w:p w14:paraId="0B2D655E">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改建</w:t>
            </w:r>
          </w:p>
        </w:tc>
      </w:tr>
      <w:tr w14:paraId="429A6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2F3176A8">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36A75212">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金义东轨道线</w:t>
            </w:r>
          </w:p>
        </w:tc>
        <w:tc>
          <w:tcPr>
            <w:tcW w:w="844" w:type="pct"/>
            <w:vAlign w:val="center"/>
          </w:tcPr>
          <w:p w14:paraId="42D40BFE">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城际轨道</w:t>
            </w:r>
          </w:p>
        </w:tc>
        <w:tc>
          <w:tcPr>
            <w:tcW w:w="890" w:type="pct"/>
            <w:vAlign w:val="center"/>
          </w:tcPr>
          <w:p w14:paraId="69847AE7">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规划</w:t>
            </w:r>
          </w:p>
        </w:tc>
      </w:tr>
      <w:tr w14:paraId="2100D1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2C07CFC8">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794194F0">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金台城际</w:t>
            </w:r>
          </w:p>
        </w:tc>
        <w:tc>
          <w:tcPr>
            <w:tcW w:w="844" w:type="pct"/>
            <w:vAlign w:val="center"/>
          </w:tcPr>
          <w:p w14:paraId="353BA0CC">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客专</w:t>
            </w:r>
          </w:p>
        </w:tc>
        <w:tc>
          <w:tcPr>
            <w:tcW w:w="890" w:type="pct"/>
            <w:vAlign w:val="center"/>
          </w:tcPr>
          <w:p w14:paraId="75B60FF5">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规划</w:t>
            </w:r>
          </w:p>
        </w:tc>
      </w:tr>
      <w:tr w14:paraId="48AF4D8C">
        <w:tblPrEx>
          <w:tblCellMar>
            <w:top w:w="0" w:type="dxa"/>
            <w:left w:w="108" w:type="dxa"/>
            <w:bottom w:w="0" w:type="dxa"/>
            <w:right w:w="108" w:type="dxa"/>
          </w:tblCellMar>
        </w:tblPrEx>
        <w:trPr>
          <w:trHeight w:val="219" w:hRule="atLeast"/>
          <w:jc w:val="center"/>
        </w:trPr>
        <w:tc>
          <w:tcPr>
            <w:tcW w:w="1153" w:type="pct"/>
            <w:vMerge w:val="restart"/>
            <w:vAlign w:val="center"/>
          </w:tcPr>
          <w:p w14:paraId="32B2E7B9">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温州/丽水</w:t>
            </w:r>
          </w:p>
          <w:p w14:paraId="01D4C588">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（福州）</w:t>
            </w:r>
          </w:p>
        </w:tc>
        <w:tc>
          <w:tcPr>
            <w:tcW w:w="2113" w:type="pct"/>
            <w:vAlign w:val="center"/>
          </w:tcPr>
          <w:p w14:paraId="012DFDAA">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金温扩能改造线</w:t>
            </w:r>
          </w:p>
        </w:tc>
        <w:tc>
          <w:tcPr>
            <w:tcW w:w="844" w:type="pct"/>
            <w:vAlign w:val="center"/>
          </w:tcPr>
          <w:p w14:paraId="0FEF9114">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客专</w:t>
            </w:r>
          </w:p>
        </w:tc>
        <w:tc>
          <w:tcPr>
            <w:tcW w:w="890" w:type="pct"/>
            <w:vAlign w:val="center"/>
          </w:tcPr>
          <w:p w14:paraId="2F4F270D">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108AD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06F429FD">
            <w:pPr>
              <w:adjustRightInd w:val="0"/>
              <w:snapToGrid w:val="0"/>
              <w:ind w:firstLine="0" w:firstLineChars="0"/>
              <w:jc w:val="center"/>
              <w:rPr>
                <w:rFonts w:asciiTheme="minorEastAsia" w:hAnsiTheme="minorEastAsia" w:eastAsiaTheme="minorEastAsia"/>
                <w:b/>
                <w:kern w:val="0"/>
                <w:sz w:val="24"/>
                <w:szCs w:val="24"/>
              </w:rPr>
            </w:pPr>
          </w:p>
        </w:tc>
        <w:tc>
          <w:tcPr>
            <w:tcW w:w="2113" w:type="pct"/>
            <w:vAlign w:val="center"/>
          </w:tcPr>
          <w:p w14:paraId="643472E8">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金温货线（铁路）</w:t>
            </w:r>
          </w:p>
        </w:tc>
        <w:tc>
          <w:tcPr>
            <w:tcW w:w="844" w:type="pct"/>
            <w:vAlign w:val="center"/>
          </w:tcPr>
          <w:p w14:paraId="52C9F258">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地I单线</w:t>
            </w:r>
          </w:p>
        </w:tc>
        <w:tc>
          <w:tcPr>
            <w:tcW w:w="890" w:type="pct"/>
            <w:vAlign w:val="center"/>
          </w:tcPr>
          <w:p w14:paraId="33011EB4">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301788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0E7D3FC2">
            <w:pPr>
              <w:adjustRightInd w:val="0"/>
              <w:snapToGrid w:val="0"/>
              <w:ind w:firstLine="0" w:firstLineChars="0"/>
              <w:jc w:val="center"/>
              <w:rPr>
                <w:rFonts w:asciiTheme="minorEastAsia" w:hAnsiTheme="minorEastAsia" w:eastAsiaTheme="minorEastAsia"/>
                <w:b/>
                <w:kern w:val="0"/>
                <w:sz w:val="24"/>
                <w:szCs w:val="24"/>
              </w:rPr>
            </w:pPr>
          </w:p>
        </w:tc>
        <w:tc>
          <w:tcPr>
            <w:tcW w:w="2113" w:type="pct"/>
            <w:vAlign w:val="center"/>
          </w:tcPr>
          <w:p w14:paraId="66BE4CD3">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G25金丽温高速</w:t>
            </w:r>
          </w:p>
        </w:tc>
        <w:tc>
          <w:tcPr>
            <w:tcW w:w="844" w:type="pct"/>
            <w:vAlign w:val="center"/>
          </w:tcPr>
          <w:p w14:paraId="08010ADA">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33543977">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30D1D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2CE75DDC">
            <w:pPr>
              <w:adjustRightInd w:val="0"/>
              <w:snapToGrid w:val="0"/>
              <w:ind w:firstLine="0" w:firstLineChars="0"/>
              <w:jc w:val="center"/>
              <w:rPr>
                <w:rFonts w:asciiTheme="minorEastAsia" w:hAnsiTheme="minorEastAsia" w:eastAsiaTheme="minorEastAsia"/>
                <w:b/>
                <w:kern w:val="0"/>
                <w:sz w:val="24"/>
                <w:szCs w:val="24"/>
              </w:rPr>
            </w:pPr>
          </w:p>
        </w:tc>
        <w:tc>
          <w:tcPr>
            <w:tcW w:w="2113" w:type="pct"/>
            <w:vAlign w:val="center"/>
          </w:tcPr>
          <w:p w14:paraId="69A57DA2">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建金高速</w:t>
            </w:r>
          </w:p>
        </w:tc>
        <w:tc>
          <w:tcPr>
            <w:tcW w:w="844" w:type="pct"/>
            <w:vAlign w:val="center"/>
          </w:tcPr>
          <w:p w14:paraId="364022E6">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663B6342">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在建</w:t>
            </w:r>
          </w:p>
        </w:tc>
      </w:tr>
      <w:tr w14:paraId="30EF8B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04280623">
            <w:pPr>
              <w:adjustRightInd w:val="0"/>
              <w:snapToGrid w:val="0"/>
              <w:ind w:firstLine="0" w:firstLineChars="0"/>
              <w:jc w:val="center"/>
              <w:rPr>
                <w:rFonts w:asciiTheme="minorEastAsia" w:hAnsiTheme="minorEastAsia" w:eastAsiaTheme="minorEastAsia"/>
                <w:b/>
                <w:kern w:val="0"/>
                <w:sz w:val="24"/>
                <w:szCs w:val="24"/>
              </w:rPr>
            </w:pPr>
          </w:p>
        </w:tc>
        <w:tc>
          <w:tcPr>
            <w:tcW w:w="2113" w:type="pct"/>
            <w:vAlign w:val="center"/>
          </w:tcPr>
          <w:p w14:paraId="5D7072B8">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G330</w:t>
            </w:r>
          </w:p>
        </w:tc>
        <w:tc>
          <w:tcPr>
            <w:tcW w:w="844" w:type="pct"/>
            <w:vAlign w:val="center"/>
          </w:tcPr>
          <w:p w14:paraId="18DD994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一级公路</w:t>
            </w:r>
          </w:p>
        </w:tc>
        <w:tc>
          <w:tcPr>
            <w:tcW w:w="890" w:type="pct"/>
            <w:vAlign w:val="center"/>
          </w:tcPr>
          <w:p w14:paraId="3E8ABA06">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改建</w:t>
            </w:r>
          </w:p>
        </w:tc>
      </w:tr>
      <w:tr w14:paraId="2A0FB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restart"/>
            <w:vAlign w:val="center"/>
          </w:tcPr>
          <w:p w14:paraId="771B01CF">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宁波</w:t>
            </w:r>
          </w:p>
          <w:p w14:paraId="1F8802AE">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（舟山）</w:t>
            </w:r>
          </w:p>
        </w:tc>
        <w:tc>
          <w:tcPr>
            <w:tcW w:w="2113" w:type="pct"/>
            <w:vAlign w:val="center"/>
          </w:tcPr>
          <w:p w14:paraId="5241043D">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甬金高速G1512</w:t>
            </w:r>
          </w:p>
        </w:tc>
        <w:tc>
          <w:tcPr>
            <w:tcW w:w="844" w:type="pct"/>
            <w:vAlign w:val="center"/>
          </w:tcPr>
          <w:p w14:paraId="56741582">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5C1D4DD3">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5ACFC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08068DFB">
            <w:pPr>
              <w:adjustRightInd w:val="0"/>
              <w:snapToGrid w:val="0"/>
              <w:ind w:firstLine="0" w:firstLineChars="0"/>
              <w:rPr>
                <w:rFonts w:asciiTheme="minorEastAsia" w:hAnsiTheme="minorEastAsia" w:eastAsiaTheme="minorEastAsia"/>
                <w:b/>
                <w:kern w:val="0"/>
                <w:sz w:val="24"/>
                <w:szCs w:val="24"/>
              </w:rPr>
            </w:pPr>
          </w:p>
        </w:tc>
        <w:tc>
          <w:tcPr>
            <w:tcW w:w="2113" w:type="pct"/>
            <w:vAlign w:val="center"/>
          </w:tcPr>
          <w:p w14:paraId="186FC76F">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甬金衢上高速</w:t>
            </w:r>
          </w:p>
        </w:tc>
        <w:tc>
          <w:tcPr>
            <w:tcW w:w="844" w:type="pct"/>
            <w:vAlign w:val="center"/>
          </w:tcPr>
          <w:p w14:paraId="5D6098A5">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7EB60406">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规划</w:t>
            </w:r>
          </w:p>
        </w:tc>
      </w:tr>
      <w:tr w14:paraId="4F175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4F98D749">
            <w:pPr>
              <w:adjustRightInd w:val="0"/>
              <w:snapToGrid w:val="0"/>
              <w:ind w:firstLine="0" w:firstLineChars="0"/>
              <w:rPr>
                <w:rFonts w:asciiTheme="minorEastAsia" w:hAnsiTheme="minorEastAsia" w:eastAsiaTheme="minorEastAsia"/>
                <w:b/>
                <w:kern w:val="0"/>
                <w:sz w:val="24"/>
                <w:szCs w:val="24"/>
              </w:rPr>
            </w:pPr>
          </w:p>
        </w:tc>
        <w:tc>
          <w:tcPr>
            <w:tcW w:w="2113" w:type="pct"/>
            <w:vAlign w:val="center"/>
          </w:tcPr>
          <w:p w14:paraId="2A070DE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S315（金义东公路）</w:t>
            </w:r>
          </w:p>
        </w:tc>
        <w:tc>
          <w:tcPr>
            <w:tcW w:w="844" w:type="pct"/>
            <w:vAlign w:val="center"/>
          </w:tcPr>
          <w:p w14:paraId="719F874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一级公路</w:t>
            </w:r>
          </w:p>
        </w:tc>
        <w:tc>
          <w:tcPr>
            <w:tcW w:w="890" w:type="pct"/>
            <w:vAlign w:val="center"/>
          </w:tcPr>
          <w:p w14:paraId="61509281">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改建</w:t>
            </w:r>
          </w:p>
        </w:tc>
      </w:tr>
      <w:tr w14:paraId="0DA84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restart"/>
            <w:vAlign w:val="center"/>
          </w:tcPr>
          <w:p w14:paraId="7694E602">
            <w:pPr>
              <w:adjustRightInd w:val="0"/>
              <w:snapToGrid w:val="0"/>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武义、兰溪、东阳</w:t>
            </w:r>
          </w:p>
        </w:tc>
        <w:tc>
          <w:tcPr>
            <w:tcW w:w="2113" w:type="pct"/>
            <w:vAlign w:val="center"/>
          </w:tcPr>
          <w:p w14:paraId="13012B61">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甬金高速G1512</w:t>
            </w:r>
          </w:p>
        </w:tc>
        <w:tc>
          <w:tcPr>
            <w:tcW w:w="844" w:type="pct"/>
            <w:vAlign w:val="center"/>
          </w:tcPr>
          <w:p w14:paraId="03F4658E">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高速公路</w:t>
            </w:r>
          </w:p>
        </w:tc>
        <w:tc>
          <w:tcPr>
            <w:tcW w:w="890" w:type="pct"/>
            <w:vAlign w:val="center"/>
          </w:tcPr>
          <w:p w14:paraId="33BE2E66">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r w14:paraId="2B132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53" w:type="pct"/>
            <w:vMerge w:val="continue"/>
            <w:vAlign w:val="center"/>
          </w:tcPr>
          <w:p w14:paraId="4AC05011">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76F27789">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金义永公路</w:t>
            </w:r>
          </w:p>
        </w:tc>
        <w:tc>
          <w:tcPr>
            <w:tcW w:w="844" w:type="pct"/>
            <w:vAlign w:val="center"/>
          </w:tcPr>
          <w:p w14:paraId="5741A0AC">
            <w:pPr>
              <w:adjustRightInd w:val="0"/>
              <w:snapToGrid w:val="0"/>
              <w:ind w:firstLine="480"/>
              <w:jc w:val="center"/>
              <w:rPr>
                <w:rFonts w:asciiTheme="minorEastAsia" w:hAnsiTheme="minorEastAsia" w:eastAsiaTheme="minorEastAsia"/>
                <w:kern w:val="0"/>
                <w:sz w:val="24"/>
                <w:szCs w:val="24"/>
              </w:rPr>
            </w:pPr>
          </w:p>
        </w:tc>
        <w:tc>
          <w:tcPr>
            <w:tcW w:w="890" w:type="pct"/>
            <w:vAlign w:val="center"/>
          </w:tcPr>
          <w:p w14:paraId="3D88B1C7">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新建</w:t>
            </w:r>
          </w:p>
        </w:tc>
      </w:tr>
      <w:tr w14:paraId="0D529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3" w:type="pct"/>
            <w:vMerge w:val="continue"/>
            <w:vAlign w:val="center"/>
          </w:tcPr>
          <w:p w14:paraId="6EA88D49">
            <w:pPr>
              <w:adjustRightInd w:val="0"/>
              <w:snapToGrid w:val="0"/>
              <w:ind w:firstLine="482"/>
              <w:jc w:val="center"/>
              <w:rPr>
                <w:rFonts w:asciiTheme="minorEastAsia" w:hAnsiTheme="minorEastAsia" w:eastAsiaTheme="minorEastAsia"/>
                <w:b/>
                <w:kern w:val="0"/>
                <w:sz w:val="24"/>
                <w:szCs w:val="24"/>
              </w:rPr>
            </w:pPr>
          </w:p>
        </w:tc>
        <w:tc>
          <w:tcPr>
            <w:tcW w:w="2113" w:type="pct"/>
            <w:vAlign w:val="center"/>
          </w:tcPr>
          <w:p w14:paraId="3B6129B5">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义兰公路</w:t>
            </w:r>
          </w:p>
        </w:tc>
        <w:tc>
          <w:tcPr>
            <w:tcW w:w="844" w:type="pct"/>
            <w:vAlign w:val="center"/>
          </w:tcPr>
          <w:p w14:paraId="7DF6704F">
            <w:pPr>
              <w:adjustRightInd w:val="0"/>
              <w:snapToGrid w:val="0"/>
              <w:ind w:firstLine="480"/>
              <w:jc w:val="center"/>
              <w:rPr>
                <w:rFonts w:asciiTheme="minorEastAsia" w:hAnsiTheme="minorEastAsia" w:eastAsiaTheme="minorEastAsia"/>
                <w:kern w:val="0"/>
                <w:sz w:val="24"/>
                <w:szCs w:val="24"/>
              </w:rPr>
            </w:pPr>
          </w:p>
        </w:tc>
        <w:tc>
          <w:tcPr>
            <w:tcW w:w="890" w:type="pct"/>
            <w:vAlign w:val="center"/>
          </w:tcPr>
          <w:p w14:paraId="7D8B6CC0">
            <w:pPr>
              <w:adjustRightInd w:val="0"/>
              <w:snapToGrid w:val="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已建</w:t>
            </w:r>
          </w:p>
        </w:tc>
      </w:tr>
    </w:tbl>
    <w:p w14:paraId="0A9786C9">
      <w:pPr>
        <w:pStyle w:val="34"/>
        <w:ind w:firstLine="0" w:firstLineChars="0"/>
        <w:jc w:val="right"/>
        <w:rPr>
          <w:rFonts w:ascii="Times New Roman"/>
        </w:rPr>
      </w:pPr>
    </w:p>
    <w:p w14:paraId="1013B852">
      <w:pPr>
        <w:pStyle w:val="4"/>
        <w:ind w:firstLine="643"/>
      </w:pPr>
      <w:bookmarkStart w:id="24" w:name="_Toc43384733"/>
      <w:r>
        <w:rPr>
          <w:rFonts w:hint="eastAsia"/>
        </w:rPr>
        <w:t>（二）高质量发展综合交通网络</w:t>
      </w:r>
      <w:bookmarkEnd w:id="24"/>
    </w:p>
    <w:p w14:paraId="23400BD4">
      <w:pPr>
        <w:pStyle w:val="6"/>
        <w:ind w:firstLine="643"/>
        <w:rPr>
          <w:sz w:val="32"/>
        </w:rPr>
      </w:pPr>
      <w:bookmarkStart w:id="25" w:name="_Toc26422"/>
      <w:r>
        <w:rPr>
          <w:rFonts w:hint="eastAsia"/>
          <w:sz w:val="32"/>
        </w:rPr>
        <w:t>1、公路网</w:t>
      </w:r>
    </w:p>
    <w:p w14:paraId="09D17A04">
      <w:pPr>
        <w:ind w:firstLine="562"/>
        <w:rPr>
          <w:b/>
        </w:rPr>
      </w:pPr>
      <w:r>
        <w:rPr>
          <w:rFonts w:hint="eastAsia"/>
          <w:b/>
        </w:rPr>
        <w:t>（</w:t>
      </w:r>
      <w:r>
        <w:rPr>
          <w:b/>
        </w:rPr>
        <w:t>1</w:t>
      </w:r>
      <w:r>
        <w:rPr>
          <w:rFonts w:hint="eastAsia"/>
          <w:b/>
        </w:rPr>
        <w:t>）干线公路网</w:t>
      </w:r>
    </w:p>
    <w:bookmarkEnd w:id="25"/>
    <w:p w14:paraId="5CBA2A27">
      <w:pPr>
        <w:pStyle w:val="34"/>
        <w:rPr>
          <w:rFonts w:ascii="Times New Roman"/>
        </w:rPr>
      </w:pPr>
      <w:r>
        <w:rPr>
          <w:rFonts w:hint="eastAsia" w:ascii="Times New Roman"/>
        </w:rPr>
        <w:t>着眼于打造浙中都市区发展主轴和</w:t>
      </w:r>
      <w:r>
        <w:rPr>
          <w:rFonts w:ascii="Times New Roman"/>
        </w:rPr>
        <w:t>进一步</w:t>
      </w:r>
      <w:r>
        <w:rPr>
          <w:rFonts w:hint="eastAsia" w:ascii="Times New Roman"/>
        </w:rPr>
        <w:t>强化</w:t>
      </w:r>
      <w:r>
        <w:rPr>
          <w:rFonts w:ascii="Times New Roman"/>
        </w:rPr>
        <w:t>金义主轴交通走廊</w:t>
      </w:r>
      <w:r>
        <w:rPr>
          <w:rFonts w:hint="eastAsia" w:ascii="Times New Roman"/>
        </w:rPr>
        <w:t>加密、提升、提速，适应和引导产业及城镇空间布局调整，促进都市区城市之间互联互通。综合考虑高速公路网络布局和交通需求匹配性等方面因素。“十四五”期间，金义新区（金东）着力构筑</w:t>
      </w:r>
      <w:r>
        <w:rPr>
          <w:rFonts w:hint="eastAsia" w:ascii="黑体" w:hAnsi="黑体" w:eastAsia="黑体"/>
          <w:b/>
        </w:rPr>
        <w:t>“五纵七横一联”</w:t>
      </w:r>
      <w:r>
        <w:rPr>
          <w:rFonts w:hint="eastAsia" w:ascii="Times New Roman"/>
        </w:rPr>
        <w:t>公路交通网络，以高速公路、国省道干线公路为主骨架，以农村公路及其他地方性道路为基础，融合城市发展，配套产业集聚区、旅游资源区，打造便捷、畅通的公路网络。</w:t>
      </w:r>
    </w:p>
    <w:p w14:paraId="150E2993">
      <w:pPr>
        <w:pStyle w:val="34"/>
        <w:ind w:firstLine="643"/>
        <w:rPr>
          <w:rFonts w:ascii="黑体" w:hAnsi="黑体" w:eastAsia="黑体"/>
          <w:b/>
        </w:rPr>
      </w:pPr>
      <w:r>
        <w:rPr>
          <w:rFonts w:ascii="黑体" w:hAnsi="黑体" w:eastAsia="黑体"/>
          <w:b/>
        </w:rPr>
        <w:t>——</w:t>
      </w:r>
      <w:r>
        <w:rPr>
          <w:rFonts w:hint="eastAsia" w:ascii="黑体" w:hAnsi="黑体" w:eastAsia="黑体"/>
          <w:b/>
        </w:rPr>
        <w:t>“七横”：</w:t>
      </w:r>
      <w:r>
        <w:rPr>
          <w:rFonts w:ascii="黑体" w:hAnsi="黑体" w:eastAsia="黑体"/>
          <w:b/>
        </w:rPr>
        <w:t xml:space="preserve"> </w:t>
      </w:r>
    </w:p>
    <w:p w14:paraId="7C08D5DE">
      <w:pPr>
        <w:pStyle w:val="34"/>
        <w:rPr>
          <w:rFonts w:ascii="Times New Roman"/>
        </w:rPr>
      </w:pPr>
      <w:r>
        <w:rPr>
          <w:rFonts w:hint="eastAsia" w:ascii="Times New Roman"/>
        </w:rPr>
        <w:t>①G60沪昆高速（杭金衢高速公路）：杭金衢高速公路（金义新区（金东）段）横穿金义新区（金东），一级公路，双向八车道，是区内东西方向联系的重要通道。</w:t>
      </w:r>
    </w:p>
    <w:p w14:paraId="5848A7DF">
      <w:pPr>
        <w:pStyle w:val="34"/>
        <w:rPr>
          <w:rFonts w:ascii="Times New Roman"/>
        </w:rPr>
      </w:pPr>
      <w:r>
        <w:rPr>
          <w:rFonts w:hint="eastAsia" w:ascii="Times New Roman"/>
        </w:rPr>
        <w:t>②甬金衢上高速公路：</w:t>
      </w:r>
      <w:r>
        <w:rPr>
          <w:rFonts w:hint="eastAsia"/>
        </w:rPr>
        <w:t>新增宁波方向高速公路，作为金华至宁波方向高速公路第二通道，其中金东区段长约25公里，双向四车道。</w:t>
      </w:r>
    </w:p>
    <w:p w14:paraId="58ED6965">
      <w:pPr>
        <w:pStyle w:val="34"/>
        <w:rPr>
          <w:rFonts w:ascii="Times New Roman"/>
        </w:rPr>
      </w:pPr>
      <w:r>
        <w:rPr>
          <w:rFonts w:hint="eastAsia" w:ascii="Times New Roman"/>
        </w:rPr>
        <w:t>③G330洞头-合肥公路金义新区（金东）段：金义新区（金东）南部地区重要国道。</w:t>
      </w:r>
    </w:p>
    <w:p w14:paraId="67EF4677">
      <w:pPr>
        <w:pStyle w:val="34"/>
        <w:rPr>
          <w:rFonts w:ascii="Times New Roman"/>
        </w:rPr>
      </w:pPr>
      <w:r>
        <w:rPr>
          <w:rFonts w:hint="eastAsia" w:ascii="Times New Roman"/>
        </w:rPr>
        <w:t>④北部货运通道（老03省道）：横向贯穿金义新区（金东）全境，途经赤松、曹宅、傅村等重要乡镇，加强金华与义乌之间的联系。</w:t>
      </w:r>
    </w:p>
    <w:p w14:paraId="2539120B">
      <w:pPr>
        <w:pStyle w:val="34"/>
        <w:rPr>
          <w:rFonts w:ascii="Times New Roman"/>
        </w:rPr>
      </w:pPr>
      <w:r>
        <w:rPr>
          <w:rFonts w:hint="eastAsia" w:ascii="Times New Roman"/>
        </w:rPr>
        <w:t>⑤G235新沂-海丰公路金义新区（金东）安里至楼店段（金义中线）：原G235国道改建工程，金华至义乌的重要通道。</w:t>
      </w:r>
    </w:p>
    <w:p w14:paraId="6D8453B6">
      <w:pPr>
        <w:pStyle w:val="34"/>
        <w:rPr>
          <w:rFonts w:ascii="Times New Roman"/>
        </w:rPr>
      </w:pPr>
      <w:r>
        <w:rPr>
          <w:rFonts w:hint="eastAsia" w:ascii="Times New Roman"/>
        </w:rPr>
        <w:t>⑥金义快速路：已建设完成，是快速沟通义乌与金华交通联系的主要干线。</w:t>
      </w:r>
    </w:p>
    <w:p w14:paraId="0EA2151A">
      <w:pPr>
        <w:pStyle w:val="34"/>
        <w:rPr>
          <w:rFonts w:ascii="Times New Roman"/>
        </w:rPr>
      </w:pPr>
      <w:r>
        <w:rPr>
          <w:rFonts w:hint="eastAsia" w:ascii="Times New Roman"/>
        </w:rPr>
        <w:t>⑦S315三门-龙游公路金义新区（金东）多湖至义乌交接段（金义东公路）：已建设完成，是快速沟通金华与义乌、东阳、横店、磐安交通联系的主要干线。</w:t>
      </w:r>
    </w:p>
    <w:p w14:paraId="3FFD42D5">
      <w:pPr>
        <w:pStyle w:val="34"/>
        <w:ind w:firstLine="643"/>
        <w:rPr>
          <w:rFonts w:ascii="黑体" w:hAnsi="黑体" w:eastAsia="黑体"/>
          <w:b/>
        </w:rPr>
      </w:pPr>
      <w:r>
        <w:rPr>
          <w:rFonts w:ascii="黑体" w:hAnsi="黑体" w:eastAsia="黑体"/>
          <w:b/>
        </w:rPr>
        <w:t>——</w:t>
      </w:r>
      <w:r>
        <w:rPr>
          <w:rFonts w:hint="eastAsia" w:ascii="黑体" w:hAnsi="黑体" w:eastAsia="黑体"/>
          <w:b/>
        </w:rPr>
        <w:t>“五纵”：</w:t>
      </w:r>
    </w:p>
    <w:p w14:paraId="0E56DB79">
      <w:pPr>
        <w:pStyle w:val="34"/>
        <w:rPr>
          <w:rFonts w:ascii="Times New Roman"/>
        </w:rPr>
      </w:pPr>
      <w:r>
        <w:rPr>
          <w:rFonts w:hint="eastAsia" w:ascii="Times New Roman"/>
        </w:rPr>
        <w:t>①G235新沂-海丰公路（金义新区（金东）二环东路与十白线）：由金义新区（金东）区东二环线与十八里—白洋渡线路组成，北连武义范村。</w:t>
      </w:r>
    </w:p>
    <w:p w14:paraId="1255CC5F">
      <w:pPr>
        <w:pStyle w:val="34"/>
        <w:rPr>
          <w:rFonts w:ascii="Times New Roman"/>
        </w:rPr>
      </w:pPr>
      <w:r>
        <w:rPr>
          <w:rFonts w:hint="eastAsia" w:ascii="Times New Roman"/>
        </w:rPr>
        <w:t>②G25长深高速（金丽温高速公路）：纵向贯穿金义新区（金东）区，北往临安，南连武义，是金义新区（金东）境内南北通向的主要通道。</w:t>
      </w:r>
    </w:p>
    <w:p w14:paraId="5AA1D5B2">
      <w:pPr>
        <w:pStyle w:val="34"/>
        <w:rPr>
          <w:rFonts w:ascii="Times New Roman"/>
        </w:rPr>
      </w:pPr>
      <w:r>
        <w:rPr>
          <w:rFonts w:hint="eastAsia" w:ascii="Times New Roman"/>
        </w:rPr>
        <w:t>③建金高速接曹塘澧公路：路线途经曹宅、塘雅、澧浦及岭下朱，加强金义新区（金东）区中部纵向分布乡镇之间的联系。</w:t>
      </w:r>
    </w:p>
    <w:p w14:paraId="215FF93F">
      <w:pPr>
        <w:pStyle w:val="34"/>
        <w:rPr>
          <w:rFonts w:ascii="Times New Roman"/>
        </w:rPr>
      </w:pPr>
      <w:r>
        <w:rPr>
          <w:rFonts w:hint="eastAsia" w:ascii="Times New Roman"/>
        </w:rPr>
        <w:t>④白雅线：原潘石线改建扩能，向南延伸直至金义东南线，贯穿金义都市区，北至兰溪市，带动沿线城镇发展。</w:t>
      </w:r>
    </w:p>
    <w:p w14:paraId="6E3B9389">
      <w:pPr>
        <w:pStyle w:val="34"/>
        <w:rPr>
          <w:rFonts w:ascii="Times New Roman"/>
        </w:rPr>
      </w:pPr>
      <w:r>
        <w:rPr>
          <w:rFonts w:hint="eastAsia" w:ascii="Times New Roman"/>
        </w:rPr>
        <w:t>⑤东华街接金义永公路：甬金高速傅村互通至金义东南线连接线，未来规划向下连接永康市，向上通往兰溪、金义新区（金东）等地区。</w:t>
      </w:r>
    </w:p>
    <w:p w14:paraId="491E1EA0">
      <w:pPr>
        <w:pStyle w:val="34"/>
        <w:ind w:firstLine="643"/>
        <w:rPr>
          <w:rFonts w:ascii="Times New Roman"/>
        </w:rPr>
      </w:pPr>
      <w:r>
        <w:rPr>
          <w:rFonts w:ascii="黑体" w:hAnsi="黑体" w:eastAsia="黑体"/>
          <w:b/>
        </w:rPr>
        <w:t>——</w:t>
      </w:r>
      <w:r>
        <w:rPr>
          <w:rFonts w:hint="eastAsia" w:ascii="黑体" w:hAnsi="黑体" w:eastAsia="黑体"/>
          <w:b/>
        </w:rPr>
        <w:t>“一联”：</w:t>
      </w:r>
    </w:p>
    <w:p w14:paraId="6566633E">
      <w:pPr>
        <w:pStyle w:val="34"/>
        <w:rPr>
          <w:rFonts w:ascii="Times New Roman"/>
        </w:rPr>
      </w:pPr>
      <w:r>
        <w:rPr>
          <w:rFonts w:hint="eastAsia" w:ascii="Times New Roman"/>
        </w:rPr>
        <w:t>②G1512甬金高速：区内与杭金衢高速公路相连，东往义乌方向。</w:t>
      </w:r>
    </w:p>
    <w:p w14:paraId="6B1B794F">
      <w:pPr>
        <w:ind w:firstLine="562"/>
        <w:rPr>
          <w:b/>
        </w:rPr>
      </w:pPr>
      <w:r>
        <w:rPr>
          <w:rFonts w:hint="eastAsia"/>
          <w:b/>
        </w:rPr>
        <w:t>（</w:t>
      </w:r>
      <w:r>
        <w:rPr>
          <w:b/>
        </w:rPr>
        <w:t>2</w:t>
      </w:r>
      <w:r>
        <w:rPr>
          <w:rFonts w:hint="eastAsia"/>
          <w:b/>
        </w:rPr>
        <w:t>）四好农村路</w:t>
      </w:r>
    </w:p>
    <w:p w14:paraId="304C75D4">
      <w:pPr>
        <w:ind w:firstLine="640"/>
        <w:rPr>
          <w:rFonts w:eastAsia="仿宋_GB2312"/>
          <w:sz w:val="32"/>
          <w:szCs w:val="30"/>
        </w:rPr>
      </w:pPr>
      <w:r>
        <w:rPr>
          <w:rFonts w:hint="eastAsia" w:eastAsia="仿宋_GB2312"/>
          <w:sz w:val="32"/>
          <w:szCs w:val="30"/>
        </w:rPr>
        <w:t>在浙江省“四好农村路”示范县创建的基础上，聚焦乡村经济节点，突出重要经济节点（旅游景区、乡镇等）、重要乡村节点的农村公路提升，实现从“畅”到“优”的提升；聚焦区域经济发展，“以点带面”，优化普通乡村与重要节点连接线，实现打开乡村更高层次的发展局面，提升“四好农村路”对乡村振兴产生的经济效益。</w:t>
      </w:r>
    </w:p>
    <w:p w14:paraId="793D5D7E">
      <w:pPr>
        <w:ind w:firstLine="640"/>
      </w:pPr>
      <w:r>
        <w:rPr>
          <w:rFonts w:hint="eastAsia" w:eastAsia="仿宋_GB2312"/>
          <w:sz w:val="32"/>
          <w:szCs w:val="30"/>
        </w:rPr>
        <w:t>“十四五”期间，基本完成连接各重要经济节点（旅游景区、乡镇等）农村公路的高品质创建，根据具体需求，提升绿化、配备更为齐全的服务站等服务功能设施。加强完善重要乡村节点（景区村庄、精品村庄等）与主干路网之间的品质公路创建，结合绿道网的规划建设，创建乡村精品线，为普通乡村创建品质公路提供示范经验。</w:t>
      </w:r>
    </w:p>
    <w:p w14:paraId="2461CA58">
      <w:pPr>
        <w:pStyle w:val="6"/>
        <w:ind w:firstLine="643"/>
        <w:rPr>
          <w:b w:val="0"/>
          <w:sz w:val="32"/>
        </w:rPr>
      </w:pPr>
      <w:r>
        <w:rPr>
          <w:sz w:val="32"/>
        </w:rPr>
        <w:t>2</w:t>
      </w:r>
      <w:r>
        <w:rPr>
          <w:rFonts w:hint="eastAsia"/>
          <w:sz w:val="32"/>
        </w:rPr>
        <w:t>、铁路与轨道交通</w:t>
      </w:r>
    </w:p>
    <w:p w14:paraId="61BCECB5">
      <w:pPr>
        <w:ind w:firstLine="640"/>
        <w:rPr>
          <w:rFonts w:eastAsia="仿宋_GB2312"/>
          <w:sz w:val="32"/>
          <w:szCs w:val="30"/>
        </w:rPr>
      </w:pPr>
      <w:r>
        <w:rPr>
          <w:rFonts w:hint="eastAsia" w:eastAsia="仿宋_GB2312"/>
          <w:sz w:val="32"/>
          <w:szCs w:val="30"/>
        </w:rPr>
        <w:t>金义新区（金东）铁路及轨道交通主要由干线铁路、浙中都市区城际轨道两个层次的网络组成。干线铁路为金华与国内其他省市运输联系提供服务，其中客运专线将进一步提升金华市的集聚功能和辐射能力，发挥“大容量、高速、高频率”的特点，在运输大通道内提供更安全、快捷、方便、舒适的旅客运输服务；金义都市区城际轨道主要为金义都市区交通一体化发展服务，在城际客流联系中发挥骨干作用，满足都市区间大运量、快速、准时的出行需求。</w:t>
      </w:r>
    </w:p>
    <w:p w14:paraId="4ED9A0E9">
      <w:pPr>
        <w:ind w:firstLine="627" w:firstLineChars="196"/>
        <w:rPr>
          <w:rFonts w:eastAsia="仿宋_GB2312"/>
          <w:sz w:val="32"/>
          <w:szCs w:val="30"/>
        </w:rPr>
      </w:pPr>
      <w:r>
        <w:rPr>
          <w:rFonts w:hint="eastAsia" w:eastAsia="仿宋_GB2312"/>
          <w:sz w:val="32"/>
          <w:szCs w:val="30"/>
        </w:rPr>
        <w:t>按照“统筹规划、交通引领、协调发展、系统配套”的布局原则，完善金义   新区（金东）铁路网，积极促进综合运输一体化。“十四五”期间着力构建</w:t>
      </w:r>
      <w:r>
        <w:rPr>
          <w:rFonts w:hint="eastAsia" w:ascii="黑体" w:hAnsi="黑体" w:eastAsia="黑体"/>
          <w:b/>
          <w:sz w:val="32"/>
          <w:szCs w:val="30"/>
        </w:rPr>
        <w:t>“四高二普一城际”</w:t>
      </w:r>
      <w:r>
        <w:rPr>
          <w:rFonts w:hint="eastAsia" w:eastAsia="仿宋_GB2312"/>
          <w:sz w:val="32"/>
          <w:szCs w:val="30"/>
        </w:rPr>
        <w:t>的铁路网。</w:t>
      </w:r>
    </w:p>
    <w:p w14:paraId="00D38527">
      <w:pPr>
        <w:ind w:firstLine="630" w:firstLineChars="196"/>
        <w:rPr>
          <w:rFonts w:eastAsia="仿宋_GB2312"/>
          <w:b/>
          <w:sz w:val="32"/>
          <w:szCs w:val="30"/>
        </w:rPr>
      </w:pPr>
      <w:r>
        <w:rPr>
          <w:rFonts w:eastAsia="仿宋_GB2312"/>
          <w:b/>
          <w:sz w:val="32"/>
          <w:szCs w:val="30"/>
        </w:rPr>
        <w:t>——</w:t>
      </w:r>
      <w:r>
        <w:rPr>
          <w:rFonts w:hint="eastAsia" w:eastAsia="仿宋_GB2312"/>
          <w:b/>
          <w:sz w:val="32"/>
          <w:szCs w:val="30"/>
        </w:rPr>
        <w:t>高速铁路网：</w:t>
      </w:r>
    </w:p>
    <w:p w14:paraId="51FEF9BD">
      <w:pPr>
        <w:ind w:firstLine="627" w:firstLineChars="196"/>
        <w:rPr>
          <w:rFonts w:eastAsia="仿宋_GB2312"/>
          <w:sz w:val="32"/>
          <w:szCs w:val="30"/>
        </w:rPr>
      </w:pPr>
      <w:r>
        <w:rPr>
          <w:rFonts w:hint="eastAsia" w:eastAsia="仿宋_GB2312"/>
          <w:sz w:val="32"/>
          <w:szCs w:val="30"/>
        </w:rPr>
        <w:t>构建由沪昆高铁、金温扩能改造铁路、沪杭金城际（高速磁浮）、金义高铁三四线构成的高速铁路快速通道，实现与杭州、宁波、上海等长三角主要城市的便捷、高效联系。</w:t>
      </w:r>
    </w:p>
    <w:p w14:paraId="24EAAFC6">
      <w:pPr>
        <w:ind w:firstLine="627" w:firstLineChars="196"/>
        <w:rPr>
          <w:rFonts w:eastAsia="仿宋_GB2312"/>
          <w:sz w:val="32"/>
          <w:szCs w:val="30"/>
        </w:rPr>
      </w:pPr>
      <w:r>
        <w:rPr>
          <w:rFonts w:eastAsia="仿宋_GB2312"/>
          <w:sz w:val="32"/>
          <w:szCs w:val="30"/>
        </w:rPr>
        <w:t>①</w:t>
      </w:r>
      <w:r>
        <w:rPr>
          <w:rFonts w:hint="eastAsia" w:eastAsia="仿宋_GB2312"/>
          <w:sz w:val="32"/>
          <w:szCs w:val="30"/>
        </w:rPr>
        <w:t>沪昆高铁（</w:t>
      </w:r>
      <w:r>
        <w:rPr>
          <w:rFonts w:eastAsia="仿宋_GB2312"/>
          <w:sz w:val="32"/>
          <w:szCs w:val="30"/>
        </w:rPr>
        <w:t>杭长客运专线</w:t>
      </w:r>
      <w:r>
        <w:rPr>
          <w:rFonts w:hint="eastAsia" w:eastAsia="仿宋_GB2312"/>
          <w:sz w:val="32"/>
          <w:szCs w:val="30"/>
        </w:rPr>
        <w:t>）</w:t>
      </w:r>
    </w:p>
    <w:p w14:paraId="4E782FB0">
      <w:pPr>
        <w:ind w:firstLine="627" w:firstLineChars="196"/>
        <w:rPr>
          <w:rFonts w:eastAsia="仿宋_GB2312"/>
          <w:sz w:val="32"/>
          <w:szCs w:val="30"/>
        </w:rPr>
      </w:pPr>
      <w:r>
        <w:rPr>
          <w:rFonts w:eastAsia="仿宋_GB2312"/>
          <w:sz w:val="32"/>
          <w:szCs w:val="30"/>
        </w:rPr>
        <w:t>杭长</w:t>
      </w:r>
      <w:r>
        <w:rPr>
          <w:rFonts w:hint="eastAsia" w:eastAsia="仿宋_GB2312"/>
          <w:sz w:val="32"/>
          <w:szCs w:val="30"/>
        </w:rPr>
        <w:t>客运专线</w:t>
      </w:r>
      <w:r>
        <w:rPr>
          <w:rFonts w:eastAsia="仿宋_GB2312"/>
          <w:sz w:val="32"/>
          <w:szCs w:val="30"/>
        </w:rPr>
        <w:t>，是中国“四纵四横”客运网主骨架之一——的一部分，东起</w:t>
      </w:r>
      <w:r>
        <w:fldChar w:fldCharType="begin"/>
      </w:r>
      <w:r>
        <w:instrText xml:space="preserve"> HYPERLINK "http://baike.baidu.com/view/2311178.htm" \t "http://baike.baidu.com/_blank" </w:instrText>
      </w:r>
      <w:r>
        <w:fldChar w:fldCharType="separate"/>
      </w:r>
      <w:r>
        <w:rPr>
          <w:rFonts w:eastAsia="仿宋_GB2312"/>
          <w:sz w:val="32"/>
          <w:szCs w:val="30"/>
        </w:rPr>
        <w:t>杭州东站</w:t>
      </w:r>
      <w:r>
        <w:rPr>
          <w:rFonts w:eastAsia="仿宋_GB2312"/>
          <w:sz w:val="32"/>
          <w:szCs w:val="30"/>
        </w:rPr>
        <w:fldChar w:fldCharType="end"/>
      </w:r>
      <w:r>
        <w:rPr>
          <w:rFonts w:eastAsia="仿宋_GB2312"/>
          <w:sz w:val="32"/>
          <w:szCs w:val="30"/>
        </w:rPr>
        <w:t>，经过</w:t>
      </w:r>
      <w:r>
        <w:fldChar w:fldCharType="begin"/>
      </w:r>
      <w:r>
        <w:instrText xml:space="preserve"> HYPERLINK "http://baike.baidu.com/view/375765.htm" \t "http://baike.baidu.com/_blank" </w:instrText>
      </w:r>
      <w:r>
        <w:fldChar w:fldCharType="separate"/>
      </w:r>
      <w:r>
        <w:rPr>
          <w:rFonts w:eastAsia="仿宋_GB2312"/>
          <w:sz w:val="32"/>
          <w:szCs w:val="30"/>
        </w:rPr>
        <w:t>南昌西站</w:t>
      </w:r>
      <w:r>
        <w:rPr>
          <w:rFonts w:eastAsia="仿宋_GB2312"/>
          <w:sz w:val="32"/>
          <w:szCs w:val="30"/>
        </w:rPr>
        <w:fldChar w:fldCharType="end"/>
      </w:r>
      <w:r>
        <w:rPr>
          <w:rFonts w:eastAsia="仿宋_GB2312"/>
          <w:sz w:val="32"/>
          <w:szCs w:val="30"/>
        </w:rPr>
        <w:t>，西至</w:t>
      </w:r>
      <w:r>
        <w:fldChar w:fldCharType="begin"/>
      </w:r>
      <w:r>
        <w:instrText xml:space="preserve"> HYPERLINK "http://baike.baidu.com/view/391835.htm" \t "http://baike.baidu.com/_blank" </w:instrText>
      </w:r>
      <w:r>
        <w:fldChar w:fldCharType="separate"/>
      </w:r>
      <w:r>
        <w:rPr>
          <w:rFonts w:eastAsia="仿宋_GB2312"/>
          <w:sz w:val="32"/>
          <w:szCs w:val="30"/>
        </w:rPr>
        <w:t>长沙南站</w:t>
      </w:r>
      <w:r>
        <w:rPr>
          <w:rFonts w:eastAsia="仿宋_GB2312"/>
          <w:sz w:val="32"/>
          <w:szCs w:val="30"/>
        </w:rPr>
        <w:fldChar w:fldCharType="end"/>
      </w:r>
      <w:r>
        <w:rPr>
          <w:rFonts w:eastAsia="仿宋_GB2312"/>
          <w:sz w:val="32"/>
          <w:szCs w:val="30"/>
        </w:rPr>
        <w:t>，线路全长927公里，线路横贯浙江、江西、湖南三省，途经杭州、南昌、长沙3个省会城市。</w:t>
      </w:r>
    </w:p>
    <w:p w14:paraId="50B1AD89">
      <w:pPr>
        <w:ind w:firstLine="627" w:firstLineChars="196"/>
        <w:rPr>
          <w:rFonts w:eastAsia="仿宋_GB2312"/>
          <w:sz w:val="32"/>
          <w:szCs w:val="30"/>
        </w:rPr>
      </w:pPr>
      <w:r>
        <w:rPr>
          <w:rFonts w:eastAsia="仿宋_GB2312"/>
          <w:sz w:val="32"/>
          <w:szCs w:val="30"/>
        </w:rPr>
        <w:t>②</w:t>
      </w:r>
      <w:r>
        <w:rPr>
          <w:rFonts w:hint="eastAsia" w:eastAsia="仿宋_GB2312"/>
          <w:sz w:val="32"/>
          <w:szCs w:val="30"/>
        </w:rPr>
        <w:t>金温高铁（</w:t>
      </w:r>
      <w:r>
        <w:rPr>
          <w:rFonts w:eastAsia="仿宋_GB2312"/>
          <w:sz w:val="32"/>
          <w:szCs w:val="30"/>
        </w:rPr>
        <w:t>金温扩能改造铁路</w:t>
      </w:r>
      <w:r>
        <w:rPr>
          <w:rFonts w:hint="eastAsia" w:eastAsia="仿宋_GB2312"/>
          <w:sz w:val="32"/>
          <w:szCs w:val="30"/>
        </w:rPr>
        <w:t>）</w:t>
      </w:r>
    </w:p>
    <w:p w14:paraId="3848AF04">
      <w:pPr>
        <w:ind w:firstLine="548" w:firstLineChars="196"/>
        <w:rPr>
          <w:rFonts w:eastAsia="仿宋_GB2312"/>
          <w:sz w:val="32"/>
          <w:szCs w:val="30"/>
        </w:rPr>
      </w:pPr>
      <w:r>
        <w:fldChar w:fldCharType="begin"/>
      </w:r>
      <w:r>
        <w:instrText xml:space="preserve"> HYPERLINK "http://baike.sogou.com/lemma/ShowInnerLink.htm?lemmaId=38489" \t "http://baike.sogou.com/_blank" </w:instrText>
      </w:r>
      <w:r>
        <w:fldChar w:fldCharType="separate"/>
      </w:r>
      <w:r>
        <w:rPr>
          <w:rFonts w:eastAsia="仿宋_GB2312"/>
          <w:sz w:val="32"/>
          <w:szCs w:val="30"/>
        </w:rPr>
        <w:t>金温铁路</w:t>
      </w:r>
      <w:r>
        <w:rPr>
          <w:rFonts w:eastAsia="仿宋_GB2312"/>
          <w:sz w:val="32"/>
          <w:szCs w:val="30"/>
        </w:rPr>
        <w:fldChar w:fldCharType="end"/>
      </w:r>
      <w:r>
        <w:rPr>
          <w:rFonts w:eastAsia="仿宋_GB2312"/>
          <w:sz w:val="32"/>
          <w:szCs w:val="30"/>
        </w:rPr>
        <w:t>扩能</w:t>
      </w:r>
      <w:r>
        <w:fldChar w:fldCharType="begin"/>
      </w:r>
      <w:r>
        <w:instrText xml:space="preserve"> HYPERLINK "http://baike.sogou.com/lemma/ShowInnerLink.htm?lemmaId=479544" \t "http://baike.sogou.com/_blank" </w:instrText>
      </w:r>
      <w:r>
        <w:fldChar w:fldCharType="separate"/>
      </w:r>
      <w:r>
        <w:rPr>
          <w:rFonts w:eastAsia="仿宋_GB2312"/>
          <w:sz w:val="32"/>
          <w:szCs w:val="30"/>
        </w:rPr>
        <w:t>改造工程</w:t>
      </w:r>
      <w:r>
        <w:rPr>
          <w:rFonts w:eastAsia="仿宋_GB2312"/>
          <w:sz w:val="32"/>
          <w:szCs w:val="30"/>
        </w:rPr>
        <w:fldChar w:fldCharType="end"/>
      </w:r>
      <w:r>
        <w:rPr>
          <w:rFonts w:eastAsia="仿宋_GB2312"/>
          <w:sz w:val="32"/>
          <w:szCs w:val="30"/>
        </w:rPr>
        <w:t>为一次性新建双线电气化国家</w:t>
      </w:r>
      <w:r>
        <w:fldChar w:fldCharType="begin"/>
      </w:r>
      <w:r>
        <w:instrText xml:space="preserve"> HYPERLINK "http://baike.sogou.com/lemma/ShowInnerLink.htm?lemmaId=65179639&amp;ss_c=ssc.citiao.link" \t "http://baike.sogou.com/_blank" </w:instrText>
      </w:r>
      <w:r>
        <w:fldChar w:fldCharType="separate"/>
      </w:r>
      <w:r>
        <w:rPr>
          <w:rFonts w:eastAsia="仿宋_GB2312"/>
          <w:sz w:val="32"/>
          <w:szCs w:val="30"/>
        </w:rPr>
        <w:t>Ⅰ级铁路</w:t>
      </w:r>
      <w:r>
        <w:rPr>
          <w:rFonts w:eastAsia="仿宋_GB2312"/>
          <w:sz w:val="32"/>
          <w:szCs w:val="30"/>
        </w:rPr>
        <w:fldChar w:fldCharType="end"/>
      </w:r>
      <w:r>
        <w:rPr>
          <w:rFonts w:eastAsia="仿宋_GB2312"/>
          <w:sz w:val="32"/>
          <w:szCs w:val="30"/>
        </w:rPr>
        <w:t>，估算总投资179.7亿元，规划输送能力为客车69对/日、货运1500万吨/年。线路</w:t>
      </w:r>
      <w:r>
        <w:fldChar w:fldCharType="begin"/>
      </w:r>
      <w:r>
        <w:instrText xml:space="preserve"> HYPERLINK "http://baike.sogou.com/lemma/ShowInnerLink.htm?lemmaId=61925891" \t "http://baike.sogou.com/_blank" </w:instrText>
      </w:r>
      <w:r>
        <w:fldChar w:fldCharType="separate"/>
      </w:r>
      <w:r>
        <w:rPr>
          <w:rFonts w:eastAsia="仿宋_GB2312"/>
          <w:sz w:val="32"/>
          <w:szCs w:val="30"/>
        </w:rPr>
        <w:t>正线</w:t>
      </w:r>
      <w:r>
        <w:rPr>
          <w:rFonts w:eastAsia="仿宋_GB2312"/>
          <w:sz w:val="32"/>
          <w:szCs w:val="30"/>
        </w:rPr>
        <w:fldChar w:fldCharType="end"/>
      </w:r>
      <w:r>
        <w:rPr>
          <w:rFonts w:eastAsia="仿宋_GB2312"/>
          <w:sz w:val="32"/>
          <w:szCs w:val="30"/>
        </w:rPr>
        <w:t>全长188.3公里，途经金华</w:t>
      </w:r>
      <w:r>
        <w:fldChar w:fldCharType="begin"/>
      </w:r>
      <w:r>
        <w:instrText xml:space="preserve"> HYPERLINK "http://baike.sogou.com/lemma/ShowInnerLink.htm?lemmaId=5848230" \t "http://baike.sogou.com/_blank" </w:instrText>
      </w:r>
      <w:r>
        <w:fldChar w:fldCharType="separate"/>
      </w:r>
      <w:r>
        <w:rPr>
          <w:rFonts w:eastAsia="仿宋_GB2312"/>
          <w:sz w:val="32"/>
          <w:szCs w:val="30"/>
        </w:rPr>
        <w:t>金义新区（金东）区</w:t>
      </w:r>
      <w:r>
        <w:rPr>
          <w:rFonts w:eastAsia="仿宋_GB2312"/>
          <w:sz w:val="32"/>
          <w:szCs w:val="30"/>
        </w:rPr>
        <w:fldChar w:fldCharType="end"/>
      </w:r>
      <w:r>
        <w:rPr>
          <w:rFonts w:eastAsia="仿宋_GB2312"/>
          <w:sz w:val="32"/>
          <w:szCs w:val="30"/>
        </w:rPr>
        <w:t>、</w:t>
      </w:r>
      <w:r>
        <w:fldChar w:fldCharType="begin"/>
      </w:r>
      <w:r>
        <w:instrText xml:space="preserve"> HYPERLINK "http://baike.sogou.com/lemma/ShowInnerLink.htm?lemmaId=189263" \t "http://baike.sogou.com/_blank" </w:instrText>
      </w:r>
      <w:r>
        <w:fldChar w:fldCharType="separate"/>
      </w:r>
      <w:r>
        <w:rPr>
          <w:rFonts w:eastAsia="仿宋_GB2312"/>
          <w:sz w:val="32"/>
          <w:szCs w:val="30"/>
        </w:rPr>
        <w:t>武义县</w:t>
      </w:r>
      <w:r>
        <w:rPr>
          <w:rFonts w:eastAsia="仿宋_GB2312"/>
          <w:sz w:val="32"/>
          <w:szCs w:val="30"/>
        </w:rPr>
        <w:fldChar w:fldCharType="end"/>
      </w:r>
      <w:r>
        <w:rPr>
          <w:rFonts w:eastAsia="仿宋_GB2312"/>
          <w:sz w:val="32"/>
          <w:szCs w:val="30"/>
        </w:rPr>
        <w:t>、永康市、</w:t>
      </w:r>
      <w:r>
        <w:fldChar w:fldCharType="begin"/>
      </w:r>
      <w:r>
        <w:instrText xml:space="preserve"> HYPERLINK "http://baike.sogou.com/lemma/ShowInnerLink.htm?lemmaId=75186" \t "http://baike.sogou.com/_blank" </w:instrText>
      </w:r>
      <w:r>
        <w:fldChar w:fldCharType="separate"/>
      </w:r>
      <w:r>
        <w:rPr>
          <w:rFonts w:eastAsia="仿宋_GB2312"/>
          <w:sz w:val="32"/>
          <w:szCs w:val="30"/>
        </w:rPr>
        <w:t>缙云县</w:t>
      </w:r>
      <w:r>
        <w:rPr>
          <w:rFonts w:eastAsia="仿宋_GB2312"/>
          <w:sz w:val="32"/>
          <w:szCs w:val="30"/>
        </w:rPr>
        <w:fldChar w:fldCharType="end"/>
      </w:r>
      <w:r>
        <w:rPr>
          <w:rFonts w:eastAsia="仿宋_GB2312"/>
          <w:sz w:val="32"/>
          <w:szCs w:val="30"/>
        </w:rPr>
        <w:t>、丽水市、</w:t>
      </w:r>
      <w:r>
        <w:fldChar w:fldCharType="begin"/>
      </w:r>
      <w:r>
        <w:instrText xml:space="preserve"> HYPERLINK "http://baike.sogou.com/lemma/ShowInnerLink.htm?lemmaId=102742" \t "http://baike.sogou.com/_blank" </w:instrText>
      </w:r>
      <w:r>
        <w:fldChar w:fldCharType="separate"/>
      </w:r>
      <w:r>
        <w:rPr>
          <w:rFonts w:eastAsia="仿宋_GB2312"/>
          <w:sz w:val="32"/>
          <w:szCs w:val="30"/>
        </w:rPr>
        <w:t>青田县</w:t>
      </w:r>
      <w:r>
        <w:rPr>
          <w:rFonts w:eastAsia="仿宋_GB2312"/>
          <w:sz w:val="32"/>
          <w:szCs w:val="30"/>
        </w:rPr>
        <w:fldChar w:fldCharType="end"/>
      </w:r>
      <w:r>
        <w:rPr>
          <w:rFonts w:eastAsia="仿宋_GB2312"/>
          <w:sz w:val="32"/>
          <w:szCs w:val="30"/>
        </w:rPr>
        <w:t>、温州市</w:t>
      </w:r>
      <w:r>
        <w:fldChar w:fldCharType="begin"/>
      </w:r>
      <w:r>
        <w:instrText xml:space="preserve"> HYPERLINK "http://baike.sogou.com/lemma/ShowInnerLink.htm?lemmaId=10181128" \t "http://baike.sogou.com/_blank" </w:instrText>
      </w:r>
      <w:r>
        <w:fldChar w:fldCharType="separate"/>
      </w:r>
      <w:r>
        <w:rPr>
          <w:rFonts w:eastAsia="仿宋_GB2312"/>
          <w:sz w:val="32"/>
          <w:szCs w:val="30"/>
        </w:rPr>
        <w:t>瓯海区</w:t>
      </w:r>
      <w:r>
        <w:rPr>
          <w:rFonts w:eastAsia="仿宋_GB2312"/>
          <w:sz w:val="32"/>
          <w:szCs w:val="30"/>
        </w:rPr>
        <w:fldChar w:fldCharType="end"/>
      </w:r>
      <w:r>
        <w:rPr>
          <w:rFonts w:eastAsia="仿宋_GB2312"/>
          <w:sz w:val="32"/>
          <w:szCs w:val="30"/>
        </w:rPr>
        <w:t>及</w:t>
      </w:r>
      <w:r>
        <w:fldChar w:fldCharType="begin"/>
      </w:r>
      <w:r>
        <w:instrText xml:space="preserve"> HYPERLINK "http://baike.sogou.com/lemma/ShowInnerLink.htm?lemmaId=145746" \t "http://baike.sogou.com/_blank" </w:instrText>
      </w:r>
      <w:r>
        <w:fldChar w:fldCharType="separate"/>
      </w:r>
      <w:r>
        <w:rPr>
          <w:rFonts w:eastAsia="仿宋_GB2312"/>
          <w:sz w:val="32"/>
          <w:szCs w:val="30"/>
        </w:rPr>
        <w:t>鹿城区</w:t>
      </w:r>
      <w:r>
        <w:rPr>
          <w:rFonts w:eastAsia="仿宋_GB2312"/>
          <w:sz w:val="32"/>
          <w:szCs w:val="30"/>
        </w:rPr>
        <w:fldChar w:fldCharType="end"/>
      </w:r>
      <w:r>
        <w:rPr>
          <w:rFonts w:eastAsia="仿宋_GB2312"/>
          <w:sz w:val="32"/>
          <w:szCs w:val="30"/>
        </w:rPr>
        <w:t>。</w:t>
      </w:r>
    </w:p>
    <w:p w14:paraId="2BB62904">
      <w:pPr>
        <w:ind w:firstLine="627" w:firstLineChars="196"/>
        <w:rPr>
          <w:rFonts w:eastAsia="仿宋_GB2312"/>
          <w:sz w:val="32"/>
          <w:szCs w:val="30"/>
        </w:rPr>
      </w:pPr>
      <w:r>
        <w:rPr>
          <w:rFonts w:eastAsia="仿宋_GB2312"/>
          <w:sz w:val="32"/>
          <w:szCs w:val="30"/>
        </w:rPr>
        <w:t>③</w:t>
      </w:r>
      <w:r>
        <w:rPr>
          <w:rFonts w:hint="eastAsia" w:eastAsia="仿宋_GB2312"/>
          <w:sz w:val="32"/>
          <w:szCs w:val="30"/>
        </w:rPr>
        <w:t>金义高铁三四线</w:t>
      </w:r>
    </w:p>
    <w:p w14:paraId="573A483C">
      <w:pPr>
        <w:ind w:firstLine="627" w:firstLineChars="196"/>
        <w:rPr>
          <w:rFonts w:eastAsia="仿宋_GB2312"/>
          <w:sz w:val="32"/>
          <w:szCs w:val="30"/>
        </w:rPr>
      </w:pPr>
      <w:r>
        <w:rPr>
          <w:rFonts w:hint="eastAsia" w:eastAsia="仿宋_GB2312"/>
          <w:sz w:val="32"/>
          <w:szCs w:val="30"/>
        </w:rPr>
        <w:t>金义增设三四线工程计划于2023年建成。铁路等级为客运专线，设计速度为350km/h。工程总投资估算为21亿元。该项目的实施，将进一步加快浙中城市群铁路网络体系，更好满足人民高质量出行的需求，对义乌经济社会发展和长三角区域一体化发展具有重要意义。</w:t>
      </w:r>
    </w:p>
    <w:p w14:paraId="5BDEB626">
      <w:pPr>
        <w:ind w:firstLine="627" w:firstLineChars="196"/>
        <w:rPr>
          <w:rFonts w:eastAsia="仿宋_GB2312"/>
          <w:sz w:val="32"/>
          <w:szCs w:val="30"/>
        </w:rPr>
      </w:pPr>
      <w:r>
        <w:rPr>
          <w:rFonts w:hint="eastAsia" w:eastAsia="仿宋_GB2312"/>
          <w:sz w:val="32"/>
          <w:szCs w:val="30"/>
        </w:rPr>
        <w:t>④金建铁路</w:t>
      </w:r>
    </w:p>
    <w:p w14:paraId="59AEF16B">
      <w:pPr>
        <w:ind w:firstLine="627" w:firstLineChars="196"/>
        <w:rPr>
          <w:rFonts w:eastAsia="仿宋_GB2312"/>
          <w:sz w:val="32"/>
          <w:szCs w:val="30"/>
        </w:rPr>
      </w:pPr>
      <w:r>
        <w:rPr>
          <w:rFonts w:eastAsia="仿宋_GB2312"/>
          <w:sz w:val="32"/>
          <w:szCs w:val="30"/>
        </w:rPr>
        <w:t>新建金建铁路全长64.51公里，自既有沪昆铁路金华站引出，向北经兰溪市、建德市，外包杭黄铁路接入既有建德东站。沿线设金华、兰溪东、大洋、建德东等4座车站。金建铁路为设计时速250公里的双线高铁，投资估算总额129.68亿元，批复建设工期为3.5年，预计2023年至2024年建成通车。</w:t>
      </w:r>
    </w:p>
    <w:p w14:paraId="66C8E31D">
      <w:pPr>
        <w:ind w:firstLine="630" w:firstLineChars="196"/>
        <w:rPr>
          <w:rFonts w:eastAsia="仿宋_GB2312"/>
          <w:sz w:val="32"/>
          <w:szCs w:val="30"/>
        </w:rPr>
      </w:pPr>
      <w:r>
        <w:rPr>
          <w:rFonts w:eastAsia="仿宋_GB2312"/>
          <w:b/>
          <w:sz w:val="32"/>
          <w:szCs w:val="30"/>
        </w:rPr>
        <w:t>——</w:t>
      </w:r>
      <w:r>
        <w:rPr>
          <w:rFonts w:hint="eastAsia" w:eastAsia="仿宋_GB2312"/>
          <w:b/>
          <w:sz w:val="32"/>
          <w:szCs w:val="30"/>
        </w:rPr>
        <w:t>普速铁路网：</w:t>
      </w:r>
    </w:p>
    <w:p w14:paraId="24D7A4B3">
      <w:pPr>
        <w:ind w:firstLine="627" w:firstLineChars="196"/>
        <w:rPr>
          <w:rFonts w:eastAsia="仿宋_GB2312"/>
          <w:sz w:val="32"/>
          <w:szCs w:val="30"/>
        </w:rPr>
      </w:pPr>
      <w:r>
        <w:rPr>
          <w:rFonts w:hint="eastAsia" w:eastAsia="仿宋_GB2312"/>
          <w:sz w:val="32"/>
          <w:szCs w:val="30"/>
        </w:rPr>
        <w:t>构建由沪昆铁路（城区段外绕）、金温铁路组成的金义新区（金东）普速铁网络体系。一方面实现与沪瑞、沿江、沿海物流大通道中杭州、义乌、宁波、温州等重要物流节点的便利联系，实现铁路区际快捷大能力通道与宁波舟山港等沿海主要港口的有效连接，打通多路径铁水联运渠道，实现通过满足现代物流业需求的轻便快捷货物铁路连接沿海及长江中游经济节点。</w:t>
      </w:r>
    </w:p>
    <w:p w14:paraId="0100CC6C">
      <w:pPr>
        <w:ind w:firstLine="627" w:firstLineChars="196"/>
        <w:rPr>
          <w:rFonts w:eastAsia="仿宋_GB2312"/>
          <w:sz w:val="32"/>
          <w:szCs w:val="30"/>
        </w:rPr>
      </w:pPr>
      <w:r>
        <w:rPr>
          <w:rFonts w:eastAsia="仿宋_GB2312"/>
          <w:sz w:val="32"/>
          <w:szCs w:val="30"/>
        </w:rPr>
        <w:t>①沪昆铁路</w:t>
      </w:r>
    </w:p>
    <w:p w14:paraId="62FE86C9">
      <w:pPr>
        <w:ind w:firstLine="627" w:firstLineChars="196"/>
        <w:rPr>
          <w:rFonts w:eastAsia="仿宋_GB2312"/>
          <w:sz w:val="32"/>
          <w:szCs w:val="30"/>
        </w:rPr>
      </w:pPr>
      <w:r>
        <w:rPr>
          <w:rFonts w:eastAsia="仿宋_GB2312"/>
          <w:sz w:val="32"/>
          <w:szCs w:val="30"/>
        </w:rPr>
        <w:t>沪昆铁路由</w:t>
      </w:r>
      <w:r>
        <w:fldChar w:fldCharType="begin"/>
      </w:r>
      <w:r>
        <w:instrText xml:space="preserve"> HYPERLINK "http://baike.baidu.com/view/1986671.htm" \t "http://baike.baidu.com/_blank" </w:instrText>
      </w:r>
      <w:r>
        <w:fldChar w:fldCharType="separate"/>
      </w:r>
      <w:r>
        <w:rPr>
          <w:rFonts w:eastAsia="仿宋_GB2312"/>
          <w:sz w:val="32"/>
          <w:szCs w:val="30"/>
        </w:rPr>
        <w:t>沪杭客运专线</w:t>
      </w:r>
      <w:r>
        <w:rPr>
          <w:rFonts w:eastAsia="仿宋_GB2312"/>
          <w:sz w:val="32"/>
          <w:szCs w:val="30"/>
        </w:rPr>
        <w:fldChar w:fldCharType="end"/>
      </w:r>
      <w:r>
        <w:rPr>
          <w:rFonts w:eastAsia="仿宋_GB2312"/>
          <w:sz w:val="32"/>
          <w:szCs w:val="30"/>
        </w:rPr>
        <w:t>、</w:t>
      </w:r>
      <w:r>
        <w:fldChar w:fldCharType="begin"/>
      </w:r>
      <w:r>
        <w:instrText xml:space="preserve"> HYPERLINK "http://baike.baidu.com/view/1398268.htm" \t "http://baike.baidu.com/_blank" </w:instrText>
      </w:r>
      <w:r>
        <w:fldChar w:fldCharType="separate"/>
      </w:r>
      <w:r>
        <w:rPr>
          <w:rFonts w:eastAsia="仿宋_GB2312"/>
          <w:sz w:val="32"/>
          <w:szCs w:val="30"/>
        </w:rPr>
        <w:t>杭长客运专线</w:t>
      </w:r>
      <w:r>
        <w:rPr>
          <w:rFonts w:eastAsia="仿宋_GB2312"/>
          <w:sz w:val="32"/>
          <w:szCs w:val="30"/>
        </w:rPr>
        <w:fldChar w:fldCharType="end"/>
      </w:r>
      <w:r>
        <w:rPr>
          <w:rFonts w:eastAsia="仿宋_GB2312"/>
          <w:sz w:val="32"/>
          <w:szCs w:val="30"/>
        </w:rPr>
        <w:t>以及</w:t>
      </w:r>
      <w:r>
        <w:fldChar w:fldCharType="begin"/>
      </w:r>
      <w:r>
        <w:instrText xml:space="preserve"> HYPERLINK "http://baike.baidu.com/view/5694248.htm" \t "http://baike.baidu.com/_blank" </w:instrText>
      </w:r>
      <w:r>
        <w:fldChar w:fldCharType="separate"/>
      </w:r>
      <w:r>
        <w:rPr>
          <w:rFonts w:eastAsia="仿宋_GB2312"/>
          <w:sz w:val="32"/>
          <w:szCs w:val="30"/>
        </w:rPr>
        <w:t>长昆客运专线</w:t>
      </w:r>
      <w:r>
        <w:rPr>
          <w:rFonts w:eastAsia="仿宋_GB2312"/>
          <w:sz w:val="32"/>
          <w:szCs w:val="30"/>
        </w:rPr>
        <w:fldChar w:fldCharType="end"/>
      </w:r>
      <w:r>
        <w:rPr>
          <w:rFonts w:eastAsia="仿宋_GB2312"/>
          <w:sz w:val="32"/>
          <w:szCs w:val="30"/>
        </w:rPr>
        <w:t>组成，途经</w:t>
      </w:r>
      <w:r>
        <w:fldChar w:fldCharType="begin"/>
      </w:r>
      <w:r>
        <w:instrText xml:space="preserve"> HYPERLINK "http://baike.baidu.com/view/1735.htm" \t "http://baike.baidu.com/_blank" </w:instrText>
      </w:r>
      <w:r>
        <w:fldChar w:fldCharType="separate"/>
      </w:r>
      <w:r>
        <w:rPr>
          <w:rFonts w:eastAsia="仿宋_GB2312"/>
          <w:sz w:val="32"/>
          <w:szCs w:val="30"/>
        </w:rPr>
        <w:t>上海</w:t>
      </w:r>
      <w:r>
        <w:rPr>
          <w:rFonts w:eastAsia="仿宋_GB2312"/>
          <w:sz w:val="32"/>
          <w:szCs w:val="30"/>
        </w:rPr>
        <w:fldChar w:fldCharType="end"/>
      </w:r>
      <w:r>
        <w:rPr>
          <w:rFonts w:eastAsia="仿宋_GB2312"/>
          <w:sz w:val="32"/>
          <w:szCs w:val="30"/>
        </w:rPr>
        <w:t>、</w:t>
      </w:r>
      <w:r>
        <w:fldChar w:fldCharType="begin"/>
      </w:r>
      <w:r>
        <w:instrText xml:space="preserve"> HYPERLINK "http://baike.baidu.com/view/3742.htm" \t "http://baike.baidu.com/_blank" </w:instrText>
      </w:r>
      <w:r>
        <w:fldChar w:fldCharType="separate"/>
      </w:r>
      <w:r>
        <w:rPr>
          <w:rFonts w:eastAsia="仿宋_GB2312"/>
          <w:sz w:val="32"/>
          <w:szCs w:val="30"/>
        </w:rPr>
        <w:t>杭州</w:t>
      </w:r>
      <w:r>
        <w:rPr>
          <w:rFonts w:eastAsia="仿宋_GB2312"/>
          <w:sz w:val="32"/>
          <w:szCs w:val="30"/>
        </w:rPr>
        <w:fldChar w:fldCharType="end"/>
      </w:r>
      <w:r>
        <w:rPr>
          <w:rFonts w:eastAsia="仿宋_GB2312"/>
          <w:sz w:val="32"/>
          <w:szCs w:val="30"/>
        </w:rPr>
        <w:t>、</w:t>
      </w:r>
      <w:r>
        <w:fldChar w:fldCharType="begin"/>
      </w:r>
      <w:r>
        <w:instrText xml:space="preserve"> HYPERLINK "http://baike.baidu.com/view/8557.htm" \t "http://baike.baidu.com/_blank" </w:instrText>
      </w:r>
      <w:r>
        <w:fldChar w:fldCharType="separate"/>
      </w:r>
      <w:r>
        <w:rPr>
          <w:rFonts w:eastAsia="仿宋_GB2312"/>
          <w:sz w:val="32"/>
          <w:szCs w:val="30"/>
        </w:rPr>
        <w:t>南昌</w:t>
      </w:r>
      <w:r>
        <w:rPr>
          <w:rFonts w:eastAsia="仿宋_GB2312"/>
          <w:sz w:val="32"/>
          <w:szCs w:val="30"/>
        </w:rPr>
        <w:fldChar w:fldCharType="end"/>
      </w:r>
      <w:r>
        <w:rPr>
          <w:rFonts w:eastAsia="仿宋_GB2312"/>
          <w:sz w:val="32"/>
          <w:szCs w:val="30"/>
        </w:rPr>
        <w:t>、</w:t>
      </w:r>
      <w:r>
        <w:fldChar w:fldCharType="begin"/>
      </w:r>
      <w:r>
        <w:instrText xml:space="preserve"> HYPERLINK "http://baike.baidu.com/view/7127.htm" \t "http://baike.baidu.com/_blank" </w:instrText>
      </w:r>
      <w:r>
        <w:fldChar w:fldCharType="separate"/>
      </w:r>
      <w:r>
        <w:rPr>
          <w:rFonts w:eastAsia="仿宋_GB2312"/>
          <w:sz w:val="32"/>
          <w:szCs w:val="30"/>
        </w:rPr>
        <w:t>长沙</w:t>
      </w:r>
      <w:r>
        <w:rPr>
          <w:rFonts w:eastAsia="仿宋_GB2312"/>
          <w:sz w:val="32"/>
          <w:szCs w:val="30"/>
        </w:rPr>
        <w:fldChar w:fldCharType="end"/>
      </w:r>
      <w:r>
        <w:rPr>
          <w:rFonts w:eastAsia="仿宋_GB2312"/>
          <w:sz w:val="32"/>
          <w:szCs w:val="30"/>
        </w:rPr>
        <w:t>、</w:t>
      </w:r>
      <w:r>
        <w:fldChar w:fldCharType="begin"/>
      </w:r>
      <w:r>
        <w:instrText xml:space="preserve"> HYPERLINK "http://baike.baidu.com/view/22904.htm" \t "http://baike.baidu.com/_blank" </w:instrText>
      </w:r>
      <w:r>
        <w:fldChar w:fldCharType="separate"/>
      </w:r>
      <w:r>
        <w:rPr>
          <w:rFonts w:eastAsia="仿宋_GB2312"/>
          <w:sz w:val="32"/>
          <w:szCs w:val="30"/>
        </w:rPr>
        <w:t>贵阳</w:t>
      </w:r>
      <w:r>
        <w:rPr>
          <w:rFonts w:eastAsia="仿宋_GB2312"/>
          <w:sz w:val="32"/>
          <w:szCs w:val="30"/>
        </w:rPr>
        <w:fldChar w:fldCharType="end"/>
      </w:r>
      <w:r>
        <w:rPr>
          <w:rFonts w:eastAsia="仿宋_GB2312"/>
          <w:sz w:val="32"/>
          <w:szCs w:val="30"/>
        </w:rPr>
        <w:t>、</w:t>
      </w:r>
      <w:r>
        <w:fldChar w:fldCharType="begin"/>
      </w:r>
      <w:r>
        <w:instrText xml:space="preserve"> HYPERLINK "http://baike.baidu.com/view/4551.htm" \t "http://baike.baidu.com/_blank" </w:instrText>
      </w:r>
      <w:r>
        <w:fldChar w:fldCharType="separate"/>
      </w:r>
      <w:r>
        <w:rPr>
          <w:rFonts w:eastAsia="仿宋_GB2312"/>
          <w:sz w:val="32"/>
          <w:szCs w:val="30"/>
        </w:rPr>
        <w:t>昆明</w:t>
      </w:r>
      <w:r>
        <w:rPr>
          <w:rFonts w:eastAsia="仿宋_GB2312"/>
          <w:sz w:val="32"/>
          <w:szCs w:val="30"/>
        </w:rPr>
        <w:fldChar w:fldCharType="end"/>
      </w:r>
      <w:r>
        <w:rPr>
          <w:rFonts w:eastAsia="仿宋_GB2312"/>
          <w:sz w:val="32"/>
          <w:szCs w:val="30"/>
        </w:rPr>
        <w:t>6座省会城市及直辖市，线路全长2264公里，设计时速350km，是</w:t>
      </w:r>
      <w:r>
        <w:fldChar w:fldCharType="begin"/>
      </w:r>
      <w:r>
        <w:instrText xml:space="preserve"> HYPERLINK "http://baike.baidu.com/view/61891.htm" \t "http://baike.baidu.com/_blank" </w:instrText>
      </w:r>
      <w:r>
        <w:fldChar w:fldCharType="separate"/>
      </w:r>
      <w:r>
        <w:rPr>
          <w:rFonts w:eastAsia="仿宋_GB2312"/>
          <w:sz w:val="32"/>
          <w:szCs w:val="30"/>
        </w:rPr>
        <w:t>中国</w:t>
      </w:r>
      <w:r>
        <w:rPr>
          <w:rFonts w:eastAsia="仿宋_GB2312"/>
          <w:sz w:val="32"/>
          <w:szCs w:val="30"/>
        </w:rPr>
        <w:fldChar w:fldCharType="end"/>
      </w:r>
      <w:r>
        <w:rPr>
          <w:rFonts w:eastAsia="仿宋_GB2312"/>
          <w:sz w:val="32"/>
          <w:szCs w:val="30"/>
        </w:rPr>
        <w:t>东西向线路里程最长、经过省份最多的高速铁路。</w:t>
      </w:r>
    </w:p>
    <w:p w14:paraId="2A901394">
      <w:pPr>
        <w:ind w:firstLine="627" w:firstLineChars="196"/>
        <w:rPr>
          <w:rFonts w:eastAsia="仿宋_GB2312"/>
          <w:sz w:val="32"/>
          <w:szCs w:val="30"/>
        </w:rPr>
      </w:pPr>
      <w:r>
        <w:rPr>
          <w:rFonts w:eastAsia="仿宋_GB2312"/>
          <w:sz w:val="32"/>
          <w:szCs w:val="30"/>
        </w:rPr>
        <w:t>②金温铁路</w:t>
      </w:r>
    </w:p>
    <w:p w14:paraId="7502F11E">
      <w:pPr>
        <w:ind w:firstLine="627" w:firstLineChars="196"/>
        <w:rPr>
          <w:rFonts w:eastAsia="仿宋_GB2312"/>
          <w:sz w:val="32"/>
          <w:szCs w:val="30"/>
        </w:rPr>
      </w:pPr>
      <w:r>
        <w:rPr>
          <w:rFonts w:eastAsia="仿宋_GB2312"/>
          <w:sz w:val="32"/>
          <w:szCs w:val="30"/>
        </w:rPr>
        <w:t>自</w:t>
      </w:r>
      <w:r>
        <w:fldChar w:fldCharType="begin"/>
      </w:r>
      <w:r>
        <w:instrText xml:space="preserve"> HYPERLINK "http://baike.haosou.com/doc/2953810-3116326.html" \t "_blank" </w:instrText>
      </w:r>
      <w:r>
        <w:fldChar w:fldCharType="separate"/>
      </w:r>
      <w:r>
        <w:rPr>
          <w:rFonts w:eastAsia="仿宋_GB2312"/>
          <w:sz w:val="32"/>
          <w:szCs w:val="30"/>
        </w:rPr>
        <w:t>金华市</w:t>
      </w:r>
      <w:r>
        <w:rPr>
          <w:rFonts w:eastAsia="仿宋_GB2312"/>
          <w:sz w:val="32"/>
          <w:szCs w:val="30"/>
        </w:rPr>
        <w:fldChar w:fldCharType="end"/>
      </w:r>
      <w:r>
        <w:rPr>
          <w:rFonts w:eastAsia="仿宋_GB2312"/>
          <w:sz w:val="32"/>
          <w:szCs w:val="30"/>
        </w:rPr>
        <w:t>至温州市，贯穿浙西南山区。自浙赣线上的东孝站引出，终止于温州站。全线长达251公里，1998年6月11日建成，是中国第一条由地方，铁道部和香港三方合资兴建的铁路。途经的地区占浙江省57%的土地面积和49%的人口。金温铁路建立了中国第一个规范化的股份制企业-</w:t>
      </w:r>
      <w:r>
        <w:fldChar w:fldCharType="begin"/>
      </w:r>
      <w:r>
        <w:instrText xml:space="preserve"> HYPERLINK "http://baike.haosou.com/doc/6104700-6317812.html" \t "_blank" </w:instrText>
      </w:r>
      <w:r>
        <w:fldChar w:fldCharType="separate"/>
      </w:r>
      <w:r>
        <w:rPr>
          <w:rFonts w:eastAsia="仿宋_GB2312"/>
          <w:sz w:val="32"/>
          <w:szCs w:val="30"/>
        </w:rPr>
        <w:t>浙江金温铁道开发有限公司</w:t>
      </w:r>
      <w:r>
        <w:rPr>
          <w:rFonts w:eastAsia="仿宋_GB2312"/>
          <w:sz w:val="32"/>
          <w:szCs w:val="30"/>
        </w:rPr>
        <w:fldChar w:fldCharType="end"/>
      </w:r>
      <w:r>
        <w:rPr>
          <w:rFonts w:eastAsia="仿宋_GB2312"/>
          <w:sz w:val="32"/>
          <w:szCs w:val="30"/>
        </w:rPr>
        <w:t>。</w:t>
      </w:r>
    </w:p>
    <w:p w14:paraId="584718CC">
      <w:pPr>
        <w:ind w:firstLine="560" w:firstLineChars="0"/>
        <w:rPr>
          <w:rFonts w:eastAsia="仿宋_GB2312"/>
          <w:b/>
          <w:sz w:val="32"/>
          <w:szCs w:val="30"/>
        </w:rPr>
      </w:pPr>
      <w:r>
        <w:rPr>
          <w:rFonts w:ascii="黑体" w:hAnsi="黑体" w:eastAsia="黑体"/>
          <w:b/>
        </w:rPr>
        <w:t>——</w:t>
      </w:r>
      <w:r>
        <w:rPr>
          <w:rFonts w:hint="eastAsia" w:eastAsia="仿宋_GB2312"/>
          <w:b/>
          <w:sz w:val="32"/>
          <w:szCs w:val="30"/>
        </w:rPr>
        <w:t>城际轨道网：</w:t>
      </w:r>
    </w:p>
    <w:p w14:paraId="5EBA97B5">
      <w:pPr>
        <w:ind w:firstLine="627" w:firstLineChars="196"/>
        <w:rPr>
          <w:rFonts w:eastAsia="仿宋_GB2312"/>
          <w:sz w:val="32"/>
          <w:szCs w:val="30"/>
        </w:rPr>
      </w:pPr>
      <w:r>
        <w:rPr>
          <w:rFonts w:eastAsia="仿宋_GB2312"/>
          <w:sz w:val="32"/>
          <w:szCs w:val="30"/>
        </w:rPr>
        <w:t>依据浙中城市群规划，近期规划建设</w:t>
      </w:r>
      <w:r>
        <w:rPr>
          <w:rFonts w:hint="eastAsia" w:eastAsia="仿宋_GB2312"/>
          <w:sz w:val="32"/>
          <w:szCs w:val="30"/>
        </w:rPr>
        <w:t>金华</w:t>
      </w:r>
      <w:r>
        <w:rPr>
          <w:rFonts w:eastAsia="仿宋_GB2312"/>
          <w:sz w:val="32"/>
          <w:szCs w:val="30"/>
        </w:rPr>
        <w:t>—</w:t>
      </w:r>
      <w:r>
        <w:rPr>
          <w:rFonts w:hint="eastAsia" w:eastAsia="仿宋_GB2312"/>
          <w:sz w:val="32"/>
          <w:szCs w:val="30"/>
        </w:rPr>
        <w:t>义乌</w:t>
      </w:r>
      <w:r>
        <w:rPr>
          <w:rFonts w:eastAsia="仿宋_GB2312"/>
          <w:sz w:val="32"/>
          <w:szCs w:val="30"/>
        </w:rPr>
        <w:t>—</w:t>
      </w:r>
      <w:r>
        <w:rPr>
          <w:rFonts w:hint="eastAsia" w:eastAsia="仿宋_GB2312"/>
          <w:sz w:val="32"/>
          <w:szCs w:val="30"/>
        </w:rPr>
        <w:t>东阳轨道线</w:t>
      </w:r>
      <w:r>
        <w:rPr>
          <w:rFonts w:eastAsia="仿宋_GB2312"/>
          <w:sz w:val="32"/>
          <w:szCs w:val="30"/>
        </w:rPr>
        <w:t>。加强金义核心区与周边地区之间的联系，努力实现金华市域“一小时出行圈”，进一步加强城市群中心城市和城镇间经济社会联系，支撑城市群产业发展、城镇空间布局。主要途径婺城客运站、宾虹西路、金衢路、李渔路、金华火车南站、新城路（金义都市新区）、浙赣快速路、大陈客运站等，加强轨道交通与外部交通系统的衔接，努力实现综合交通运输之间“零换乘”的美好愿景。</w:t>
      </w:r>
    </w:p>
    <w:p w14:paraId="7E0FC3DA">
      <w:pPr>
        <w:ind w:firstLine="630" w:firstLineChars="196"/>
        <w:rPr>
          <w:rFonts w:eastAsia="仿宋_GB2312"/>
          <w:b/>
          <w:sz w:val="32"/>
          <w:szCs w:val="30"/>
        </w:rPr>
      </w:pPr>
      <w:r>
        <w:rPr>
          <w:rFonts w:hint="eastAsia" w:eastAsia="仿宋_GB2312"/>
          <w:b/>
          <w:sz w:val="32"/>
          <w:szCs w:val="30"/>
        </w:rPr>
        <w:t>——远期谋划：</w:t>
      </w:r>
    </w:p>
    <w:p w14:paraId="53C31EC7">
      <w:pPr>
        <w:ind w:firstLine="627" w:firstLineChars="196"/>
        <w:rPr>
          <w:rFonts w:eastAsia="仿宋_GB2312"/>
          <w:sz w:val="32"/>
          <w:szCs w:val="30"/>
        </w:rPr>
      </w:pPr>
      <w:r>
        <w:rPr>
          <w:rFonts w:hint="eastAsia" w:eastAsia="仿宋_GB2312"/>
          <w:sz w:val="32"/>
          <w:szCs w:val="30"/>
        </w:rPr>
        <w:t>顺应城市组团式、珠串式发展态势，通过既有轨道线路改造和新建市郊线等方式强化轨道交通与各个组团的通勤交通衔接，促进城市功能合理疏解。主要包括金台城际、沪绍金城际线。</w:t>
      </w:r>
    </w:p>
    <w:p w14:paraId="382CA611">
      <w:pPr>
        <w:pStyle w:val="6"/>
        <w:ind w:firstLine="643"/>
        <w:rPr>
          <w:sz w:val="32"/>
        </w:rPr>
      </w:pPr>
      <w:r>
        <w:rPr>
          <w:sz w:val="32"/>
        </w:rPr>
        <w:t>3</w:t>
      </w:r>
      <w:r>
        <w:rPr>
          <w:rFonts w:hint="eastAsia"/>
          <w:sz w:val="32"/>
        </w:rPr>
        <w:t>、内河水运</w:t>
      </w:r>
    </w:p>
    <w:p w14:paraId="626E18A3">
      <w:pPr>
        <w:ind w:firstLine="640"/>
        <w:rPr>
          <w:rFonts w:eastAsia="仿宋_GB2312"/>
          <w:sz w:val="32"/>
          <w:szCs w:val="30"/>
        </w:rPr>
      </w:pPr>
      <w:r>
        <w:rPr>
          <w:rFonts w:hint="eastAsia" w:eastAsia="仿宋_GB2312"/>
          <w:sz w:val="32"/>
          <w:szCs w:val="30"/>
        </w:rPr>
        <w:t>随着“一带一路”、“长江经济带”国家战略的规划及逐步实施，“浙江省内河水运复兴行动计划”的大力推进，形成“北提升、南畅通、东通海、西振兴”的内河航道格局。同时，随着浙江省“港航强省”战略的持续推进，内河航运发展将迎来崭新的发展时期，金义新区（金东）区必须抓住这一重大机遇，让内河水运重新焕发活力。金义新区（金东）区在“十四五”期间应积极配合金华市“航运复兴计划”，谋划开发义乌江、金华江二期以及金义新区（金东）港区建设，并做好金义新区（金东）港区选址工作。</w:t>
      </w:r>
    </w:p>
    <w:p w14:paraId="45EFC3E7">
      <w:pPr>
        <w:ind w:firstLine="640"/>
        <w:rPr>
          <w:rFonts w:hint="eastAsia" w:eastAsia="仿宋_GB2312"/>
          <w:sz w:val="32"/>
          <w:szCs w:val="30"/>
        </w:rPr>
      </w:pPr>
      <w:r>
        <w:rPr>
          <w:rFonts w:eastAsia="仿宋_GB2312"/>
          <w:sz w:val="32"/>
          <w:szCs w:val="30"/>
        </w:rPr>
        <w:t>加快金华江（含义乌江）高等级航道建设，贯通金华、义乌衔接长三角高等级航道网的主航道，打通金义都市区与宁波、上海等沿海港口之间的水上物流大通道，加强内河集装箱运输与沿海港口无缝高效衔接，完善内河集装箱江海联运体系，把金华江（含义乌江）/衢江-兰江打造成为义甬舟开放大通道的重要组成部分。</w:t>
      </w:r>
    </w:p>
    <w:p w14:paraId="10AA3845">
      <w:pPr>
        <w:pStyle w:val="6"/>
        <w:ind w:firstLine="643"/>
        <w:rPr>
          <w:sz w:val="32"/>
        </w:rPr>
      </w:pPr>
      <w:r>
        <w:rPr>
          <w:sz w:val="32"/>
        </w:rPr>
        <w:t>4</w:t>
      </w:r>
      <w:r>
        <w:rPr>
          <w:rFonts w:hint="eastAsia"/>
          <w:sz w:val="32"/>
        </w:rPr>
        <w:t>、通用机场</w:t>
      </w:r>
    </w:p>
    <w:p w14:paraId="2D7A3587">
      <w:pPr>
        <w:ind w:firstLine="640"/>
        <w:rPr>
          <w:rFonts w:eastAsia="仿宋_GB2312"/>
          <w:sz w:val="32"/>
          <w:szCs w:val="30"/>
        </w:rPr>
      </w:pPr>
      <w:r>
        <w:rPr>
          <w:rFonts w:eastAsia="仿宋_GB2312"/>
          <w:sz w:val="32"/>
          <w:szCs w:val="30"/>
        </w:rPr>
        <w:t>规划预测至2035年，金华都市区航空客运量将达800万人以上，货运量达4.6万吨以上，远超出义乌机场的规划客货运量。为提升金义都市新区的航空客货运服务能力，金华市区、义乌市航空发展按照客货运需求和难易程度，根据《金华市民用机场发展研究（初稿）》，研究认为远景期谋划</w:t>
      </w:r>
      <w:r>
        <w:rPr>
          <w:rFonts w:hint="eastAsia" w:eastAsia="仿宋_GB2312"/>
          <w:sz w:val="32"/>
          <w:szCs w:val="30"/>
        </w:rPr>
        <w:t>金义</w:t>
      </w:r>
      <w:r>
        <w:rPr>
          <w:rFonts w:eastAsia="仿宋_GB2312"/>
          <w:sz w:val="32"/>
          <w:szCs w:val="30"/>
        </w:rPr>
        <w:t>干线机场是有必要的，并综合考虑义务机场搬迁、不搬迁的情形分别给出结论</w:t>
      </w:r>
      <w:r>
        <w:rPr>
          <w:rFonts w:hint="eastAsia" w:eastAsia="仿宋_GB2312"/>
          <w:sz w:val="32"/>
          <w:szCs w:val="30"/>
        </w:rPr>
        <w:t>。</w:t>
      </w:r>
    </w:p>
    <w:p w14:paraId="35DBDE55">
      <w:pPr>
        <w:ind w:firstLine="627" w:firstLineChars="196"/>
        <w:rPr>
          <w:rFonts w:eastAsia="仿宋_GB2312"/>
          <w:sz w:val="32"/>
          <w:szCs w:val="30"/>
        </w:rPr>
      </w:pPr>
      <w:r>
        <w:rPr>
          <w:rFonts w:eastAsia="仿宋_GB2312"/>
          <w:sz w:val="32"/>
          <w:szCs w:val="30"/>
        </w:rPr>
        <w:t>近期提升义乌机场功能，结合需求适当提升义乌机场规模与吞吐能力，增加亚太地区国际航线数量，强化国际链接。远期研究认为义乌机场搬迁情况下</w:t>
      </w:r>
      <w:r>
        <w:rPr>
          <w:rFonts w:hint="eastAsia" w:eastAsia="仿宋_GB2312"/>
          <w:sz w:val="32"/>
          <w:szCs w:val="30"/>
        </w:rPr>
        <w:t>，</w:t>
      </w:r>
      <w:r>
        <w:rPr>
          <w:rFonts w:eastAsia="仿宋_GB2312"/>
          <w:sz w:val="32"/>
          <w:szCs w:val="30"/>
        </w:rPr>
        <w:t>规划义乌新国际机场，支持客运和进出口贸易发展，作为长三角城市群货运枢纽机场，金义都市区客货运核心机场。规划要求机场功能等级为4E，规划客运量1000万人次/年，预留面积为3平方公里。目前选址地点有义亭</w:t>
      </w:r>
      <w:r>
        <w:rPr>
          <w:rFonts w:hint="eastAsia" w:eastAsia="仿宋_GB2312"/>
          <w:sz w:val="32"/>
          <w:szCs w:val="30"/>
        </w:rPr>
        <w:t>、</w:t>
      </w:r>
      <w:r>
        <w:rPr>
          <w:rFonts w:eastAsia="仿宋_GB2312"/>
          <w:sz w:val="32"/>
          <w:szCs w:val="30"/>
        </w:rPr>
        <w:t>金义新区（金东）金义都市新区区块</w:t>
      </w:r>
      <w:r>
        <w:rPr>
          <w:rFonts w:hint="eastAsia" w:eastAsia="仿宋_GB2312"/>
          <w:sz w:val="32"/>
          <w:szCs w:val="30"/>
        </w:rPr>
        <w:t>方案、</w:t>
      </w:r>
      <w:r>
        <w:rPr>
          <w:rFonts w:eastAsia="仿宋_GB2312"/>
          <w:sz w:val="32"/>
          <w:szCs w:val="30"/>
        </w:rPr>
        <w:t>金西蒋堂镇</w:t>
      </w:r>
      <w:r>
        <w:rPr>
          <w:rFonts w:hint="eastAsia" w:eastAsia="仿宋_GB2312"/>
          <w:sz w:val="32"/>
          <w:szCs w:val="30"/>
        </w:rPr>
        <w:t>等方案</w:t>
      </w:r>
      <w:r>
        <w:rPr>
          <w:rFonts w:eastAsia="仿宋_GB2312"/>
          <w:sz w:val="32"/>
          <w:szCs w:val="30"/>
        </w:rPr>
        <w:t>，具体选址需在专项规划中予以落实</w:t>
      </w:r>
      <w:r>
        <w:rPr>
          <w:rFonts w:hint="eastAsia" w:eastAsia="仿宋_GB2312"/>
          <w:sz w:val="32"/>
          <w:szCs w:val="30"/>
        </w:rPr>
        <w:t>。</w:t>
      </w:r>
      <w:r>
        <w:rPr>
          <w:rFonts w:eastAsia="仿宋_GB2312"/>
          <w:sz w:val="32"/>
          <w:szCs w:val="30"/>
        </w:rPr>
        <w:t>金义新区（金东）交通应积极谋划，积极配合金华市浙中干线新机场的谋划工作，在金义新区（金东）区块谋划浙中干线新机场，并做好土地预留工作。</w:t>
      </w:r>
    </w:p>
    <w:p w14:paraId="74898624">
      <w:pPr>
        <w:pStyle w:val="4"/>
        <w:ind w:firstLine="643"/>
      </w:pPr>
      <w:bookmarkStart w:id="26" w:name="_Toc43384734"/>
      <w:r>
        <w:rPr>
          <w:rFonts w:hint="eastAsia"/>
        </w:rPr>
        <w:t>（三）高效能打造综合运输体系</w:t>
      </w:r>
      <w:bookmarkEnd w:id="26"/>
    </w:p>
    <w:p w14:paraId="0CE05755">
      <w:pPr>
        <w:pStyle w:val="6"/>
        <w:ind w:firstLine="643"/>
        <w:rPr>
          <w:sz w:val="32"/>
        </w:rPr>
      </w:pPr>
      <w:r>
        <w:rPr>
          <w:rFonts w:hint="eastAsia"/>
          <w:sz w:val="32"/>
        </w:rPr>
        <w:t>1、打造金义都市新区综合客运枢纽。</w:t>
      </w:r>
    </w:p>
    <w:p w14:paraId="55E145DB">
      <w:pPr>
        <w:pStyle w:val="34"/>
        <w:rPr>
          <w:rFonts w:ascii="Times New Roman"/>
        </w:rPr>
      </w:pPr>
      <w:r>
        <w:rPr>
          <w:rFonts w:hint="eastAsia" w:ascii="Times New Roman"/>
        </w:rPr>
        <w:t>近期，结合金义高铁三四线（金义城际）、金义东城际轨道建设，打造以金义站为核心的综合客运枢纽；远期，结合金华义乌国际机场和沪杭金磁悬浮高铁建设，打造以金华义乌国际机场和金义站为主体，集民航、铁路、公路、市域轨道及城市公交等多方式于一体，面向国际、通达全国、辐射周边、高效衔接的大型综合客运枢纽和陆空联运枢纽。</w:t>
      </w:r>
    </w:p>
    <w:p w14:paraId="7F5A2903">
      <w:pPr>
        <w:pStyle w:val="34"/>
        <w:ind w:firstLine="643"/>
        <w:rPr>
          <w:rFonts w:ascii="Times New Roman"/>
        </w:rPr>
      </w:pPr>
      <w:r>
        <w:rPr>
          <w:rFonts w:hint="eastAsia" w:ascii="Times New Roman"/>
          <w:b/>
        </w:rPr>
        <w:t>铁路衔接：</w:t>
      </w:r>
      <w:r>
        <w:rPr>
          <w:rFonts w:hint="eastAsia" w:ascii="Times New Roman"/>
        </w:rPr>
        <w:t>依托金义站引入金义高铁三四线（金义城际）、金台城际和远期谋划的沪杭金磁浮高铁、杭州至丽水高铁，并通过金义三四线向东经义乌站衔接杭温高铁、沪昆高铁，向西经金华站衔接金建城际、金龙城际，全面融入国家高速铁路网和长三角城际铁路网；</w:t>
      </w:r>
    </w:p>
    <w:p w14:paraId="6BC66380">
      <w:pPr>
        <w:pStyle w:val="34"/>
        <w:ind w:firstLine="643"/>
        <w:rPr>
          <w:rFonts w:ascii="Times New Roman"/>
        </w:rPr>
      </w:pPr>
      <w:r>
        <w:rPr>
          <w:rFonts w:hint="eastAsia" w:ascii="Times New Roman"/>
          <w:b/>
        </w:rPr>
        <w:t>市域轨道衔接：</w:t>
      </w:r>
      <w:r>
        <w:rPr>
          <w:rFonts w:hint="eastAsia" w:ascii="Times New Roman"/>
        </w:rPr>
        <w:t>市域轨道接入金义东线及远期谋划的金义-横店线，快速连通金华、义乌城区及都市区各县市；</w:t>
      </w:r>
    </w:p>
    <w:p w14:paraId="55A9161E">
      <w:pPr>
        <w:pStyle w:val="34"/>
        <w:ind w:firstLine="643"/>
        <w:rPr>
          <w:rFonts w:ascii="Times New Roman"/>
        </w:rPr>
      </w:pPr>
      <w:r>
        <w:rPr>
          <w:rFonts w:hint="eastAsia" w:ascii="Times New Roman"/>
          <w:b/>
        </w:rPr>
        <w:t>公路衔接：</w:t>
      </w:r>
      <w:r>
        <w:rPr>
          <w:rFonts w:hint="eastAsia" w:ascii="Times New Roman"/>
        </w:rPr>
        <w:t>通过金义中央大道和金义东公路及甬金高速和甬金衢上高速衔接都市区快速路网和高速公路网，便捷通达金华、义乌城区及周边县市。</w:t>
      </w:r>
    </w:p>
    <w:p w14:paraId="7270CEAE">
      <w:pPr>
        <w:pStyle w:val="34"/>
        <w:ind w:firstLine="643"/>
        <w:rPr>
          <w:rFonts w:ascii="Times New Roman"/>
        </w:rPr>
      </w:pPr>
      <w:r>
        <w:rPr>
          <w:rFonts w:hint="eastAsia"/>
          <w:b/>
        </w:rPr>
        <w:t>枢纽衔接：</w:t>
      </w:r>
      <w:r>
        <w:rPr>
          <w:rFonts w:hint="eastAsia" w:ascii="Times New Roman"/>
        </w:rPr>
        <w:t>实现枢纽“零距离”换乘。统筹考虑金华义乌国际机场及高铁站、轨道站布局，机场、高铁站之间通过轨道、快速路、直达公交/摆渡车等实现便捷高效连通；机场、高铁站各自与市域轨道、城市公交、公路客运等，实现同一建筑体内布置、功能空间共享、便捷立体换乘；同时加密机场巴士、城市公交、城际公交、客运班线等与机场、高铁站相衔接的地面交通服务网络，强化枢纽内外衔接。</w:t>
      </w:r>
    </w:p>
    <w:p w14:paraId="79EA71FC">
      <w:pPr>
        <w:pStyle w:val="6"/>
        <w:ind w:firstLine="643"/>
        <w:rPr>
          <w:sz w:val="32"/>
        </w:rPr>
      </w:pPr>
      <w:r>
        <w:rPr>
          <w:rFonts w:hint="eastAsia"/>
          <w:sz w:val="32"/>
        </w:rPr>
        <w:t>2、打造以两大集聚区为核心的现代物流枢纽体系</w:t>
      </w:r>
    </w:p>
    <w:p w14:paraId="4AA6ED4E">
      <w:pPr>
        <w:pStyle w:val="34"/>
        <w:jc w:val="left"/>
        <w:rPr>
          <w:rFonts w:ascii="Times New Roman"/>
        </w:rPr>
      </w:pPr>
      <w:r>
        <w:rPr>
          <w:rFonts w:hint="eastAsia" w:ascii="Times New Roman"/>
        </w:rPr>
        <w:t>加快实施金华市“打造千亿物流产业”战略目标，以物流业发展“本土化、现代化”为导向，以义乌国际陆港、浙中多式联运枢纽港、金义智慧物流港为重点，加快公铁水空多式联运系统发展，构建物流枢纽体系核心支点。力争将金义新区（金东）打造成为国际多式联运中心、全国快递物流中心、华东农产品物流中心。</w:t>
      </w:r>
    </w:p>
    <w:p w14:paraId="0C3888E1">
      <w:pPr>
        <w:pStyle w:val="34"/>
        <w:rPr>
          <w:rFonts w:ascii="Times New Roman"/>
        </w:rPr>
      </w:pPr>
      <w:r>
        <w:rPr>
          <w:rFonts w:ascii="Times New Roman"/>
        </w:rPr>
        <w:t>按照金义新区（金东）城市发展空间布局和交通格局，加快建设</w:t>
      </w:r>
      <w:r>
        <w:rPr>
          <w:rFonts w:ascii="Times New Roman"/>
          <w:b/>
        </w:rPr>
        <w:t>“2+4+2+N”</w:t>
      </w:r>
      <w:r>
        <w:rPr>
          <w:rFonts w:ascii="Times New Roman"/>
        </w:rPr>
        <w:t>的区域物流节点体系。</w:t>
      </w:r>
    </w:p>
    <w:p w14:paraId="364BE7D8">
      <w:pPr>
        <w:pStyle w:val="34"/>
        <w:ind w:firstLine="643"/>
        <w:rPr>
          <w:rFonts w:ascii="Times New Roman"/>
        </w:rPr>
      </w:pPr>
      <w:r>
        <w:rPr>
          <w:rFonts w:hint="eastAsia" w:ascii="Times New Roman"/>
          <w:b/>
        </w:rPr>
        <w:t>——“2”</w:t>
      </w:r>
      <w:r>
        <w:rPr>
          <w:rFonts w:hint="eastAsia" w:ascii="Times New Roman"/>
        </w:rPr>
        <w:t>为重点发展华东联运新城（浙中多式联运枢纽港）和金义智慧物流集聚区两大综合货运枢纽，强化金义新区（金东）本地及周边商品对接国内国际；</w:t>
      </w:r>
    </w:p>
    <w:p w14:paraId="2BE1D134">
      <w:pPr>
        <w:pStyle w:val="34"/>
        <w:ind w:firstLine="643"/>
        <w:rPr>
          <w:rFonts w:ascii="Times New Roman"/>
        </w:rPr>
      </w:pPr>
      <w:r>
        <w:rPr>
          <w:rFonts w:hint="eastAsia" w:ascii="Times New Roman"/>
          <w:b/>
        </w:rPr>
        <w:t>——“4”</w:t>
      </w:r>
      <w:r>
        <w:rPr>
          <w:rFonts w:hint="eastAsia" w:ascii="Times New Roman"/>
        </w:rPr>
        <w:t>为华东农产品物流中心、传化公路港、八方物流中心和江岭高新智造区物流中心区域性物流中心；</w:t>
      </w:r>
    </w:p>
    <w:p w14:paraId="59B234B5">
      <w:pPr>
        <w:pStyle w:val="34"/>
        <w:ind w:firstLine="643"/>
        <w:rPr>
          <w:rFonts w:ascii="Times New Roman"/>
        </w:rPr>
      </w:pPr>
      <w:r>
        <w:rPr>
          <w:rFonts w:hint="eastAsia" w:ascii="Times New Roman"/>
          <w:b/>
        </w:rPr>
        <w:t>——“2”</w:t>
      </w:r>
      <w:r>
        <w:rPr>
          <w:rFonts w:hint="eastAsia" w:ascii="Times New Roman"/>
        </w:rPr>
        <w:t>为曹宅货运服务站和澧浦货运服务站；</w:t>
      </w:r>
    </w:p>
    <w:p w14:paraId="099B5FD8">
      <w:pPr>
        <w:pStyle w:val="34"/>
        <w:ind w:firstLine="643"/>
        <w:rPr>
          <w:rFonts w:ascii="Times New Roman"/>
        </w:rPr>
      </w:pPr>
      <w:r>
        <w:rPr>
          <w:rFonts w:hint="eastAsia" w:ascii="Times New Roman"/>
          <w:b/>
        </w:rPr>
        <w:t>——“N”</w:t>
      </w:r>
      <w:r>
        <w:rPr>
          <w:rFonts w:hint="eastAsia" w:ascii="Times New Roman"/>
        </w:rPr>
        <w:t>为</w:t>
      </w:r>
      <w:r>
        <w:rPr>
          <w:rFonts w:ascii="Times New Roman"/>
        </w:rPr>
        <w:t>一批联动城乡的</w:t>
      </w:r>
      <w:r>
        <w:rPr>
          <w:rFonts w:hint="eastAsia" w:ascii="Times New Roman"/>
        </w:rPr>
        <w:t>农村物流服务店，以推进城乡一体化为重点，推进城乡货物运输站场建设，提升铁路站、通用机场、公路站场覆盖率，加强与区域性枢纽的衔接，提升城乡之间旅客和货物的便捷集散能力，完善城乡物流网络节点，降低物流配送成本，提高物流配送效率。</w:t>
      </w:r>
    </w:p>
    <w:p w14:paraId="71F2B60C">
      <w:pPr>
        <w:pStyle w:val="6"/>
        <w:ind w:firstLine="643"/>
      </w:pPr>
      <w:r>
        <w:rPr>
          <w:rFonts w:hint="eastAsia"/>
          <w:sz w:val="32"/>
        </w:rPr>
        <w:t>3、打造金义新区枢纽集疏运体系</w:t>
      </w:r>
    </w:p>
    <w:p w14:paraId="0247D1B5">
      <w:pPr>
        <w:pStyle w:val="34"/>
        <w:rPr>
          <w:rFonts w:ascii="Times New Roman"/>
        </w:rPr>
      </w:pPr>
      <w:r>
        <w:rPr>
          <w:rFonts w:hint="eastAsia" w:ascii="Times New Roman"/>
        </w:rPr>
        <w:t>完善物流枢纽集疏运网络，构建环城东西国际货物运输走廊。</w:t>
      </w:r>
      <w:r>
        <w:rPr>
          <w:rFonts w:ascii="Times New Roman"/>
        </w:rPr>
        <w:t>充分发挥</w:t>
      </w:r>
      <w:r>
        <w:rPr>
          <w:rFonts w:hint="eastAsia" w:ascii="Times New Roman"/>
        </w:rPr>
        <w:t>金义新区</w:t>
      </w:r>
      <w:r>
        <w:rPr>
          <w:rFonts w:ascii="Times New Roman"/>
        </w:rPr>
        <w:t>产业物流优势和商贸物流特色，</w:t>
      </w:r>
      <w:r>
        <w:rPr>
          <w:rFonts w:hint="eastAsia" w:ascii="Times New Roman"/>
        </w:rPr>
        <w:t>构筑</w:t>
      </w:r>
      <w:r>
        <w:rPr>
          <w:rFonts w:ascii="Times New Roman"/>
        </w:rPr>
        <w:t>物流枢纽</w:t>
      </w:r>
      <w:r>
        <w:rPr>
          <w:rFonts w:hint="eastAsia" w:ascii="Times New Roman"/>
        </w:rPr>
        <w:t>同</w:t>
      </w:r>
      <w:r>
        <w:rPr>
          <w:rFonts w:ascii="Times New Roman"/>
        </w:rPr>
        <w:t>公路、铁路、</w:t>
      </w:r>
      <w:r>
        <w:rPr>
          <w:rFonts w:hint="eastAsia" w:ascii="Times New Roman"/>
        </w:rPr>
        <w:t>航空</w:t>
      </w:r>
      <w:r>
        <w:rPr>
          <w:rFonts w:ascii="Times New Roman"/>
        </w:rPr>
        <w:t>等交通基础设施的衔接</w:t>
      </w:r>
      <w:r>
        <w:rPr>
          <w:rFonts w:hint="eastAsia" w:ascii="Times New Roman"/>
        </w:rPr>
        <w:t>体系</w:t>
      </w:r>
      <w:r>
        <w:rPr>
          <w:rFonts w:ascii="Times New Roman"/>
        </w:rPr>
        <w:t>，实现</w:t>
      </w:r>
      <w:r>
        <w:rPr>
          <w:rFonts w:hint="eastAsia" w:ascii="Times New Roman"/>
        </w:rPr>
        <w:t>其</w:t>
      </w:r>
      <w:r>
        <w:rPr>
          <w:rFonts w:ascii="Times New Roman"/>
        </w:rPr>
        <w:t>与后方工业园、物流园、货运站场一体化发展</w:t>
      </w:r>
      <w:r>
        <w:rPr>
          <w:rFonts w:hint="eastAsia" w:ascii="Times New Roman"/>
        </w:rPr>
        <w:t>，</w:t>
      </w:r>
      <w:r>
        <w:rPr>
          <w:rFonts w:ascii="Times New Roman"/>
        </w:rPr>
        <w:t>拓展物流园区服务范围。</w:t>
      </w:r>
      <w:r>
        <w:rPr>
          <w:rFonts w:hint="eastAsia" w:ascii="Times New Roman"/>
        </w:rPr>
        <w:t>目前，</w:t>
      </w:r>
      <w:r>
        <w:rPr>
          <w:rFonts w:ascii="Times New Roman"/>
        </w:rPr>
        <w:t>杭金衢高速、</w:t>
      </w:r>
      <w:r>
        <w:rPr>
          <w:rFonts w:hint="eastAsia" w:ascii="Times New Roman"/>
        </w:rPr>
        <w:t>金丽温高速、规划货运北通道、规划甬金衢上高速和金义东公路在金义新区外围构成了互联互通的区域枢纽集疏运通道，</w:t>
      </w:r>
      <w:r>
        <w:rPr>
          <w:rFonts w:ascii="Times New Roman"/>
        </w:rPr>
        <w:t>有效</w:t>
      </w:r>
      <w:r>
        <w:rPr>
          <w:rFonts w:hint="eastAsia" w:ascii="Times New Roman"/>
        </w:rPr>
        <w:t>地</w:t>
      </w:r>
      <w:r>
        <w:rPr>
          <w:rFonts w:ascii="Times New Roman"/>
        </w:rPr>
        <w:t>缓解了</w:t>
      </w:r>
      <w:r>
        <w:rPr>
          <w:rFonts w:hint="eastAsia" w:ascii="Times New Roman"/>
        </w:rPr>
        <w:t>区域</w:t>
      </w:r>
      <w:r>
        <w:rPr>
          <w:rFonts w:ascii="Times New Roman"/>
        </w:rPr>
        <w:t>对外交通压力，加强了与周边城市之间的有效衔接。而北侧规划的货运专线以及南侧的金义东公路，则有利于与</w:t>
      </w:r>
      <w:r>
        <w:rPr>
          <w:rFonts w:hint="eastAsia" w:ascii="Times New Roman"/>
        </w:rPr>
        <w:t>金华</w:t>
      </w:r>
      <w:r>
        <w:rPr>
          <w:rFonts w:ascii="Times New Roman"/>
        </w:rPr>
        <w:t>市区以及义乌之间的直接货运联系，同时也能够缓解一部分货运压力。</w:t>
      </w:r>
      <w:r>
        <w:rPr>
          <w:rFonts w:hint="eastAsia" w:ascii="Times New Roman"/>
        </w:rPr>
        <w:t>曹塘澧公路、白雅线和东华街构成了金义新区内部纵向交通疏解通道，承担串联对外交通主干道的功能，用于新区出入境的交通以及内部货物的配送。</w:t>
      </w:r>
      <w:r>
        <w:rPr>
          <w:rFonts w:ascii="Times New Roman"/>
        </w:rPr>
        <w:br w:type="page"/>
      </w:r>
    </w:p>
    <w:p w14:paraId="36F3E311">
      <w:pPr>
        <w:pStyle w:val="2"/>
        <w:ind w:firstLine="635"/>
      </w:pPr>
      <w:bookmarkStart w:id="27" w:name="_Toc43384735"/>
      <w:r>
        <w:rPr>
          <w:rFonts w:hint="eastAsia"/>
        </w:rPr>
        <w:t>五</w:t>
      </w:r>
      <w:r>
        <w:t>、</w:t>
      </w:r>
      <w:r>
        <w:rPr>
          <w:rFonts w:hint="eastAsia"/>
        </w:rPr>
        <w:t>“十四五”发展重点与任务</w:t>
      </w:r>
      <w:bookmarkEnd w:id="27"/>
    </w:p>
    <w:p w14:paraId="3C5EFDF3">
      <w:pPr>
        <w:pStyle w:val="34"/>
        <w:rPr>
          <w:rFonts w:ascii="Times New Roman"/>
          <w:szCs w:val="32"/>
        </w:rPr>
      </w:pPr>
      <w:r>
        <w:rPr>
          <w:rFonts w:hint="eastAsia" w:ascii="Times New Roman"/>
          <w:szCs w:val="32"/>
        </w:rPr>
        <w:t>金义新区（金东）综合交通基础设施建设项目 “十四五”期间规划重点实施25个项目，总投资463.75亿元，“十四五”期间完成投资337.44亿元，其中公路93.2亿元，铁路88.94亿元，客运枢纽30亿元，物流园区110亿元。</w:t>
      </w:r>
    </w:p>
    <w:p w14:paraId="7216F453">
      <w:pPr>
        <w:pStyle w:val="4"/>
        <w:ind w:firstLine="643"/>
      </w:pPr>
      <w:bookmarkStart w:id="28" w:name="_Toc43384736"/>
      <w:r>
        <w:rPr>
          <w:rFonts w:hint="eastAsia"/>
        </w:rPr>
        <w:t>（一）补齐基础设施短板</w:t>
      </w:r>
      <w:bookmarkEnd w:id="28"/>
    </w:p>
    <w:p w14:paraId="08297538">
      <w:pPr>
        <w:pStyle w:val="6"/>
        <w:ind w:firstLine="643"/>
        <w:rPr>
          <w:sz w:val="32"/>
        </w:rPr>
      </w:pPr>
      <w:r>
        <w:rPr>
          <w:sz w:val="32"/>
        </w:rPr>
        <w:t>1.铁路</w:t>
      </w:r>
      <w:r>
        <w:rPr>
          <w:rFonts w:hint="eastAsia"/>
          <w:sz w:val="32"/>
        </w:rPr>
        <w:t>拓展工程</w:t>
      </w:r>
    </w:p>
    <w:p w14:paraId="231E97F3">
      <w:pPr>
        <w:pStyle w:val="34"/>
        <w:rPr>
          <w:rFonts w:ascii="Times New Roman"/>
          <w:szCs w:val="32"/>
        </w:rPr>
      </w:pPr>
      <w:r>
        <w:rPr>
          <w:rFonts w:hint="eastAsia" w:ascii="Times New Roman"/>
          <w:szCs w:val="32"/>
        </w:rPr>
        <w:t>“十四五”时期，进一步加快完善铁路基础设施建设，积极推动在建项目，加快前期项目研究，加快谋划规划线路。铁路规划新增里程约</w:t>
      </w:r>
      <w:r>
        <w:rPr>
          <w:rFonts w:ascii="Times New Roman"/>
          <w:szCs w:val="32"/>
        </w:rPr>
        <w:t>36.35</w:t>
      </w:r>
      <w:r>
        <w:rPr>
          <w:rFonts w:hint="eastAsia" w:ascii="Times New Roman"/>
          <w:szCs w:val="32"/>
        </w:rPr>
        <w:t>公里，总投资</w:t>
      </w:r>
      <w:r>
        <w:rPr>
          <w:rFonts w:ascii="Times New Roman"/>
          <w:szCs w:val="32"/>
        </w:rPr>
        <w:t>147.57</w:t>
      </w:r>
      <w:r>
        <w:rPr>
          <w:rFonts w:hint="eastAsia" w:ascii="Times New Roman"/>
          <w:szCs w:val="32"/>
        </w:rPr>
        <w:t>亿元，</w:t>
      </w:r>
      <w:r>
        <w:rPr>
          <w:rFonts w:ascii="Times New Roman"/>
          <w:szCs w:val="32"/>
        </w:rPr>
        <w:t>“</w:t>
      </w:r>
      <w:r>
        <w:rPr>
          <w:rFonts w:hint="eastAsia" w:ascii="Times New Roman"/>
          <w:szCs w:val="32"/>
        </w:rPr>
        <w:t>十四五</w:t>
      </w:r>
      <w:r>
        <w:rPr>
          <w:rFonts w:ascii="Times New Roman"/>
          <w:szCs w:val="32"/>
        </w:rPr>
        <w:t>”</w:t>
      </w:r>
      <w:r>
        <w:rPr>
          <w:rFonts w:hint="eastAsia" w:ascii="Times New Roman"/>
          <w:szCs w:val="32"/>
        </w:rPr>
        <w:t>规划完成投资</w:t>
      </w:r>
      <w:r>
        <w:rPr>
          <w:rFonts w:ascii="Times New Roman"/>
          <w:szCs w:val="32"/>
        </w:rPr>
        <w:t>88.94</w:t>
      </w:r>
      <w:r>
        <w:rPr>
          <w:rFonts w:hint="eastAsia" w:ascii="Times New Roman"/>
          <w:szCs w:val="32"/>
        </w:rPr>
        <w:t>亿元。详见表</w:t>
      </w:r>
      <w:r>
        <w:rPr>
          <w:rFonts w:ascii="Times New Roman"/>
          <w:szCs w:val="32"/>
        </w:rPr>
        <w:t>5-1</w:t>
      </w:r>
      <w:r>
        <w:rPr>
          <w:rFonts w:hint="eastAsia" w:ascii="Times New Roman"/>
          <w:szCs w:val="32"/>
        </w:rPr>
        <w:t>。重点推进金义高铁（三四线）建设，增强金义中心城区之间的快捷衔接，推进实施沪昆铁路金华市区段外绕线工程，加快推进金义东线轨道交通建设，快捷连通金义中心城区和都市区发展主轴，高效衔接沿线城镇，拉近金义时空距离，引领金义一体化发展。继续谋划研究金台城际、杭丽铁路以及预留远期沪杭金磁悬浮通道。</w:t>
      </w:r>
    </w:p>
    <w:p w14:paraId="7593E080">
      <w:pPr>
        <w:ind w:firstLine="643"/>
        <w:rPr>
          <w:rFonts w:eastAsia="仿宋_GB2312"/>
          <w:b/>
          <w:sz w:val="30"/>
          <w:szCs w:val="30"/>
        </w:rPr>
      </w:pPr>
      <w:r>
        <w:rPr>
          <w:rFonts w:hint="eastAsia" w:eastAsia="仿宋_GB2312"/>
          <w:b/>
          <w:sz w:val="32"/>
          <w:szCs w:val="30"/>
        </w:rPr>
        <w:t>金义高铁三四线：</w:t>
      </w:r>
      <w:r>
        <w:rPr>
          <w:rFonts w:hint="eastAsia" w:eastAsia="仿宋_GB2312"/>
          <w:bCs/>
          <w:sz w:val="32"/>
          <w:szCs w:val="30"/>
        </w:rPr>
        <w:t xml:space="preserve">金义增设三四线工程计划于2023年建成。铁路等级为客运专线，设计速度为350km/h。工程总投资估算为77.7亿元，其中金东段投资为30.8亿元。该项目的实施，将进一步加快浙中城市群铁路网络体系，更好满足人民高质量出行的需求，对义乌经济社会发展和长三角区域一体化发展具有重要意义。  </w:t>
      </w:r>
    </w:p>
    <w:p w14:paraId="3C28BC0D">
      <w:pPr>
        <w:pStyle w:val="34"/>
        <w:ind w:firstLine="643"/>
        <w:rPr>
          <w:rFonts w:ascii="Times New Roman"/>
          <w:b/>
        </w:rPr>
      </w:pPr>
      <w:r>
        <w:rPr>
          <w:rFonts w:hint="eastAsia" w:ascii="Times New Roman"/>
          <w:b/>
        </w:rPr>
        <w:t>沪昆铁路市区段外迁工程：</w:t>
      </w:r>
      <w:r>
        <w:rPr>
          <w:rFonts w:hint="eastAsia" w:ascii="Times New Roman"/>
          <w:bCs/>
        </w:rPr>
        <w:t>释放金义间铁路通行能力，支撑华东联运新城作为国家级物流集散中心的大力开展。</w:t>
      </w:r>
    </w:p>
    <w:p w14:paraId="310C6B9B">
      <w:pPr>
        <w:pStyle w:val="34"/>
        <w:ind w:firstLine="643"/>
        <w:rPr>
          <w:rFonts w:ascii="Times New Roman"/>
          <w:bCs/>
        </w:rPr>
      </w:pPr>
      <w:r>
        <w:rPr>
          <w:rFonts w:hint="eastAsia" w:ascii="Times New Roman"/>
          <w:b/>
        </w:rPr>
        <w:t>金义东轨道金义新区（金东）段：</w:t>
      </w:r>
      <w:r>
        <w:rPr>
          <w:rFonts w:hint="eastAsia" w:ascii="Times New Roman"/>
          <w:bCs/>
        </w:rPr>
        <w:t>项目线路总长103.86km，金东区段全长18.85km，总投资66.63亿元，“十四五”期间完成投资30亿元。沿线</w:t>
      </w:r>
      <w:r>
        <w:rPr>
          <w:rFonts w:ascii="Times New Roman"/>
          <w:bCs/>
        </w:rPr>
        <w:t>主要途径婺城客运站、宾虹西路、金衢路、李渔路、金华火车南站、新城路（金义都市新区）、浙赣快速路、大陈客运站等</w:t>
      </w:r>
      <w:r>
        <w:rPr>
          <w:rFonts w:hint="eastAsia" w:ascii="Times New Roman"/>
          <w:bCs/>
        </w:rPr>
        <w:t>。</w:t>
      </w:r>
    </w:p>
    <w:p w14:paraId="063807DB">
      <w:pPr>
        <w:spacing w:line="360" w:lineRule="auto"/>
        <w:ind w:firstLine="422"/>
        <w:jc w:val="center"/>
        <w:rPr>
          <w:rFonts w:ascii="黑体" w:hAnsi="黑体" w:eastAsia="黑体" w:cs="Courier New"/>
          <w:b/>
          <w:sz w:val="21"/>
          <w:szCs w:val="24"/>
        </w:rPr>
      </w:pPr>
      <w:r>
        <w:rPr>
          <w:rFonts w:hint="eastAsia" w:ascii="黑体" w:hAnsi="黑体" w:eastAsia="黑体" w:cs="Courier New"/>
          <w:b/>
          <w:sz w:val="21"/>
          <w:szCs w:val="24"/>
        </w:rPr>
        <w:t>图5-1</w:t>
      </w:r>
      <w:r>
        <w:rPr>
          <w:rFonts w:ascii="黑体" w:hAnsi="黑体" w:eastAsia="黑体" w:cs="Courier New"/>
          <w:b/>
          <w:sz w:val="21"/>
          <w:szCs w:val="24"/>
        </w:rPr>
        <w:t>“十</w:t>
      </w:r>
      <w:r>
        <w:rPr>
          <w:rFonts w:hint="eastAsia" w:ascii="黑体" w:hAnsi="黑体" w:eastAsia="黑体" w:cs="Courier New"/>
          <w:b/>
          <w:sz w:val="21"/>
          <w:szCs w:val="24"/>
        </w:rPr>
        <w:t>四</w:t>
      </w:r>
      <w:r>
        <w:rPr>
          <w:rFonts w:ascii="黑体" w:hAnsi="黑体" w:eastAsia="黑体" w:cs="Courier New"/>
          <w:b/>
          <w:sz w:val="21"/>
          <w:szCs w:val="24"/>
        </w:rPr>
        <w:t>五”</w:t>
      </w:r>
      <w:r>
        <w:rPr>
          <w:rFonts w:hint="eastAsia" w:ascii="黑体" w:hAnsi="黑体" w:eastAsia="黑体" w:cs="Courier New"/>
          <w:b/>
          <w:sz w:val="21"/>
          <w:szCs w:val="24"/>
        </w:rPr>
        <w:t>铁路</w:t>
      </w:r>
      <w:r>
        <w:rPr>
          <w:rFonts w:ascii="黑体" w:hAnsi="黑体" w:eastAsia="黑体" w:cs="Courier New"/>
          <w:b/>
          <w:sz w:val="21"/>
          <w:szCs w:val="24"/>
        </w:rPr>
        <w:t>规划一览表</w:t>
      </w:r>
    </w:p>
    <w:tbl>
      <w:tblPr>
        <w:tblStyle w:val="18"/>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0"/>
        <w:gridCol w:w="1243"/>
        <w:gridCol w:w="803"/>
        <w:gridCol w:w="3349"/>
        <w:gridCol w:w="445"/>
        <w:gridCol w:w="561"/>
        <w:gridCol w:w="673"/>
        <w:gridCol w:w="731"/>
        <w:gridCol w:w="387"/>
      </w:tblGrid>
      <w:tr w14:paraId="203EF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blHeader/>
          <w:jc w:val="center"/>
        </w:trPr>
        <w:tc>
          <w:tcPr>
            <w:tcW w:w="194" w:type="pct"/>
            <w:shd w:val="clear" w:color="auto" w:fill="DBE5F1" w:themeFill="accent1" w:themeFillTint="33"/>
            <w:noWrap/>
            <w:vAlign w:val="center"/>
          </w:tcPr>
          <w:p w14:paraId="6B8ABF07">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序号</w:t>
            </w:r>
          </w:p>
        </w:tc>
        <w:tc>
          <w:tcPr>
            <w:tcW w:w="1200" w:type="pct"/>
            <w:gridSpan w:val="2"/>
            <w:shd w:val="clear" w:color="auto" w:fill="DBE5F1" w:themeFill="accent1" w:themeFillTint="33"/>
            <w:noWrap/>
            <w:vAlign w:val="center"/>
          </w:tcPr>
          <w:p w14:paraId="392FD16F">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项目名称</w:t>
            </w:r>
          </w:p>
        </w:tc>
        <w:tc>
          <w:tcPr>
            <w:tcW w:w="1965" w:type="pct"/>
            <w:shd w:val="clear" w:color="auto" w:fill="DBE5F1" w:themeFill="accent1" w:themeFillTint="33"/>
            <w:noWrap/>
            <w:vAlign w:val="center"/>
          </w:tcPr>
          <w:p w14:paraId="12351122">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项目概况</w:t>
            </w:r>
          </w:p>
        </w:tc>
        <w:tc>
          <w:tcPr>
            <w:tcW w:w="261" w:type="pct"/>
            <w:shd w:val="clear" w:color="auto" w:fill="DBE5F1" w:themeFill="accent1" w:themeFillTint="33"/>
            <w:noWrap/>
            <w:vAlign w:val="center"/>
          </w:tcPr>
          <w:p w14:paraId="46D0FBB8">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项目性质</w:t>
            </w:r>
          </w:p>
        </w:tc>
        <w:tc>
          <w:tcPr>
            <w:tcW w:w="329" w:type="pct"/>
            <w:shd w:val="clear" w:color="auto" w:fill="DBE5F1" w:themeFill="accent1" w:themeFillTint="33"/>
            <w:noWrap/>
            <w:vAlign w:val="center"/>
          </w:tcPr>
          <w:p w14:paraId="48694179">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建设起止年限</w:t>
            </w:r>
          </w:p>
        </w:tc>
        <w:tc>
          <w:tcPr>
            <w:tcW w:w="395" w:type="pct"/>
            <w:shd w:val="clear" w:color="auto" w:fill="DBE5F1" w:themeFill="accent1" w:themeFillTint="33"/>
            <w:noWrap/>
            <w:vAlign w:val="center"/>
          </w:tcPr>
          <w:p w14:paraId="5EE51C7F">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项目投资（亿元）</w:t>
            </w:r>
          </w:p>
        </w:tc>
        <w:tc>
          <w:tcPr>
            <w:tcW w:w="429" w:type="pct"/>
            <w:shd w:val="clear" w:color="auto" w:fill="DBE5F1" w:themeFill="accent1" w:themeFillTint="33"/>
            <w:noWrap/>
            <w:vAlign w:val="center"/>
          </w:tcPr>
          <w:p w14:paraId="709C2A45">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十四五投资（亿元）</w:t>
            </w:r>
          </w:p>
        </w:tc>
        <w:tc>
          <w:tcPr>
            <w:tcW w:w="227" w:type="pct"/>
            <w:shd w:val="clear" w:color="auto" w:fill="DBE5F1" w:themeFill="accent1" w:themeFillTint="33"/>
            <w:noWrap/>
            <w:vAlign w:val="center"/>
          </w:tcPr>
          <w:p w14:paraId="5939F38C">
            <w:pPr>
              <w:widowControl/>
              <w:spacing w:line="360" w:lineRule="exact"/>
              <w:ind w:firstLine="0" w:firstLineChars="0"/>
              <w:jc w:val="center"/>
              <w:rPr>
                <w:rFonts w:ascii="宋体" w:hAnsi="宋体" w:cs="Courier New"/>
                <w:b/>
                <w:sz w:val="21"/>
                <w:szCs w:val="21"/>
              </w:rPr>
            </w:pPr>
            <w:r>
              <w:rPr>
                <w:rFonts w:hint="eastAsia" w:ascii="宋体" w:hAnsi="宋体" w:cs="Courier New"/>
                <w:b/>
                <w:sz w:val="21"/>
                <w:szCs w:val="21"/>
              </w:rPr>
              <w:t>备注</w:t>
            </w:r>
          </w:p>
        </w:tc>
      </w:tr>
      <w:tr w14:paraId="615DF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599E50B3">
            <w:pPr>
              <w:widowControl/>
              <w:spacing w:line="360" w:lineRule="exact"/>
              <w:ind w:firstLine="0" w:firstLineChars="0"/>
              <w:jc w:val="center"/>
              <w:rPr>
                <w:rFonts w:ascii="宋体" w:hAnsi="宋体" w:cs="Courier New"/>
                <w:sz w:val="21"/>
                <w:szCs w:val="21"/>
              </w:rPr>
            </w:pPr>
            <w:r>
              <w:rPr>
                <w:rFonts w:ascii="宋体" w:hAnsi="宋体" w:cs="Courier New"/>
                <w:sz w:val="21"/>
                <w:szCs w:val="21"/>
              </w:rPr>
              <w:t>1</w:t>
            </w:r>
          </w:p>
        </w:tc>
        <w:tc>
          <w:tcPr>
            <w:tcW w:w="1200" w:type="pct"/>
            <w:gridSpan w:val="2"/>
            <w:shd w:val="clear" w:color="auto" w:fill="auto"/>
            <w:noWrap/>
            <w:vAlign w:val="center"/>
          </w:tcPr>
          <w:p w14:paraId="0AED30AC">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浙中城市群城际轨道交通工程</w:t>
            </w:r>
          </w:p>
          <w:p w14:paraId="052F590A">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（金义东轨道金东段）</w:t>
            </w:r>
          </w:p>
        </w:tc>
        <w:tc>
          <w:tcPr>
            <w:tcW w:w="1965" w:type="pct"/>
            <w:shd w:val="clear" w:color="auto" w:fill="auto"/>
            <w:noWrap/>
            <w:vAlign w:val="center"/>
          </w:tcPr>
          <w:p w14:paraId="1D2A1E52">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项目线路总长103.86km，金东区段全长18.85km</w:t>
            </w:r>
            <w:r>
              <w:rPr>
                <w:rFonts w:ascii="宋体" w:hAnsi="宋体" w:cs="Courier New"/>
                <w:sz w:val="21"/>
                <w:szCs w:val="21"/>
              </w:rPr>
              <w:t>，轻轨</w:t>
            </w:r>
          </w:p>
        </w:tc>
        <w:tc>
          <w:tcPr>
            <w:tcW w:w="261" w:type="pct"/>
            <w:shd w:val="clear" w:color="auto" w:fill="auto"/>
            <w:noWrap/>
            <w:vAlign w:val="center"/>
          </w:tcPr>
          <w:p w14:paraId="65664BEF">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新建</w:t>
            </w:r>
          </w:p>
        </w:tc>
        <w:tc>
          <w:tcPr>
            <w:tcW w:w="329" w:type="pct"/>
            <w:shd w:val="clear" w:color="auto" w:fill="auto"/>
            <w:vAlign w:val="center"/>
          </w:tcPr>
          <w:p w14:paraId="2E323FB7">
            <w:pPr>
              <w:widowControl/>
              <w:spacing w:line="360" w:lineRule="exact"/>
              <w:ind w:firstLine="0" w:firstLineChars="0"/>
              <w:jc w:val="center"/>
              <w:rPr>
                <w:rFonts w:ascii="宋体" w:hAnsi="宋体" w:cs="Courier New"/>
                <w:sz w:val="21"/>
                <w:szCs w:val="21"/>
              </w:rPr>
            </w:pPr>
            <w:r>
              <w:rPr>
                <w:rFonts w:ascii="宋体" w:hAnsi="宋体" w:cs="Courier New"/>
                <w:sz w:val="21"/>
                <w:szCs w:val="21"/>
              </w:rPr>
              <w:t>2017—2022</w:t>
            </w:r>
          </w:p>
        </w:tc>
        <w:tc>
          <w:tcPr>
            <w:tcW w:w="395" w:type="pct"/>
            <w:shd w:val="clear" w:color="auto" w:fill="auto"/>
            <w:noWrap/>
            <w:vAlign w:val="center"/>
          </w:tcPr>
          <w:p w14:paraId="2A56A00B">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66.63</w:t>
            </w:r>
          </w:p>
        </w:tc>
        <w:tc>
          <w:tcPr>
            <w:tcW w:w="429" w:type="pct"/>
            <w:shd w:val="clear" w:color="auto" w:fill="auto"/>
            <w:noWrap/>
            <w:vAlign w:val="center"/>
          </w:tcPr>
          <w:p w14:paraId="0B952672">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30</w:t>
            </w:r>
          </w:p>
        </w:tc>
        <w:tc>
          <w:tcPr>
            <w:tcW w:w="227" w:type="pct"/>
            <w:shd w:val="clear" w:color="auto" w:fill="auto"/>
            <w:noWrap/>
            <w:vAlign w:val="center"/>
          </w:tcPr>
          <w:p w14:paraId="606B273D">
            <w:pPr>
              <w:widowControl/>
              <w:spacing w:line="360" w:lineRule="exact"/>
              <w:ind w:firstLine="0" w:firstLineChars="0"/>
              <w:jc w:val="center"/>
              <w:rPr>
                <w:rFonts w:ascii="宋体" w:hAnsi="宋体" w:cs="Courier New"/>
                <w:sz w:val="21"/>
                <w:szCs w:val="21"/>
              </w:rPr>
            </w:pPr>
          </w:p>
        </w:tc>
      </w:tr>
      <w:tr w14:paraId="3F3BA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7F10BBDE">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w:t>
            </w:r>
          </w:p>
        </w:tc>
        <w:tc>
          <w:tcPr>
            <w:tcW w:w="1200" w:type="pct"/>
            <w:gridSpan w:val="2"/>
            <w:shd w:val="clear" w:color="auto" w:fill="auto"/>
            <w:noWrap/>
            <w:vAlign w:val="center"/>
          </w:tcPr>
          <w:p w14:paraId="1B2CC9E2">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沪昆铁路外迁工程</w:t>
            </w:r>
          </w:p>
        </w:tc>
        <w:tc>
          <w:tcPr>
            <w:tcW w:w="1965" w:type="pct"/>
            <w:shd w:val="clear" w:color="auto" w:fill="auto"/>
            <w:noWrap/>
            <w:vAlign w:val="center"/>
          </w:tcPr>
          <w:p w14:paraId="55E0DC77">
            <w:pPr>
              <w:widowControl/>
              <w:spacing w:line="360" w:lineRule="exact"/>
              <w:ind w:firstLine="0" w:firstLineChars="0"/>
              <w:jc w:val="center"/>
              <w:rPr>
                <w:rFonts w:ascii="宋体" w:hAnsi="宋体" w:cs="Courier New"/>
                <w:sz w:val="21"/>
                <w:szCs w:val="21"/>
              </w:rPr>
            </w:pPr>
          </w:p>
        </w:tc>
        <w:tc>
          <w:tcPr>
            <w:tcW w:w="261" w:type="pct"/>
            <w:shd w:val="clear" w:color="auto" w:fill="auto"/>
            <w:noWrap/>
            <w:vAlign w:val="center"/>
          </w:tcPr>
          <w:p w14:paraId="09A67598">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改建</w:t>
            </w:r>
          </w:p>
        </w:tc>
        <w:tc>
          <w:tcPr>
            <w:tcW w:w="329" w:type="pct"/>
            <w:shd w:val="clear" w:color="auto" w:fill="auto"/>
            <w:vAlign w:val="center"/>
          </w:tcPr>
          <w:p w14:paraId="1903DF2A">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2021-2024</w:t>
            </w:r>
          </w:p>
        </w:tc>
        <w:tc>
          <w:tcPr>
            <w:tcW w:w="395" w:type="pct"/>
            <w:shd w:val="clear" w:color="auto" w:fill="auto"/>
            <w:noWrap/>
            <w:vAlign w:val="center"/>
          </w:tcPr>
          <w:p w14:paraId="702AEC7B">
            <w:pPr>
              <w:widowControl/>
              <w:spacing w:line="360" w:lineRule="exact"/>
              <w:ind w:firstLine="0" w:firstLineChars="0"/>
              <w:jc w:val="center"/>
              <w:rPr>
                <w:rFonts w:ascii="宋体" w:hAnsi="宋体" w:cs="Courier New"/>
                <w:sz w:val="21"/>
                <w:szCs w:val="21"/>
              </w:rPr>
            </w:pPr>
          </w:p>
        </w:tc>
        <w:tc>
          <w:tcPr>
            <w:tcW w:w="429" w:type="pct"/>
            <w:shd w:val="clear" w:color="auto" w:fill="auto"/>
            <w:noWrap/>
            <w:vAlign w:val="center"/>
          </w:tcPr>
          <w:p w14:paraId="411F5B83">
            <w:pPr>
              <w:widowControl/>
              <w:spacing w:line="360" w:lineRule="exact"/>
              <w:ind w:firstLine="0" w:firstLineChars="0"/>
              <w:jc w:val="center"/>
              <w:rPr>
                <w:rFonts w:ascii="宋体" w:hAnsi="宋体" w:cs="Courier New"/>
                <w:sz w:val="21"/>
                <w:szCs w:val="21"/>
              </w:rPr>
            </w:pPr>
          </w:p>
        </w:tc>
        <w:tc>
          <w:tcPr>
            <w:tcW w:w="227" w:type="pct"/>
            <w:shd w:val="clear" w:color="auto" w:fill="auto"/>
            <w:noWrap/>
            <w:vAlign w:val="center"/>
          </w:tcPr>
          <w:p w14:paraId="281DE0E1">
            <w:pPr>
              <w:widowControl/>
              <w:spacing w:line="360" w:lineRule="exact"/>
              <w:ind w:firstLine="0" w:firstLineChars="0"/>
              <w:jc w:val="center"/>
              <w:rPr>
                <w:rFonts w:ascii="宋体" w:hAnsi="宋体" w:cs="Courier New"/>
                <w:sz w:val="21"/>
                <w:szCs w:val="21"/>
              </w:rPr>
            </w:pPr>
          </w:p>
        </w:tc>
      </w:tr>
      <w:tr w14:paraId="35086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4460E3D0">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w:t>
            </w:r>
          </w:p>
        </w:tc>
        <w:tc>
          <w:tcPr>
            <w:tcW w:w="1200" w:type="pct"/>
            <w:gridSpan w:val="2"/>
            <w:shd w:val="clear" w:color="auto" w:fill="auto"/>
            <w:noWrap/>
            <w:vAlign w:val="center"/>
          </w:tcPr>
          <w:p w14:paraId="2E48B7C9">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金义高铁</w:t>
            </w:r>
          </w:p>
          <w:p w14:paraId="00063E1D">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（三四线）</w:t>
            </w:r>
          </w:p>
        </w:tc>
        <w:tc>
          <w:tcPr>
            <w:tcW w:w="1965" w:type="pct"/>
            <w:shd w:val="clear" w:color="auto" w:fill="auto"/>
            <w:noWrap/>
            <w:vAlign w:val="center"/>
          </w:tcPr>
          <w:p w14:paraId="51039C34">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新建线路长34约公里，投资约77.7亿元，设计时速350公里，其中金东区段14km</w:t>
            </w:r>
          </w:p>
        </w:tc>
        <w:tc>
          <w:tcPr>
            <w:tcW w:w="261" w:type="pct"/>
            <w:shd w:val="clear" w:color="auto" w:fill="auto"/>
            <w:noWrap/>
            <w:vAlign w:val="center"/>
          </w:tcPr>
          <w:p w14:paraId="45ED3D24">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新建</w:t>
            </w:r>
          </w:p>
        </w:tc>
        <w:tc>
          <w:tcPr>
            <w:tcW w:w="329" w:type="pct"/>
            <w:shd w:val="clear" w:color="auto" w:fill="auto"/>
            <w:vAlign w:val="center"/>
          </w:tcPr>
          <w:p w14:paraId="26F8081D">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2021-2024</w:t>
            </w:r>
          </w:p>
        </w:tc>
        <w:tc>
          <w:tcPr>
            <w:tcW w:w="395" w:type="pct"/>
            <w:shd w:val="clear" w:color="auto" w:fill="auto"/>
            <w:noWrap/>
            <w:vAlign w:val="center"/>
          </w:tcPr>
          <w:p w14:paraId="5A64CB4D">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30.8</w:t>
            </w:r>
          </w:p>
        </w:tc>
        <w:tc>
          <w:tcPr>
            <w:tcW w:w="429" w:type="pct"/>
            <w:shd w:val="clear" w:color="auto" w:fill="auto"/>
            <w:noWrap/>
            <w:vAlign w:val="center"/>
          </w:tcPr>
          <w:p w14:paraId="78698A61">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30.8</w:t>
            </w:r>
          </w:p>
        </w:tc>
        <w:tc>
          <w:tcPr>
            <w:tcW w:w="227" w:type="pct"/>
            <w:shd w:val="clear" w:color="auto" w:fill="auto"/>
            <w:noWrap/>
            <w:vAlign w:val="center"/>
          </w:tcPr>
          <w:p w14:paraId="20BD7FE9">
            <w:pPr>
              <w:widowControl/>
              <w:spacing w:line="360" w:lineRule="exact"/>
              <w:ind w:firstLine="0" w:firstLineChars="0"/>
              <w:jc w:val="center"/>
              <w:rPr>
                <w:rFonts w:ascii="宋体" w:hAnsi="宋体" w:cs="Courier New"/>
                <w:sz w:val="21"/>
                <w:szCs w:val="21"/>
              </w:rPr>
            </w:pPr>
          </w:p>
        </w:tc>
      </w:tr>
      <w:tr w14:paraId="171BC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046C70CA">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4</w:t>
            </w:r>
          </w:p>
        </w:tc>
        <w:tc>
          <w:tcPr>
            <w:tcW w:w="1200" w:type="pct"/>
            <w:gridSpan w:val="2"/>
            <w:shd w:val="clear" w:color="auto" w:fill="auto"/>
            <w:noWrap/>
            <w:vAlign w:val="center"/>
          </w:tcPr>
          <w:p w14:paraId="49D4AF04">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金建铁路（金东段）</w:t>
            </w:r>
          </w:p>
        </w:tc>
        <w:tc>
          <w:tcPr>
            <w:tcW w:w="1965" w:type="pct"/>
            <w:shd w:val="clear" w:color="auto" w:fill="auto"/>
            <w:noWrap/>
            <w:vAlign w:val="center"/>
          </w:tcPr>
          <w:p w14:paraId="03B79409">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金东区域内3.5km，基本上在原铁路上改建</w:t>
            </w:r>
          </w:p>
        </w:tc>
        <w:tc>
          <w:tcPr>
            <w:tcW w:w="261" w:type="pct"/>
            <w:shd w:val="clear" w:color="auto" w:fill="auto"/>
            <w:noWrap/>
            <w:vAlign w:val="center"/>
          </w:tcPr>
          <w:p w14:paraId="379FC649">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改建</w:t>
            </w:r>
          </w:p>
        </w:tc>
        <w:tc>
          <w:tcPr>
            <w:tcW w:w="329" w:type="pct"/>
            <w:shd w:val="clear" w:color="auto" w:fill="auto"/>
            <w:vAlign w:val="center"/>
          </w:tcPr>
          <w:p w14:paraId="634CEC1C">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2020-2023</w:t>
            </w:r>
          </w:p>
        </w:tc>
        <w:tc>
          <w:tcPr>
            <w:tcW w:w="395" w:type="pct"/>
            <w:shd w:val="clear" w:color="auto" w:fill="auto"/>
            <w:noWrap/>
            <w:vAlign w:val="center"/>
          </w:tcPr>
          <w:p w14:paraId="0F76C494">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3.5</w:t>
            </w:r>
          </w:p>
        </w:tc>
        <w:tc>
          <w:tcPr>
            <w:tcW w:w="429" w:type="pct"/>
            <w:shd w:val="clear" w:color="auto" w:fill="auto"/>
            <w:noWrap/>
            <w:vAlign w:val="center"/>
          </w:tcPr>
          <w:p w14:paraId="031EC68D">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3.2</w:t>
            </w:r>
          </w:p>
        </w:tc>
        <w:tc>
          <w:tcPr>
            <w:tcW w:w="227" w:type="pct"/>
            <w:shd w:val="clear" w:color="auto" w:fill="auto"/>
            <w:noWrap/>
            <w:vAlign w:val="center"/>
          </w:tcPr>
          <w:p w14:paraId="5A505DBF">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　</w:t>
            </w:r>
          </w:p>
        </w:tc>
      </w:tr>
      <w:tr w14:paraId="6B3A8B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94" w:type="pct"/>
            <w:tcBorders>
              <w:top w:val="single" w:color="auto" w:sz="4" w:space="0"/>
            </w:tcBorders>
            <w:shd w:val="clear" w:color="auto" w:fill="auto"/>
            <w:noWrap/>
            <w:vAlign w:val="center"/>
          </w:tcPr>
          <w:p w14:paraId="347F9B08">
            <w:pPr>
              <w:spacing w:line="360" w:lineRule="exact"/>
              <w:ind w:firstLine="0" w:firstLineChars="0"/>
              <w:jc w:val="center"/>
              <w:rPr>
                <w:rFonts w:ascii="宋体" w:hAnsi="宋体" w:cs="Courier New"/>
                <w:sz w:val="21"/>
                <w:szCs w:val="21"/>
              </w:rPr>
            </w:pPr>
            <w:r>
              <w:rPr>
                <w:rFonts w:hint="eastAsia" w:ascii="宋体" w:hAnsi="宋体" w:cs="Courier New"/>
                <w:sz w:val="21"/>
                <w:szCs w:val="21"/>
              </w:rPr>
              <w:t>5</w:t>
            </w:r>
          </w:p>
        </w:tc>
        <w:tc>
          <w:tcPr>
            <w:tcW w:w="1200" w:type="pct"/>
            <w:gridSpan w:val="2"/>
            <w:tcBorders>
              <w:top w:val="single" w:color="auto" w:sz="4" w:space="0"/>
            </w:tcBorders>
            <w:shd w:val="clear" w:color="auto" w:fill="auto"/>
            <w:noWrap/>
            <w:vAlign w:val="center"/>
          </w:tcPr>
          <w:p w14:paraId="6A809528">
            <w:pPr>
              <w:spacing w:line="360" w:lineRule="exact"/>
              <w:ind w:firstLine="0" w:firstLineChars="0"/>
              <w:jc w:val="center"/>
              <w:rPr>
                <w:rFonts w:ascii="宋体" w:hAnsi="宋体" w:cs="Courier New"/>
                <w:sz w:val="21"/>
                <w:szCs w:val="21"/>
              </w:rPr>
            </w:pPr>
            <w:r>
              <w:rPr>
                <w:rFonts w:hint="eastAsia" w:ascii="宋体" w:hAnsi="宋体" w:cs="Courier New"/>
                <w:sz w:val="21"/>
                <w:szCs w:val="21"/>
              </w:rPr>
              <w:t>金温货线金华南至永康段电气化改造工程</w:t>
            </w:r>
          </w:p>
        </w:tc>
        <w:tc>
          <w:tcPr>
            <w:tcW w:w="1965" w:type="pct"/>
            <w:tcBorders>
              <w:top w:val="single" w:color="auto" w:sz="4" w:space="0"/>
            </w:tcBorders>
            <w:shd w:val="clear" w:color="auto" w:fill="auto"/>
            <w:noWrap/>
            <w:vAlign w:val="center"/>
          </w:tcPr>
          <w:p w14:paraId="5E1BEB14">
            <w:pPr>
              <w:spacing w:line="360" w:lineRule="exact"/>
              <w:ind w:firstLine="420"/>
              <w:jc w:val="center"/>
              <w:rPr>
                <w:rFonts w:ascii="宋体" w:hAnsi="宋体" w:cs="Courier New"/>
                <w:sz w:val="21"/>
                <w:szCs w:val="21"/>
              </w:rPr>
            </w:pPr>
            <w:r>
              <w:rPr>
                <w:rFonts w:hint="eastAsia" w:ascii="宋体" w:hAnsi="宋体" w:cs="Courier New"/>
                <w:sz w:val="21"/>
                <w:szCs w:val="21"/>
              </w:rPr>
              <w:t>电气化线路长度46.9公里，其中原状电化22.8km、武义外迁12.4km、临时过渡后拆除11.7km</w:t>
            </w:r>
          </w:p>
        </w:tc>
        <w:tc>
          <w:tcPr>
            <w:tcW w:w="261" w:type="pct"/>
            <w:tcBorders>
              <w:top w:val="single" w:color="auto" w:sz="4" w:space="0"/>
            </w:tcBorders>
            <w:shd w:val="clear" w:color="auto" w:fill="auto"/>
            <w:noWrap/>
            <w:vAlign w:val="center"/>
          </w:tcPr>
          <w:p w14:paraId="6589BD0A">
            <w:pPr>
              <w:spacing w:line="360" w:lineRule="exact"/>
              <w:ind w:firstLine="0" w:firstLineChars="0"/>
              <w:rPr>
                <w:rFonts w:ascii="宋体" w:hAnsi="宋体" w:cs="Courier New"/>
                <w:sz w:val="21"/>
                <w:szCs w:val="21"/>
              </w:rPr>
            </w:pPr>
            <w:r>
              <w:rPr>
                <w:rFonts w:hint="eastAsia" w:ascii="宋体" w:hAnsi="宋体" w:cs="Courier New"/>
                <w:sz w:val="21"/>
                <w:szCs w:val="21"/>
              </w:rPr>
              <w:t>改造</w:t>
            </w:r>
          </w:p>
        </w:tc>
        <w:tc>
          <w:tcPr>
            <w:tcW w:w="329" w:type="pct"/>
            <w:tcBorders>
              <w:top w:val="single" w:color="auto" w:sz="4" w:space="0"/>
            </w:tcBorders>
            <w:shd w:val="clear" w:color="auto" w:fill="auto"/>
            <w:vAlign w:val="center"/>
          </w:tcPr>
          <w:p w14:paraId="2DA94D16">
            <w:pPr>
              <w:spacing w:line="360" w:lineRule="exact"/>
              <w:ind w:firstLine="0" w:firstLineChars="0"/>
              <w:rPr>
                <w:rFonts w:ascii="宋体" w:hAnsi="宋体" w:cs="Courier New"/>
                <w:sz w:val="21"/>
                <w:szCs w:val="21"/>
              </w:rPr>
            </w:pPr>
            <w:r>
              <w:rPr>
                <w:rFonts w:hint="eastAsia" w:ascii="宋体" w:hAnsi="宋体" w:cs="Courier New"/>
                <w:sz w:val="21"/>
                <w:szCs w:val="21"/>
              </w:rPr>
              <w:t>2020-2023</w:t>
            </w:r>
          </w:p>
        </w:tc>
        <w:tc>
          <w:tcPr>
            <w:tcW w:w="395" w:type="pct"/>
            <w:tcBorders>
              <w:top w:val="single" w:color="auto" w:sz="4" w:space="0"/>
            </w:tcBorders>
            <w:shd w:val="clear" w:color="auto" w:fill="auto"/>
            <w:noWrap/>
            <w:vAlign w:val="center"/>
          </w:tcPr>
          <w:p w14:paraId="0802DD44">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21.7</w:t>
            </w:r>
          </w:p>
        </w:tc>
        <w:tc>
          <w:tcPr>
            <w:tcW w:w="429" w:type="pct"/>
            <w:tcBorders>
              <w:top w:val="single" w:color="auto" w:sz="4" w:space="0"/>
            </w:tcBorders>
            <w:shd w:val="clear" w:color="auto" w:fill="auto"/>
            <w:noWrap/>
            <w:vAlign w:val="center"/>
          </w:tcPr>
          <w:p w14:paraId="2BB06FC1">
            <w:pPr>
              <w:widowControl/>
              <w:spacing w:line="360" w:lineRule="exact"/>
              <w:ind w:firstLine="0" w:firstLineChars="0"/>
              <w:jc w:val="center"/>
              <w:rPr>
                <w:rFonts w:ascii="宋体" w:hAnsi="宋体" w:cs="Courier New"/>
                <w:color w:val="FF0000"/>
                <w:sz w:val="21"/>
                <w:szCs w:val="21"/>
              </w:rPr>
            </w:pPr>
            <w:r>
              <w:rPr>
                <w:rFonts w:ascii="宋体" w:hAnsi="宋体" w:cs="Courier New"/>
                <w:sz w:val="21"/>
                <w:szCs w:val="21"/>
              </w:rPr>
              <w:t>5</w:t>
            </w:r>
          </w:p>
        </w:tc>
        <w:tc>
          <w:tcPr>
            <w:tcW w:w="227" w:type="pct"/>
            <w:tcBorders>
              <w:top w:val="single" w:color="auto" w:sz="4" w:space="0"/>
            </w:tcBorders>
            <w:shd w:val="clear" w:color="auto" w:fill="auto"/>
            <w:noWrap/>
            <w:vAlign w:val="center"/>
          </w:tcPr>
          <w:p w14:paraId="113049FC">
            <w:pPr>
              <w:spacing w:line="360" w:lineRule="exact"/>
              <w:ind w:firstLine="420"/>
              <w:jc w:val="center"/>
              <w:rPr>
                <w:rFonts w:ascii="宋体" w:hAnsi="宋体" w:cs="Courier New"/>
                <w:sz w:val="21"/>
                <w:szCs w:val="21"/>
              </w:rPr>
            </w:pPr>
            <w:r>
              <w:rPr>
                <w:rFonts w:hint="eastAsia" w:ascii="宋体" w:hAnsi="宋体" w:cs="Courier New"/>
                <w:sz w:val="21"/>
                <w:szCs w:val="21"/>
              </w:rPr>
              <w:t>　</w:t>
            </w:r>
          </w:p>
        </w:tc>
      </w:tr>
      <w:tr w14:paraId="2B0F4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3949" w:type="pct"/>
            <w:gridSpan w:val="6"/>
            <w:shd w:val="clear" w:color="auto" w:fill="DBE5F1" w:themeFill="accent1" w:themeFillTint="33"/>
            <w:noWrap/>
            <w:vAlign w:val="center"/>
          </w:tcPr>
          <w:p w14:paraId="41FB1092">
            <w:pPr>
              <w:spacing w:line="360" w:lineRule="exact"/>
              <w:ind w:firstLine="422"/>
              <w:jc w:val="center"/>
              <w:rPr>
                <w:rFonts w:ascii="宋体" w:hAnsi="宋体" w:cs="Courier New"/>
                <w:b/>
                <w:sz w:val="21"/>
                <w:szCs w:val="21"/>
              </w:rPr>
            </w:pPr>
            <w:r>
              <w:rPr>
                <w:rFonts w:hint="eastAsia" w:ascii="宋体" w:hAnsi="宋体" w:cs="Courier New"/>
                <w:b/>
                <w:sz w:val="21"/>
                <w:szCs w:val="21"/>
              </w:rPr>
              <w:t>合计</w:t>
            </w:r>
          </w:p>
        </w:tc>
        <w:tc>
          <w:tcPr>
            <w:tcW w:w="395" w:type="pct"/>
            <w:shd w:val="clear" w:color="auto" w:fill="DBE5F1" w:themeFill="accent1" w:themeFillTint="33"/>
            <w:noWrap/>
            <w:vAlign w:val="center"/>
          </w:tcPr>
          <w:p w14:paraId="32C89608">
            <w:pPr>
              <w:spacing w:line="360" w:lineRule="exact"/>
              <w:ind w:firstLine="0" w:firstLineChars="0"/>
              <w:jc w:val="center"/>
              <w:rPr>
                <w:rFonts w:ascii="宋体" w:hAnsi="宋体" w:cs="Courier New"/>
                <w:b/>
                <w:sz w:val="21"/>
                <w:szCs w:val="21"/>
              </w:rPr>
            </w:pPr>
            <w:r>
              <w:rPr>
                <w:rFonts w:hint="eastAsia" w:ascii="宋体" w:hAnsi="宋体" w:cs="Courier New"/>
                <w:b/>
                <w:sz w:val="21"/>
                <w:szCs w:val="21"/>
              </w:rPr>
              <w:t>147.57</w:t>
            </w:r>
          </w:p>
        </w:tc>
        <w:tc>
          <w:tcPr>
            <w:tcW w:w="429" w:type="pct"/>
            <w:shd w:val="clear" w:color="auto" w:fill="DBE5F1" w:themeFill="accent1" w:themeFillTint="33"/>
            <w:noWrap/>
            <w:vAlign w:val="center"/>
          </w:tcPr>
          <w:p w14:paraId="71906C75">
            <w:pPr>
              <w:spacing w:line="360" w:lineRule="exact"/>
              <w:ind w:firstLine="0" w:firstLineChars="0"/>
              <w:jc w:val="center"/>
              <w:rPr>
                <w:rFonts w:ascii="宋体" w:hAnsi="宋体" w:cs="Courier New"/>
                <w:b/>
                <w:sz w:val="21"/>
                <w:szCs w:val="21"/>
              </w:rPr>
            </w:pPr>
            <w:r>
              <w:rPr>
                <w:rFonts w:hint="eastAsia" w:ascii="宋体" w:hAnsi="宋体" w:cs="Courier New"/>
                <w:b/>
                <w:sz w:val="21"/>
                <w:szCs w:val="21"/>
              </w:rPr>
              <w:t>88.94</w:t>
            </w:r>
          </w:p>
        </w:tc>
        <w:tc>
          <w:tcPr>
            <w:tcW w:w="227" w:type="pct"/>
            <w:shd w:val="clear" w:color="auto" w:fill="DBE5F1" w:themeFill="accent1" w:themeFillTint="33"/>
            <w:noWrap/>
            <w:vAlign w:val="center"/>
          </w:tcPr>
          <w:p w14:paraId="7E5CE63A">
            <w:pPr>
              <w:spacing w:line="360" w:lineRule="exact"/>
              <w:ind w:firstLine="422"/>
              <w:jc w:val="center"/>
              <w:rPr>
                <w:rFonts w:ascii="宋体" w:hAnsi="宋体" w:cs="Courier New"/>
                <w:b/>
                <w:sz w:val="21"/>
                <w:szCs w:val="21"/>
              </w:rPr>
            </w:pPr>
          </w:p>
        </w:tc>
      </w:tr>
      <w:tr w14:paraId="649D7D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425202C3">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6</w:t>
            </w:r>
          </w:p>
        </w:tc>
        <w:tc>
          <w:tcPr>
            <w:tcW w:w="729" w:type="pct"/>
            <w:shd w:val="clear" w:color="auto" w:fill="auto"/>
            <w:noWrap/>
            <w:vAlign w:val="center"/>
          </w:tcPr>
          <w:p w14:paraId="6EA7414A">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金甬（金台）城际</w:t>
            </w:r>
          </w:p>
        </w:tc>
        <w:tc>
          <w:tcPr>
            <w:tcW w:w="2435" w:type="pct"/>
            <w:gridSpan w:val="2"/>
            <w:shd w:val="clear" w:color="auto" w:fill="auto"/>
            <w:noWrap/>
            <w:vAlign w:val="center"/>
          </w:tcPr>
          <w:p w14:paraId="4D763A87">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　金华至台州城际铁路线路由金义三四线金义高铁站起点，接宁波至台州沿海高铁，线路长约158.2公里，设计时速350公里</w:t>
            </w:r>
            <w:bookmarkStart w:id="44" w:name="_GoBack"/>
            <w:bookmarkEnd w:id="44"/>
            <w:r>
              <w:rPr>
                <w:rFonts w:hint="eastAsia" w:ascii="宋体" w:hAnsi="宋体" w:cs="Courier New"/>
                <w:sz w:val="21"/>
                <w:szCs w:val="21"/>
              </w:rPr>
              <w:t>,投资估算约276.5亿元。</w:t>
            </w:r>
          </w:p>
        </w:tc>
        <w:tc>
          <w:tcPr>
            <w:tcW w:w="261" w:type="pct"/>
            <w:shd w:val="clear" w:color="auto" w:fill="auto"/>
            <w:noWrap/>
            <w:vAlign w:val="center"/>
          </w:tcPr>
          <w:p w14:paraId="19923F54">
            <w:pPr>
              <w:widowControl/>
              <w:spacing w:line="360" w:lineRule="exact"/>
              <w:ind w:firstLine="0" w:firstLineChars="0"/>
              <w:jc w:val="center"/>
              <w:rPr>
                <w:rFonts w:ascii="宋体" w:hAnsi="宋体" w:cs="Courier New"/>
                <w:sz w:val="21"/>
                <w:szCs w:val="21"/>
              </w:rPr>
            </w:pPr>
          </w:p>
        </w:tc>
        <w:tc>
          <w:tcPr>
            <w:tcW w:w="329" w:type="pct"/>
            <w:shd w:val="clear" w:color="auto" w:fill="auto"/>
            <w:vAlign w:val="center"/>
          </w:tcPr>
          <w:p w14:paraId="5D3C3A52">
            <w:pPr>
              <w:widowControl/>
              <w:spacing w:line="360" w:lineRule="exact"/>
              <w:ind w:firstLine="0" w:firstLineChars="0"/>
              <w:jc w:val="center"/>
              <w:rPr>
                <w:rFonts w:ascii="宋体" w:hAnsi="宋体" w:cs="Courier New"/>
                <w:sz w:val="21"/>
                <w:szCs w:val="21"/>
              </w:rPr>
            </w:pPr>
            <w:r>
              <w:rPr>
                <w:rFonts w:ascii="宋体" w:hAnsi="宋体" w:cs="Courier New"/>
                <w:sz w:val="21"/>
                <w:szCs w:val="21"/>
              </w:rPr>
              <w:t>2020-2022</w:t>
            </w:r>
          </w:p>
        </w:tc>
        <w:tc>
          <w:tcPr>
            <w:tcW w:w="395" w:type="pct"/>
            <w:shd w:val="clear" w:color="auto" w:fill="auto"/>
            <w:noWrap/>
            <w:vAlign w:val="center"/>
          </w:tcPr>
          <w:p w14:paraId="3135B888">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276.5</w:t>
            </w:r>
          </w:p>
        </w:tc>
        <w:tc>
          <w:tcPr>
            <w:tcW w:w="429" w:type="pct"/>
            <w:shd w:val="clear" w:color="auto" w:fill="auto"/>
            <w:noWrap/>
            <w:vAlign w:val="center"/>
          </w:tcPr>
          <w:p w14:paraId="6158B690">
            <w:pPr>
              <w:widowControl/>
              <w:spacing w:line="360" w:lineRule="exact"/>
              <w:ind w:firstLine="0" w:firstLineChars="0"/>
              <w:jc w:val="center"/>
              <w:rPr>
                <w:rFonts w:ascii="宋体" w:hAnsi="宋体" w:cs="Courier New"/>
                <w:sz w:val="21"/>
                <w:szCs w:val="21"/>
              </w:rPr>
            </w:pPr>
          </w:p>
        </w:tc>
        <w:tc>
          <w:tcPr>
            <w:tcW w:w="227" w:type="pct"/>
            <w:shd w:val="clear" w:color="auto" w:fill="auto"/>
            <w:noWrap/>
            <w:vAlign w:val="center"/>
          </w:tcPr>
          <w:p w14:paraId="00F43BC8">
            <w:pPr>
              <w:widowControl/>
              <w:spacing w:line="360" w:lineRule="exact"/>
              <w:ind w:firstLine="0" w:firstLineChars="0"/>
              <w:rPr>
                <w:rFonts w:ascii="宋体" w:hAnsi="宋体" w:cs="Courier New"/>
                <w:sz w:val="21"/>
                <w:szCs w:val="21"/>
              </w:rPr>
            </w:pPr>
            <w:r>
              <w:rPr>
                <w:rFonts w:hint="eastAsia" w:ascii="宋体" w:hAnsi="宋体" w:cs="Courier New"/>
                <w:sz w:val="21"/>
                <w:szCs w:val="21"/>
              </w:rPr>
              <w:t>谋划研究</w:t>
            </w:r>
          </w:p>
        </w:tc>
      </w:tr>
      <w:tr w14:paraId="4D28BE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16747809">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7</w:t>
            </w:r>
          </w:p>
        </w:tc>
        <w:tc>
          <w:tcPr>
            <w:tcW w:w="729" w:type="pct"/>
            <w:shd w:val="clear" w:color="auto" w:fill="auto"/>
            <w:noWrap/>
            <w:vAlign w:val="center"/>
          </w:tcPr>
          <w:p w14:paraId="177D2B20">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杭丽铁路</w:t>
            </w:r>
          </w:p>
        </w:tc>
        <w:tc>
          <w:tcPr>
            <w:tcW w:w="2435" w:type="pct"/>
            <w:gridSpan w:val="2"/>
            <w:shd w:val="clear" w:color="auto" w:fill="auto"/>
            <w:noWrap/>
            <w:vAlign w:val="center"/>
          </w:tcPr>
          <w:p w14:paraId="72795866">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线路自丽水缙云引出，经永康、金义新区（金东），接入规划高铁金义站，新建线路全长约62公里，投资估算约76亿元。</w:t>
            </w:r>
          </w:p>
        </w:tc>
        <w:tc>
          <w:tcPr>
            <w:tcW w:w="261" w:type="pct"/>
            <w:shd w:val="clear" w:color="auto" w:fill="auto"/>
            <w:noWrap/>
            <w:vAlign w:val="center"/>
          </w:tcPr>
          <w:p w14:paraId="40408AB0">
            <w:pPr>
              <w:widowControl/>
              <w:spacing w:line="360" w:lineRule="exact"/>
              <w:ind w:firstLine="0" w:firstLineChars="0"/>
              <w:jc w:val="center"/>
              <w:rPr>
                <w:rFonts w:ascii="宋体" w:hAnsi="宋体" w:cs="Courier New"/>
                <w:sz w:val="21"/>
                <w:szCs w:val="21"/>
              </w:rPr>
            </w:pPr>
          </w:p>
        </w:tc>
        <w:tc>
          <w:tcPr>
            <w:tcW w:w="329" w:type="pct"/>
            <w:shd w:val="clear" w:color="auto" w:fill="auto"/>
            <w:vAlign w:val="center"/>
          </w:tcPr>
          <w:p w14:paraId="083EE75C">
            <w:pPr>
              <w:widowControl/>
              <w:spacing w:line="360" w:lineRule="exact"/>
              <w:ind w:firstLine="0" w:firstLineChars="0"/>
              <w:jc w:val="center"/>
              <w:rPr>
                <w:rFonts w:ascii="宋体" w:hAnsi="宋体" w:cs="Courier New"/>
                <w:sz w:val="21"/>
                <w:szCs w:val="21"/>
              </w:rPr>
            </w:pPr>
          </w:p>
        </w:tc>
        <w:tc>
          <w:tcPr>
            <w:tcW w:w="395" w:type="pct"/>
            <w:shd w:val="clear" w:color="auto" w:fill="auto"/>
            <w:noWrap/>
            <w:vAlign w:val="center"/>
          </w:tcPr>
          <w:p w14:paraId="59747C32">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76</w:t>
            </w:r>
          </w:p>
        </w:tc>
        <w:tc>
          <w:tcPr>
            <w:tcW w:w="429" w:type="pct"/>
            <w:shd w:val="clear" w:color="auto" w:fill="auto"/>
            <w:noWrap/>
            <w:vAlign w:val="center"/>
          </w:tcPr>
          <w:p w14:paraId="72FCBA93">
            <w:pPr>
              <w:widowControl/>
              <w:spacing w:line="360" w:lineRule="exact"/>
              <w:ind w:firstLine="0" w:firstLineChars="0"/>
              <w:jc w:val="center"/>
              <w:rPr>
                <w:rFonts w:ascii="宋体" w:hAnsi="宋体" w:cs="Courier New"/>
                <w:sz w:val="21"/>
                <w:szCs w:val="21"/>
              </w:rPr>
            </w:pPr>
          </w:p>
        </w:tc>
        <w:tc>
          <w:tcPr>
            <w:tcW w:w="227" w:type="pct"/>
            <w:shd w:val="clear" w:color="auto" w:fill="auto"/>
            <w:noWrap/>
            <w:vAlign w:val="center"/>
          </w:tcPr>
          <w:p w14:paraId="1B0FE039">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谋划研究</w:t>
            </w:r>
          </w:p>
        </w:tc>
      </w:tr>
      <w:tr w14:paraId="228E5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 w:type="pct"/>
            <w:shd w:val="clear" w:color="auto" w:fill="auto"/>
            <w:noWrap/>
            <w:vAlign w:val="center"/>
          </w:tcPr>
          <w:p w14:paraId="6663032C">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8</w:t>
            </w:r>
          </w:p>
        </w:tc>
        <w:tc>
          <w:tcPr>
            <w:tcW w:w="729" w:type="pct"/>
            <w:shd w:val="clear" w:color="auto" w:fill="auto"/>
            <w:noWrap/>
            <w:vAlign w:val="center"/>
          </w:tcPr>
          <w:p w14:paraId="32135881">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沪杭金磁悬浮</w:t>
            </w:r>
          </w:p>
        </w:tc>
        <w:tc>
          <w:tcPr>
            <w:tcW w:w="2435" w:type="pct"/>
            <w:gridSpan w:val="2"/>
            <w:shd w:val="clear" w:color="auto" w:fill="auto"/>
            <w:noWrap/>
            <w:vAlign w:val="center"/>
          </w:tcPr>
          <w:p w14:paraId="035D4C63">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　沿G60走廊带，谋划将上海至杭州高速磁悬浮延伸至金华，设计时速600公里／小时，全长约134.2公里，估算投资640亿元。</w:t>
            </w:r>
          </w:p>
        </w:tc>
        <w:tc>
          <w:tcPr>
            <w:tcW w:w="261" w:type="pct"/>
            <w:shd w:val="clear" w:color="auto" w:fill="auto"/>
            <w:noWrap/>
            <w:vAlign w:val="center"/>
          </w:tcPr>
          <w:p w14:paraId="30A43BE3">
            <w:pPr>
              <w:widowControl/>
              <w:spacing w:line="360" w:lineRule="exact"/>
              <w:ind w:firstLine="0" w:firstLineChars="0"/>
              <w:jc w:val="center"/>
              <w:rPr>
                <w:rFonts w:ascii="宋体" w:hAnsi="宋体" w:cs="Courier New"/>
                <w:sz w:val="21"/>
                <w:szCs w:val="21"/>
              </w:rPr>
            </w:pPr>
          </w:p>
        </w:tc>
        <w:tc>
          <w:tcPr>
            <w:tcW w:w="329" w:type="pct"/>
            <w:shd w:val="clear" w:color="auto" w:fill="auto"/>
            <w:vAlign w:val="center"/>
          </w:tcPr>
          <w:p w14:paraId="2B4CB9DF">
            <w:pPr>
              <w:widowControl/>
              <w:spacing w:line="360" w:lineRule="exact"/>
              <w:ind w:firstLine="0" w:firstLineChars="0"/>
              <w:jc w:val="center"/>
              <w:rPr>
                <w:rFonts w:ascii="宋体" w:hAnsi="宋体" w:cs="Courier New"/>
                <w:sz w:val="21"/>
                <w:szCs w:val="21"/>
              </w:rPr>
            </w:pPr>
            <w:r>
              <w:rPr>
                <w:rFonts w:ascii="宋体" w:hAnsi="宋体" w:cs="Courier New"/>
                <w:sz w:val="21"/>
                <w:szCs w:val="21"/>
              </w:rPr>
              <w:t>2020-2022</w:t>
            </w:r>
          </w:p>
        </w:tc>
        <w:tc>
          <w:tcPr>
            <w:tcW w:w="395" w:type="pct"/>
            <w:shd w:val="clear" w:color="auto" w:fill="auto"/>
            <w:noWrap/>
            <w:vAlign w:val="center"/>
          </w:tcPr>
          <w:p w14:paraId="2EC99015">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640</w:t>
            </w:r>
          </w:p>
        </w:tc>
        <w:tc>
          <w:tcPr>
            <w:tcW w:w="429" w:type="pct"/>
            <w:shd w:val="clear" w:color="auto" w:fill="auto"/>
            <w:noWrap/>
            <w:vAlign w:val="center"/>
          </w:tcPr>
          <w:p w14:paraId="5ED54614">
            <w:pPr>
              <w:widowControl/>
              <w:spacing w:line="360" w:lineRule="exact"/>
              <w:ind w:firstLine="0" w:firstLineChars="0"/>
              <w:jc w:val="center"/>
              <w:rPr>
                <w:rFonts w:ascii="宋体" w:hAnsi="宋体" w:cs="Courier New"/>
                <w:sz w:val="21"/>
                <w:szCs w:val="21"/>
              </w:rPr>
            </w:pPr>
          </w:p>
        </w:tc>
        <w:tc>
          <w:tcPr>
            <w:tcW w:w="227" w:type="pct"/>
            <w:shd w:val="clear" w:color="auto" w:fill="auto"/>
            <w:noWrap/>
            <w:vAlign w:val="center"/>
          </w:tcPr>
          <w:p w14:paraId="380AD893">
            <w:pPr>
              <w:widowControl/>
              <w:spacing w:line="360" w:lineRule="exact"/>
              <w:ind w:firstLine="0" w:firstLineChars="0"/>
              <w:jc w:val="center"/>
              <w:rPr>
                <w:rFonts w:ascii="宋体" w:hAnsi="宋体" w:cs="Courier New"/>
                <w:sz w:val="21"/>
                <w:szCs w:val="21"/>
              </w:rPr>
            </w:pPr>
            <w:r>
              <w:rPr>
                <w:rFonts w:hint="eastAsia" w:ascii="宋体" w:hAnsi="宋体" w:cs="Courier New"/>
                <w:sz w:val="21"/>
                <w:szCs w:val="21"/>
              </w:rPr>
              <w:t>谋划研究</w:t>
            </w:r>
          </w:p>
        </w:tc>
      </w:tr>
    </w:tbl>
    <w:p w14:paraId="0C94D26B">
      <w:pPr>
        <w:ind w:firstLine="0" w:firstLineChars="0"/>
        <w:rPr>
          <w:szCs w:val="28"/>
        </w:rPr>
      </w:pPr>
    </w:p>
    <w:p w14:paraId="6340F716">
      <w:pPr>
        <w:pStyle w:val="6"/>
        <w:ind w:firstLine="643"/>
        <w:rPr>
          <w:sz w:val="32"/>
        </w:rPr>
      </w:pPr>
      <w:r>
        <w:rPr>
          <w:rFonts w:hint="eastAsia"/>
          <w:sz w:val="32"/>
        </w:rPr>
        <w:t>2</w:t>
      </w:r>
      <w:r>
        <w:rPr>
          <w:sz w:val="32"/>
        </w:rPr>
        <w:t>.公路</w:t>
      </w:r>
      <w:r>
        <w:rPr>
          <w:rFonts w:hint="eastAsia"/>
          <w:sz w:val="32"/>
        </w:rPr>
        <w:t>畅通工程</w:t>
      </w:r>
    </w:p>
    <w:p w14:paraId="6871DC74">
      <w:pPr>
        <w:pStyle w:val="34"/>
        <w:ind w:firstLine="643"/>
        <w:rPr>
          <w:rFonts w:ascii="Times New Roman"/>
          <w:b/>
        </w:rPr>
      </w:pPr>
      <w:r>
        <w:rPr>
          <w:rFonts w:hint="eastAsia" w:ascii="Times New Roman"/>
          <w:b/>
        </w:rPr>
        <w:t>（1）高速公路</w:t>
      </w:r>
    </w:p>
    <w:p w14:paraId="510F05AD">
      <w:pPr>
        <w:pStyle w:val="34"/>
        <w:rPr>
          <w:rFonts w:ascii="Times New Roman"/>
        </w:rPr>
      </w:pPr>
      <w:r>
        <w:rPr>
          <w:rFonts w:hint="eastAsia" w:ascii="Times New Roman"/>
        </w:rPr>
        <w:t>“十四五”期间，金义新区进一步完善高速公路骨架网络，加密补充对外高速公路，重点实施甬金衢上高速公路工程、续建建金高速、增设金丽温高速公铁联运港区块互通。重点建设高速公路项目</w:t>
      </w:r>
      <w:r>
        <w:rPr>
          <w:rFonts w:ascii="Times New Roman"/>
        </w:rPr>
        <w:t>3</w:t>
      </w:r>
      <w:r>
        <w:rPr>
          <w:rFonts w:hint="eastAsia" w:ascii="Times New Roman"/>
        </w:rPr>
        <w:t>个，项目总投资</w:t>
      </w:r>
      <w:r>
        <w:rPr>
          <w:rFonts w:ascii="Times New Roman"/>
        </w:rPr>
        <w:t>76.4</w:t>
      </w:r>
      <w:r>
        <w:rPr>
          <w:rFonts w:hint="eastAsia" w:ascii="Times New Roman"/>
        </w:rPr>
        <w:t>亿元，“十四五”规划完成投资</w:t>
      </w:r>
      <w:r>
        <w:rPr>
          <w:rFonts w:ascii="Times New Roman"/>
        </w:rPr>
        <w:t>16.4</w:t>
      </w:r>
      <w:r>
        <w:rPr>
          <w:rFonts w:hint="eastAsia" w:ascii="Times New Roman"/>
        </w:rPr>
        <w:t>亿元。其主要项目详见表</w:t>
      </w:r>
      <w:r>
        <w:rPr>
          <w:rFonts w:ascii="Times New Roman"/>
        </w:rPr>
        <w:t>5-2</w:t>
      </w:r>
      <w:r>
        <w:rPr>
          <w:rFonts w:hint="eastAsia" w:ascii="Times New Roman"/>
        </w:rPr>
        <w:t>：</w:t>
      </w:r>
    </w:p>
    <w:p w14:paraId="44C4274A">
      <w:pPr>
        <w:pStyle w:val="34"/>
        <w:ind w:firstLine="643"/>
        <w:rPr>
          <w:rFonts w:ascii="Times New Roman"/>
        </w:rPr>
      </w:pPr>
      <w:r>
        <w:rPr>
          <w:rFonts w:hint="eastAsia" w:ascii="Times New Roman"/>
          <w:b/>
        </w:rPr>
        <w:t>G25长深高速浙江建德至金华段（包含增设曹宅互通）：</w:t>
      </w:r>
      <w:r>
        <w:rPr>
          <w:rFonts w:hint="eastAsia" w:ascii="Times New Roman"/>
        </w:rPr>
        <w:t>建金高速是国家高速公路网长春至深圳高速公路（G25）的重要组成部分，“十四五”期间增设曹宅互通立交，线路全长2.6公里，总投资3.4亿元。</w:t>
      </w:r>
      <w:r>
        <w:rPr>
          <w:rFonts w:ascii="Times New Roman"/>
        </w:rPr>
        <w:t>加快推进金建高速公路建设，贯通国家高速公路主通道</w:t>
      </w:r>
      <w:r>
        <w:rPr>
          <w:rFonts w:hint="eastAsia" w:ascii="Times New Roman"/>
        </w:rPr>
        <w:t>，强化金华、杭州两大都市区之间的多路连通，提升金华对周边城镇的辐射能力。</w:t>
      </w:r>
    </w:p>
    <w:p w14:paraId="288D54BB">
      <w:pPr>
        <w:pStyle w:val="34"/>
        <w:ind w:firstLine="643"/>
      </w:pPr>
      <w:r>
        <w:rPr>
          <w:rFonts w:hint="eastAsia"/>
          <w:b/>
        </w:rPr>
        <w:t>规划甬金衢上高速：</w:t>
      </w:r>
      <w:r>
        <w:rPr>
          <w:rFonts w:hint="eastAsia"/>
        </w:rPr>
        <w:t>甬金衢上高速公路位于浙江、江西两省，涉金华（义乌市、金东区、婺城区）、衢州（龙游县、衢江区、柯城区、江山市）、上饶（广丰区）三市，项目所在区域是义甬舟开放大通道核心区域及对内辐射主要腹地。本项目建设一方面可完善沪瑞国家运输大通道高速路网布局，缓解甬金高速及杭金衢高速交通压力，另一方面可形成一条新的交通物流和产业通道，加快义甬舟开放大通道建设，并实现通道向衢州及江西等腹地区域的辐射。项目建设可进一步强化衢州、上饶及赣南等内陆腹地区域与义乌国际路港及宁波舟山港的互联互通，强化长江经济带（南片）横贯东西、通江达海格局。项目计划总投资约70亿元。</w:t>
      </w:r>
    </w:p>
    <w:p w14:paraId="0717CF98">
      <w:pPr>
        <w:pStyle w:val="34"/>
        <w:ind w:firstLine="643"/>
        <w:rPr>
          <w:rFonts w:ascii="Times New Roman"/>
          <w:b/>
        </w:rPr>
      </w:pPr>
      <w:r>
        <w:rPr>
          <w:rFonts w:hint="eastAsia" w:ascii="Times New Roman"/>
          <w:b/>
        </w:rPr>
        <w:t>（2）普通公路</w:t>
      </w:r>
    </w:p>
    <w:p w14:paraId="31B24414">
      <w:pPr>
        <w:pStyle w:val="34"/>
        <w:rPr>
          <w:rFonts w:ascii="Times New Roman"/>
        </w:rPr>
      </w:pPr>
      <w:r>
        <w:rPr>
          <w:rFonts w:hint="eastAsia" w:ascii="Times New Roman"/>
        </w:rPr>
        <w:t>“十四五”期间，按照金华市美丽公路的要求，以提升公路网总体服务水平为目标，致力于整体路网的改善工作，金义新区（金东）共推进国省道及重要县道项目共</w:t>
      </w:r>
      <w:r>
        <w:rPr>
          <w:rFonts w:ascii="Times New Roman"/>
        </w:rPr>
        <w:t>6</w:t>
      </w:r>
      <w:r>
        <w:rPr>
          <w:rFonts w:hint="eastAsia" w:ascii="Times New Roman"/>
        </w:rPr>
        <w:t>个规划总投资</w:t>
      </w:r>
      <w:r>
        <w:rPr>
          <w:rFonts w:ascii="Times New Roman"/>
        </w:rPr>
        <w:t>91.08</w:t>
      </w:r>
      <w:r>
        <w:rPr>
          <w:rFonts w:hint="eastAsia" w:ascii="Times New Roman"/>
        </w:rPr>
        <w:t>亿元，“十四五”规划完成投资</w:t>
      </w:r>
      <w:r>
        <w:rPr>
          <w:rFonts w:ascii="Times New Roman"/>
        </w:rPr>
        <w:t>65</w:t>
      </w:r>
      <w:r>
        <w:rPr>
          <w:rFonts w:hint="eastAsia" w:ascii="Times New Roman"/>
        </w:rPr>
        <w:t>亿元。</w:t>
      </w:r>
    </w:p>
    <w:p w14:paraId="2E84BE58">
      <w:pPr>
        <w:pStyle w:val="34"/>
        <w:ind w:firstLine="643"/>
        <w:rPr>
          <w:rFonts w:ascii="Times New Roman"/>
        </w:rPr>
      </w:pPr>
      <w:r>
        <w:rPr>
          <w:rFonts w:hint="eastAsia" w:ascii="Times New Roman"/>
          <w:b/>
        </w:rPr>
        <w:t>G235国道金义新区（金东）段安里至楼店段公路工程：</w:t>
      </w:r>
      <w:r>
        <w:rPr>
          <w:rFonts w:hint="eastAsia" w:ascii="Times New Roman"/>
        </w:rPr>
        <w:t>项目路线主线全长23.185km，主线采用双向八车道，一级公路标准设计，全线共设立体互通6处。</w:t>
      </w:r>
    </w:p>
    <w:p w14:paraId="42E1558B">
      <w:pPr>
        <w:pStyle w:val="34"/>
        <w:ind w:firstLine="643"/>
        <w:rPr>
          <w:rFonts w:ascii="Times New Roman"/>
        </w:rPr>
      </w:pPr>
      <w:r>
        <w:rPr>
          <w:rFonts w:hint="eastAsia" w:ascii="Times New Roman"/>
          <w:b/>
        </w:rPr>
        <w:t>G235国道东二环段提升工程：</w:t>
      </w:r>
      <w:r>
        <w:rPr>
          <w:rFonts w:hint="eastAsia" w:ascii="Times New Roman"/>
        </w:rPr>
        <w:t>路线全长约6公里，双向六车道，公路一级，高架桥方案。</w:t>
      </w:r>
    </w:p>
    <w:p w14:paraId="08655A61">
      <w:pPr>
        <w:ind w:firstLine="643"/>
      </w:pPr>
      <w:r>
        <w:rPr>
          <w:rFonts w:hint="eastAsia" w:eastAsia="仿宋_GB2312"/>
          <w:b/>
          <w:sz w:val="32"/>
          <w:szCs w:val="30"/>
        </w:rPr>
        <w:t>G330国道330国道金东岭下朱包村至十八里立交桥段提升工程：</w:t>
      </w:r>
      <w:r>
        <w:rPr>
          <w:rFonts w:hint="eastAsia" w:eastAsia="仿宋_GB2312"/>
          <w:sz w:val="32"/>
          <w:szCs w:val="30"/>
        </w:rPr>
        <w:t>线路全长13.08公里，公路一级，双向六车道。雅湖至十八里立交段计划2020年开工建设。</w:t>
      </w:r>
    </w:p>
    <w:p w14:paraId="797D3218">
      <w:pPr>
        <w:pStyle w:val="34"/>
        <w:ind w:firstLine="643"/>
        <w:rPr>
          <w:rFonts w:ascii="Times New Roman"/>
        </w:rPr>
      </w:pPr>
      <w:r>
        <w:rPr>
          <w:rFonts w:hint="eastAsia" w:ascii="Times New Roman"/>
          <w:b/>
        </w:rPr>
        <w:t>建金高速曹宅互通—甬金衢上高速连接线（曹塘澧公路提升）：</w:t>
      </w:r>
      <w:r>
        <w:rPr>
          <w:rFonts w:hint="eastAsia" w:ascii="Times New Roman"/>
        </w:rPr>
        <w:t>项目线路全长17.85公里，公路一级，双向六车道加辅车道。项目分两期十四五实施澧浦互通至330国道段约5.8公里。曹宅至澧浦段拓宽于十五五期间实施，争取纳入规划S315三门—龙游省道项目。</w:t>
      </w:r>
    </w:p>
    <w:p w14:paraId="34CA9EAC">
      <w:pPr>
        <w:spacing w:line="360" w:lineRule="auto"/>
        <w:ind w:firstLine="482"/>
        <w:jc w:val="center"/>
        <w:rPr>
          <w:rFonts w:ascii="黑体" w:hAnsi="黑体" w:eastAsia="黑体" w:cs="Courier New"/>
          <w:b/>
          <w:sz w:val="24"/>
          <w:szCs w:val="24"/>
        </w:rPr>
      </w:pPr>
      <w:r>
        <w:rPr>
          <w:rFonts w:hint="eastAsia" w:ascii="黑体" w:hAnsi="黑体" w:eastAsia="黑体" w:cs="Courier New"/>
          <w:b/>
          <w:sz w:val="24"/>
          <w:szCs w:val="24"/>
        </w:rPr>
        <w:t>表</w:t>
      </w:r>
      <w:r>
        <w:rPr>
          <w:rFonts w:ascii="黑体" w:hAnsi="黑体" w:eastAsia="黑体" w:cs="Courier New"/>
          <w:b/>
          <w:sz w:val="24"/>
          <w:szCs w:val="24"/>
        </w:rPr>
        <w:t>5-2“十</w:t>
      </w:r>
      <w:r>
        <w:rPr>
          <w:rFonts w:hint="eastAsia" w:ascii="黑体" w:hAnsi="黑体" w:eastAsia="黑体" w:cs="Courier New"/>
          <w:b/>
          <w:sz w:val="24"/>
          <w:szCs w:val="24"/>
        </w:rPr>
        <w:t>四</w:t>
      </w:r>
      <w:r>
        <w:rPr>
          <w:rFonts w:ascii="黑体" w:hAnsi="黑体" w:eastAsia="黑体" w:cs="Courier New"/>
          <w:b/>
          <w:sz w:val="24"/>
          <w:szCs w:val="24"/>
        </w:rPr>
        <w:t>五”</w:t>
      </w:r>
      <w:r>
        <w:rPr>
          <w:rFonts w:hint="eastAsia" w:ascii="黑体" w:hAnsi="黑体" w:eastAsia="黑体" w:cs="Courier New"/>
          <w:b/>
          <w:sz w:val="24"/>
          <w:szCs w:val="24"/>
        </w:rPr>
        <w:t>干线</w:t>
      </w:r>
      <w:r>
        <w:rPr>
          <w:rFonts w:ascii="黑体" w:hAnsi="黑体" w:eastAsia="黑体" w:cs="Courier New"/>
          <w:b/>
          <w:sz w:val="24"/>
          <w:szCs w:val="24"/>
        </w:rPr>
        <w:t>公路规划一览表</w:t>
      </w:r>
    </w:p>
    <w:tbl>
      <w:tblPr>
        <w:tblStyle w:val="18"/>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156"/>
        <w:gridCol w:w="1767"/>
        <w:gridCol w:w="690"/>
        <w:gridCol w:w="1031"/>
        <w:gridCol w:w="856"/>
        <w:gridCol w:w="859"/>
        <w:gridCol w:w="701"/>
      </w:tblGrid>
      <w:tr w14:paraId="7E0AB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271" w:type="pct"/>
            <w:vMerge w:val="restart"/>
            <w:shd w:val="clear" w:color="auto" w:fill="DBE5F1" w:themeFill="accent1" w:themeFillTint="33"/>
            <w:noWrap/>
            <w:vAlign w:val="center"/>
          </w:tcPr>
          <w:p w14:paraId="356FA1C1">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序号</w:t>
            </w:r>
          </w:p>
        </w:tc>
        <w:tc>
          <w:tcPr>
            <w:tcW w:w="1265" w:type="pct"/>
            <w:vMerge w:val="restart"/>
            <w:shd w:val="clear" w:color="auto" w:fill="DBE5F1" w:themeFill="accent1" w:themeFillTint="33"/>
            <w:noWrap/>
            <w:vAlign w:val="center"/>
          </w:tcPr>
          <w:p w14:paraId="56943C03">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项目名称</w:t>
            </w:r>
          </w:p>
        </w:tc>
        <w:tc>
          <w:tcPr>
            <w:tcW w:w="1037" w:type="pct"/>
            <w:vMerge w:val="restart"/>
            <w:shd w:val="clear" w:color="auto" w:fill="DBE5F1" w:themeFill="accent1" w:themeFillTint="33"/>
            <w:vAlign w:val="center"/>
          </w:tcPr>
          <w:p w14:paraId="07BD0295">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项目概况</w:t>
            </w:r>
          </w:p>
        </w:tc>
        <w:tc>
          <w:tcPr>
            <w:tcW w:w="405" w:type="pct"/>
            <w:vMerge w:val="restart"/>
            <w:shd w:val="clear" w:color="auto" w:fill="DBE5F1" w:themeFill="accent1" w:themeFillTint="33"/>
            <w:vAlign w:val="center"/>
          </w:tcPr>
          <w:p w14:paraId="79F184F0">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项目性质</w:t>
            </w:r>
          </w:p>
        </w:tc>
        <w:tc>
          <w:tcPr>
            <w:tcW w:w="605" w:type="pct"/>
            <w:vMerge w:val="restart"/>
            <w:shd w:val="clear" w:color="auto" w:fill="DBE5F1" w:themeFill="accent1" w:themeFillTint="33"/>
            <w:vAlign w:val="center"/>
          </w:tcPr>
          <w:p w14:paraId="215B5EAB">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建设起止年限</w:t>
            </w:r>
          </w:p>
        </w:tc>
        <w:tc>
          <w:tcPr>
            <w:tcW w:w="502" w:type="pct"/>
            <w:vMerge w:val="restart"/>
            <w:shd w:val="clear" w:color="auto" w:fill="DBE5F1" w:themeFill="accent1" w:themeFillTint="33"/>
            <w:vAlign w:val="center"/>
          </w:tcPr>
          <w:p w14:paraId="49C60EDA">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项目投资（亿元）</w:t>
            </w:r>
          </w:p>
        </w:tc>
        <w:tc>
          <w:tcPr>
            <w:tcW w:w="504" w:type="pct"/>
            <w:vMerge w:val="restart"/>
            <w:shd w:val="clear" w:color="auto" w:fill="DBE5F1" w:themeFill="accent1" w:themeFillTint="33"/>
            <w:vAlign w:val="center"/>
          </w:tcPr>
          <w:p w14:paraId="5F4F3E0F">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lang w:eastAsia="zh-CN"/>
              </w:rPr>
              <w:t>“</w:t>
            </w:r>
            <w:r>
              <w:rPr>
                <w:rFonts w:hint="eastAsia" w:ascii="宋体" w:hAnsi="宋体" w:cs="Courier New"/>
                <w:b/>
                <w:sz w:val="21"/>
                <w:szCs w:val="21"/>
              </w:rPr>
              <w:t>十四五</w:t>
            </w:r>
            <w:r>
              <w:rPr>
                <w:rFonts w:hint="eastAsia" w:ascii="宋体" w:hAnsi="宋体" w:cs="Courier New"/>
                <w:b/>
                <w:sz w:val="21"/>
                <w:szCs w:val="21"/>
                <w:lang w:eastAsia="zh-CN"/>
              </w:rPr>
              <w:t>”</w:t>
            </w:r>
            <w:r>
              <w:rPr>
                <w:rFonts w:hint="eastAsia" w:ascii="宋体" w:hAnsi="宋体" w:cs="Courier New"/>
                <w:b/>
                <w:sz w:val="21"/>
                <w:szCs w:val="21"/>
              </w:rPr>
              <w:t>投资（亿元）</w:t>
            </w:r>
          </w:p>
        </w:tc>
        <w:tc>
          <w:tcPr>
            <w:tcW w:w="411" w:type="pct"/>
            <w:vMerge w:val="restart"/>
            <w:shd w:val="clear" w:color="auto" w:fill="DBE5F1" w:themeFill="accent1" w:themeFillTint="33"/>
            <w:noWrap/>
            <w:vAlign w:val="center"/>
          </w:tcPr>
          <w:p w14:paraId="29B833E3">
            <w:pPr>
              <w:spacing w:before="217" w:after="217" w:line="360" w:lineRule="exact"/>
              <w:ind w:firstLine="0" w:firstLineChars="0"/>
              <w:jc w:val="center"/>
              <w:rPr>
                <w:rFonts w:ascii="宋体" w:hAnsi="宋体" w:cs="Courier New"/>
                <w:b/>
                <w:sz w:val="21"/>
                <w:szCs w:val="21"/>
              </w:rPr>
            </w:pPr>
            <w:r>
              <w:rPr>
                <w:rFonts w:hint="eastAsia" w:ascii="宋体" w:hAnsi="宋体" w:cs="Courier New"/>
                <w:b/>
                <w:sz w:val="21"/>
                <w:szCs w:val="21"/>
              </w:rPr>
              <w:t>备注</w:t>
            </w:r>
          </w:p>
        </w:tc>
      </w:tr>
      <w:tr w14:paraId="4EB21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4" w:hRule="atLeast"/>
          <w:tblHeader/>
          <w:jc w:val="center"/>
        </w:trPr>
        <w:tc>
          <w:tcPr>
            <w:tcW w:w="271" w:type="pct"/>
            <w:vMerge w:val="continue"/>
            <w:shd w:val="clear" w:color="auto" w:fill="DBE5F1" w:themeFill="accent1" w:themeFillTint="33"/>
            <w:vAlign w:val="center"/>
          </w:tcPr>
          <w:p w14:paraId="22D5E8F7">
            <w:pPr>
              <w:widowControl/>
              <w:ind w:firstLine="0" w:firstLineChars="0"/>
              <w:jc w:val="left"/>
              <w:rPr>
                <w:rFonts w:ascii="黑体" w:hAnsi="黑体" w:eastAsia="黑体" w:cs="宋体"/>
                <w:kern w:val="0"/>
                <w:sz w:val="22"/>
              </w:rPr>
            </w:pPr>
          </w:p>
        </w:tc>
        <w:tc>
          <w:tcPr>
            <w:tcW w:w="1265" w:type="pct"/>
            <w:vMerge w:val="continue"/>
            <w:shd w:val="clear" w:color="auto" w:fill="DBE5F1" w:themeFill="accent1" w:themeFillTint="33"/>
            <w:vAlign w:val="center"/>
          </w:tcPr>
          <w:p w14:paraId="7CD4C3E6">
            <w:pPr>
              <w:widowControl/>
              <w:ind w:firstLine="0" w:firstLineChars="0"/>
              <w:jc w:val="left"/>
              <w:rPr>
                <w:rFonts w:ascii="黑体" w:hAnsi="黑体" w:eastAsia="黑体" w:cs="宋体"/>
                <w:kern w:val="0"/>
                <w:sz w:val="22"/>
              </w:rPr>
            </w:pPr>
          </w:p>
        </w:tc>
        <w:tc>
          <w:tcPr>
            <w:tcW w:w="1037" w:type="pct"/>
            <w:vMerge w:val="continue"/>
            <w:shd w:val="clear" w:color="auto" w:fill="DBE5F1" w:themeFill="accent1" w:themeFillTint="33"/>
            <w:vAlign w:val="center"/>
          </w:tcPr>
          <w:p w14:paraId="50D36BD9">
            <w:pPr>
              <w:widowControl/>
              <w:ind w:firstLine="0" w:firstLineChars="0"/>
              <w:jc w:val="left"/>
              <w:rPr>
                <w:rFonts w:ascii="黑体" w:hAnsi="黑体" w:eastAsia="黑体" w:cs="宋体"/>
                <w:kern w:val="0"/>
                <w:sz w:val="22"/>
              </w:rPr>
            </w:pPr>
          </w:p>
        </w:tc>
        <w:tc>
          <w:tcPr>
            <w:tcW w:w="405" w:type="pct"/>
            <w:vMerge w:val="continue"/>
            <w:shd w:val="clear" w:color="auto" w:fill="DBE5F1" w:themeFill="accent1" w:themeFillTint="33"/>
            <w:vAlign w:val="center"/>
          </w:tcPr>
          <w:p w14:paraId="4D2E8CE3">
            <w:pPr>
              <w:widowControl/>
              <w:ind w:firstLine="0" w:firstLineChars="0"/>
              <w:jc w:val="left"/>
              <w:rPr>
                <w:rFonts w:ascii="黑体" w:hAnsi="黑体" w:eastAsia="黑体" w:cs="宋体"/>
                <w:kern w:val="0"/>
                <w:sz w:val="22"/>
              </w:rPr>
            </w:pPr>
          </w:p>
        </w:tc>
        <w:tc>
          <w:tcPr>
            <w:tcW w:w="605" w:type="pct"/>
            <w:vMerge w:val="continue"/>
            <w:shd w:val="clear" w:color="auto" w:fill="DBE5F1" w:themeFill="accent1" w:themeFillTint="33"/>
            <w:vAlign w:val="center"/>
          </w:tcPr>
          <w:p w14:paraId="6AC1C306">
            <w:pPr>
              <w:widowControl/>
              <w:ind w:firstLine="0" w:firstLineChars="0"/>
              <w:jc w:val="left"/>
              <w:rPr>
                <w:rFonts w:ascii="黑体" w:hAnsi="黑体" w:eastAsia="黑体" w:cs="宋体"/>
                <w:kern w:val="0"/>
                <w:sz w:val="22"/>
              </w:rPr>
            </w:pPr>
          </w:p>
        </w:tc>
        <w:tc>
          <w:tcPr>
            <w:tcW w:w="502" w:type="pct"/>
            <w:vMerge w:val="continue"/>
            <w:shd w:val="clear" w:color="auto" w:fill="DBE5F1" w:themeFill="accent1" w:themeFillTint="33"/>
            <w:vAlign w:val="center"/>
          </w:tcPr>
          <w:p w14:paraId="1B4B7C62">
            <w:pPr>
              <w:widowControl/>
              <w:ind w:firstLine="0" w:firstLineChars="0"/>
              <w:jc w:val="left"/>
              <w:rPr>
                <w:rFonts w:ascii="黑体" w:hAnsi="黑体" w:eastAsia="黑体" w:cs="宋体"/>
                <w:kern w:val="0"/>
                <w:sz w:val="22"/>
              </w:rPr>
            </w:pPr>
          </w:p>
        </w:tc>
        <w:tc>
          <w:tcPr>
            <w:tcW w:w="504" w:type="pct"/>
            <w:vMerge w:val="continue"/>
            <w:shd w:val="clear" w:color="auto" w:fill="DBE5F1" w:themeFill="accent1" w:themeFillTint="33"/>
            <w:vAlign w:val="center"/>
          </w:tcPr>
          <w:p w14:paraId="6E46E72A">
            <w:pPr>
              <w:widowControl/>
              <w:ind w:firstLine="0" w:firstLineChars="0"/>
              <w:jc w:val="left"/>
              <w:rPr>
                <w:rFonts w:ascii="黑体" w:hAnsi="黑体" w:eastAsia="黑体" w:cs="宋体"/>
                <w:kern w:val="0"/>
                <w:sz w:val="22"/>
              </w:rPr>
            </w:pPr>
          </w:p>
        </w:tc>
        <w:tc>
          <w:tcPr>
            <w:tcW w:w="411" w:type="pct"/>
            <w:vMerge w:val="continue"/>
            <w:shd w:val="clear" w:color="auto" w:fill="DBE5F1" w:themeFill="accent1" w:themeFillTint="33"/>
            <w:vAlign w:val="center"/>
          </w:tcPr>
          <w:p w14:paraId="18C8AF99">
            <w:pPr>
              <w:widowControl/>
              <w:ind w:firstLine="0" w:firstLineChars="0"/>
              <w:jc w:val="left"/>
              <w:rPr>
                <w:rFonts w:ascii="黑体" w:hAnsi="黑体" w:eastAsia="黑体" w:cs="宋体"/>
                <w:kern w:val="0"/>
                <w:sz w:val="22"/>
              </w:rPr>
            </w:pPr>
          </w:p>
        </w:tc>
      </w:tr>
      <w:tr w14:paraId="3299C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5DEC43F0">
            <w:pPr>
              <w:widowControl/>
              <w:ind w:firstLine="0" w:firstLineChars="0"/>
              <w:jc w:val="center"/>
              <w:rPr>
                <w:rFonts w:ascii="宋体" w:hAnsi="宋体" w:cs="Courier New"/>
                <w:sz w:val="21"/>
                <w:szCs w:val="21"/>
              </w:rPr>
            </w:pPr>
            <w:r>
              <w:rPr>
                <w:rFonts w:hint="eastAsia" w:ascii="宋体" w:hAnsi="宋体" w:cs="Courier New"/>
                <w:sz w:val="21"/>
                <w:szCs w:val="21"/>
              </w:rPr>
              <w:t>1</w:t>
            </w:r>
          </w:p>
        </w:tc>
        <w:tc>
          <w:tcPr>
            <w:tcW w:w="1265" w:type="pct"/>
            <w:shd w:val="clear" w:color="auto" w:fill="auto"/>
            <w:vAlign w:val="center"/>
          </w:tcPr>
          <w:p w14:paraId="7F94225B">
            <w:pPr>
              <w:widowControl/>
              <w:ind w:firstLine="0" w:firstLineChars="0"/>
              <w:jc w:val="center"/>
              <w:rPr>
                <w:rFonts w:ascii="宋体" w:hAnsi="宋体" w:cs="Courier New"/>
                <w:sz w:val="21"/>
                <w:szCs w:val="21"/>
              </w:rPr>
            </w:pPr>
            <w:r>
              <w:rPr>
                <w:rFonts w:hint="eastAsia" w:ascii="宋体" w:hAnsi="宋体" w:cs="Courier New"/>
                <w:sz w:val="21"/>
                <w:szCs w:val="21"/>
              </w:rPr>
              <w:t>G25长深高速浙江建德至金华段增设曹宅互通</w:t>
            </w:r>
          </w:p>
        </w:tc>
        <w:tc>
          <w:tcPr>
            <w:tcW w:w="1037" w:type="pct"/>
            <w:shd w:val="clear" w:color="auto" w:fill="auto"/>
            <w:vAlign w:val="center"/>
          </w:tcPr>
          <w:p w14:paraId="1FD61346">
            <w:pPr>
              <w:widowControl/>
              <w:ind w:firstLine="0" w:firstLineChars="0"/>
              <w:jc w:val="center"/>
              <w:rPr>
                <w:rFonts w:ascii="宋体" w:hAnsi="宋体" w:cs="Courier New"/>
                <w:sz w:val="21"/>
                <w:szCs w:val="21"/>
              </w:rPr>
            </w:pPr>
            <w:r>
              <w:rPr>
                <w:rFonts w:hint="eastAsia" w:ascii="宋体" w:hAnsi="宋体" w:cs="Courier New"/>
                <w:sz w:val="21"/>
                <w:szCs w:val="21"/>
              </w:rPr>
              <w:t>互通立交，线路全长2.6公里。</w:t>
            </w:r>
          </w:p>
        </w:tc>
        <w:tc>
          <w:tcPr>
            <w:tcW w:w="405" w:type="pct"/>
            <w:shd w:val="clear" w:color="auto" w:fill="auto"/>
            <w:vAlign w:val="center"/>
          </w:tcPr>
          <w:p w14:paraId="111E0CA3">
            <w:pPr>
              <w:widowControl/>
              <w:ind w:firstLine="0" w:firstLineChars="0"/>
              <w:jc w:val="center"/>
              <w:rPr>
                <w:rFonts w:ascii="宋体" w:hAnsi="宋体" w:cs="Courier New"/>
                <w:sz w:val="21"/>
                <w:szCs w:val="21"/>
              </w:rPr>
            </w:pPr>
            <w:r>
              <w:rPr>
                <w:rFonts w:hint="eastAsia" w:ascii="宋体" w:hAnsi="宋体" w:cs="Courier New"/>
                <w:sz w:val="21"/>
                <w:szCs w:val="21"/>
              </w:rPr>
              <w:t>新建</w:t>
            </w:r>
          </w:p>
        </w:tc>
        <w:tc>
          <w:tcPr>
            <w:tcW w:w="605" w:type="pct"/>
            <w:shd w:val="clear" w:color="auto" w:fill="auto"/>
            <w:vAlign w:val="center"/>
          </w:tcPr>
          <w:p w14:paraId="32CF1704">
            <w:pPr>
              <w:widowControl/>
              <w:ind w:firstLine="0" w:firstLineChars="0"/>
              <w:jc w:val="center"/>
              <w:rPr>
                <w:rFonts w:ascii="宋体" w:hAnsi="宋体" w:cs="Courier New"/>
                <w:sz w:val="21"/>
                <w:szCs w:val="21"/>
              </w:rPr>
            </w:pPr>
            <w:r>
              <w:rPr>
                <w:rFonts w:hint="eastAsia" w:ascii="宋体" w:hAnsi="宋体" w:cs="Courier New"/>
                <w:sz w:val="21"/>
                <w:szCs w:val="21"/>
              </w:rPr>
              <w:t>2021-2022</w:t>
            </w:r>
          </w:p>
        </w:tc>
        <w:tc>
          <w:tcPr>
            <w:tcW w:w="502" w:type="pct"/>
            <w:shd w:val="clear" w:color="auto" w:fill="auto"/>
            <w:vAlign w:val="center"/>
          </w:tcPr>
          <w:p w14:paraId="639DBE5A">
            <w:pPr>
              <w:widowControl/>
              <w:ind w:firstLine="0" w:firstLineChars="0"/>
              <w:jc w:val="center"/>
              <w:rPr>
                <w:rFonts w:ascii="宋体" w:hAnsi="宋体" w:cs="Courier New"/>
                <w:sz w:val="21"/>
                <w:szCs w:val="21"/>
              </w:rPr>
            </w:pPr>
            <w:r>
              <w:rPr>
                <w:rFonts w:hint="eastAsia" w:ascii="宋体" w:hAnsi="宋体" w:cs="Courier New"/>
                <w:sz w:val="21"/>
                <w:szCs w:val="21"/>
              </w:rPr>
              <w:t>3.4</w:t>
            </w:r>
          </w:p>
        </w:tc>
        <w:tc>
          <w:tcPr>
            <w:tcW w:w="504" w:type="pct"/>
            <w:shd w:val="clear" w:color="auto" w:fill="auto"/>
            <w:vAlign w:val="center"/>
          </w:tcPr>
          <w:p w14:paraId="49E74F0A">
            <w:pPr>
              <w:widowControl/>
              <w:ind w:firstLine="0" w:firstLineChars="0"/>
              <w:jc w:val="center"/>
              <w:rPr>
                <w:rFonts w:ascii="宋体" w:hAnsi="宋体" w:cs="Courier New"/>
                <w:sz w:val="21"/>
                <w:szCs w:val="21"/>
              </w:rPr>
            </w:pPr>
            <w:r>
              <w:rPr>
                <w:rFonts w:hint="eastAsia" w:ascii="宋体" w:hAnsi="宋体" w:cs="Courier New"/>
                <w:sz w:val="21"/>
                <w:szCs w:val="21"/>
              </w:rPr>
              <w:t>3.4</w:t>
            </w:r>
          </w:p>
        </w:tc>
        <w:tc>
          <w:tcPr>
            <w:tcW w:w="411" w:type="pct"/>
            <w:shd w:val="clear" w:color="auto" w:fill="auto"/>
            <w:vAlign w:val="center"/>
          </w:tcPr>
          <w:p w14:paraId="2BDEED76">
            <w:pPr>
              <w:widowControl/>
              <w:ind w:firstLine="0" w:firstLineChars="0"/>
              <w:jc w:val="center"/>
              <w:rPr>
                <w:rFonts w:ascii="宋体" w:hAnsi="宋体" w:cs="宋体"/>
                <w:kern w:val="0"/>
                <w:sz w:val="22"/>
              </w:rPr>
            </w:pPr>
          </w:p>
        </w:tc>
      </w:tr>
      <w:tr w14:paraId="2AAD4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4BC25C5B">
            <w:pPr>
              <w:widowControl/>
              <w:ind w:firstLine="0" w:firstLineChars="0"/>
              <w:jc w:val="center"/>
              <w:rPr>
                <w:rFonts w:ascii="宋体" w:hAnsi="宋体" w:cs="Courier New"/>
                <w:sz w:val="21"/>
                <w:szCs w:val="21"/>
              </w:rPr>
            </w:pPr>
            <w:r>
              <w:rPr>
                <w:rFonts w:hint="eastAsia" w:ascii="宋体" w:hAnsi="宋体" w:cs="Courier New"/>
                <w:sz w:val="21"/>
                <w:szCs w:val="21"/>
              </w:rPr>
              <w:t>2</w:t>
            </w:r>
          </w:p>
        </w:tc>
        <w:tc>
          <w:tcPr>
            <w:tcW w:w="1265" w:type="pct"/>
            <w:shd w:val="clear" w:color="auto" w:fill="auto"/>
            <w:vAlign w:val="center"/>
          </w:tcPr>
          <w:p w14:paraId="01E34482">
            <w:pPr>
              <w:widowControl/>
              <w:ind w:firstLine="0" w:firstLineChars="0"/>
              <w:jc w:val="center"/>
              <w:rPr>
                <w:rFonts w:ascii="宋体" w:hAnsi="宋体" w:cs="Courier New"/>
                <w:sz w:val="21"/>
                <w:szCs w:val="21"/>
              </w:rPr>
            </w:pPr>
            <w:r>
              <w:rPr>
                <w:rFonts w:hint="eastAsia" w:ascii="宋体" w:hAnsi="宋体" w:cs="Courier New"/>
                <w:sz w:val="21"/>
                <w:szCs w:val="21"/>
              </w:rPr>
              <w:t>甬金衢上高速金华段</w:t>
            </w:r>
          </w:p>
        </w:tc>
        <w:tc>
          <w:tcPr>
            <w:tcW w:w="1037" w:type="pct"/>
            <w:shd w:val="clear" w:color="auto" w:fill="auto"/>
            <w:vAlign w:val="center"/>
          </w:tcPr>
          <w:p w14:paraId="3C4E712D">
            <w:pPr>
              <w:widowControl/>
              <w:ind w:firstLine="0" w:firstLineChars="0"/>
              <w:jc w:val="center"/>
              <w:rPr>
                <w:rFonts w:ascii="宋体" w:hAnsi="宋体" w:cs="Courier New"/>
                <w:sz w:val="21"/>
                <w:szCs w:val="21"/>
              </w:rPr>
            </w:pPr>
            <w:r>
              <w:rPr>
                <w:rFonts w:hint="eastAsia" w:ascii="宋体" w:hAnsi="宋体" w:cs="Courier New"/>
                <w:sz w:val="21"/>
                <w:szCs w:val="21"/>
              </w:rPr>
              <w:t>建设里程107</w:t>
            </w:r>
            <w:r>
              <w:rPr>
                <w:rFonts w:ascii="宋体" w:hAnsi="宋体" w:cs="Courier New"/>
                <w:sz w:val="21"/>
                <w:szCs w:val="21"/>
              </w:rPr>
              <w:t>公里，高速公路新建</w:t>
            </w:r>
          </w:p>
        </w:tc>
        <w:tc>
          <w:tcPr>
            <w:tcW w:w="405" w:type="pct"/>
            <w:shd w:val="clear" w:color="auto" w:fill="auto"/>
            <w:vAlign w:val="center"/>
          </w:tcPr>
          <w:p w14:paraId="24B2F117">
            <w:pPr>
              <w:widowControl/>
              <w:ind w:firstLine="0" w:firstLineChars="0"/>
              <w:jc w:val="center"/>
              <w:rPr>
                <w:rFonts w:ascii="宋体" w:hAnsi="宋体" w:cs="Courier New"/>
                <w:sz w:val="21"/>
                <w:szCs w:val="21"/>
              </w:rPr>
            </w:pPr>
            <w:r>
              <w:rPr>
                <w:rFonts w:hint="eastAsia" w:ascii="宋体" w:hAnsi="宋体" w:cs="Courier New"/>
                <w:sz w:val="21"/>
                <w:szCs w:val="21"/>
              </w:rPr>
              <w:t>前期</w:t>
            </w:r>
          </w:p>
        </w:tc>
        <w:tc>
          <w:tcPr>
            <w:tcW w:w="605" w:type="pct"/>
            <w:shd w:val="clear" w:color="auto" w:fill="auto"/>
            <w:vAlign w:val="center"/>
          </w:tcPr>
          <w:p w14:paraId="5EF40D4B">
            <w:pPr>
              <w:widowControl/>
              <w:ind w:firstLine="0" w:firstLineChars="0"/>
              <w:jc w:val="center"/>
              <w:rPr>
                <w:rFonts w:ascii="宋体" w:hAnsi="宋体" w:cs="Courier New"/>
                <w:sz w:val="21"/>
                <w:szCs w:val="21"/>
              </w:rPr>
            </w:pPr>
            <w:r>
              <w:rPr>
                <w:rFonts w:hint="eastAsia" w:ascii="宋体" w:hAnsi="宋体" w:cs="Courier New"/>
                <w:sz w:val="21"/>
                <w:szCs w:val="21"/>
              </w:rPr>
              <w:t>2022-2030</w:t>
            </w:r>
          </w:p>
        </w:tc>
        <w:tc>
          <w:tcPr>
            <w:tcW w:w="502" w:type="pct"/>
            <w:shd w:val="clear" w:color="auto" w:fill="auto"/>
            <w:vAlign w:val="center"/>
          </w:tcPr>
          <w:p w14:paraId="51B7605A">
            <w:pPr>
              <w:widowControl/>
              <w:ind w:firstLine="0" w:firstLineChars="0"/>
              <w:jc w:val="center"/>
              <w:rPr>
                <w:rFonts w:ascii="宋体" w:hAnsi="宋体" w:cs="Courier New"/>
                <w:sz w:val="21"/>
                <w:szCs w:val="21"/>
              </w:rPr>
            </w:pPr>
            <w:r>
              <w:rPr>
                <w:rFonts w:hint="eastAsia" w:ascii="宋体" w:hAnsi="宋体" w:cs="Courier New"/>
                <w:sz w:val="21"/>
                <w:szCs w:val="21"/>
              </w:rPr>
              <w:t>70</w:t>
            </w:r>
          </w:p>
        </w:tc>
        <w:tc>
          <w:tcPr>
            <w:tcW w:w="504" w:type="pct"/>
            <w:shd w:val="clear" w:color="auto" w:fill="auto"/>
            <w:vAlign w:val="center"/>
          </w:tcPr>
          <w:p w14:paraId="4A7FC21C">
            <w:pPr>
              <w:widowControl/>
              <w:ind w:firstLine="0" w:firstLineChars="0"/>
              <w:jc w:val="center"/>
              <w:rPr>
                <w:rFonts w:ascii="宋体" w:hAnsi="宋体" w:cs="Courier New"/>
                <w:sz w:val="21"/>
                <w:szCs w:val="21"/>
              </w:rPr>
            </w:pPr>
            <w:r>
              <w:rPr>
                <w:rFonts w:hint="eastAsia" w:ascii="宋体" w:hAnsi="宋体" w:cs="Courier New"/>
                <w:sz w:val="21"/>
                <w:szCs w:val="21"/>
              </w:rPr>
              <w:t>10</w:t>
            </w:r>
          </w:p>
        </w:tc>
        <w:tc>
          <w:tcPr>
            <w:tcW w:w="411" w:type="pct"/>
            <w:shd w:val="clear" w:color="auto" w:fill="auto"/>
            <w:vAlign w:val="center"/>
          </w:tcPr>
          <w:p w14:paraId="7474E445">
            <w:pPr>
              <w:widowControl/>
              <w:ind w:firstLine="0" w:firstLineChars="0"/>
              <w:jc w:val="center"/>
              <w:rPr>
                <w:rFonts w:ascii="宋体" w:hAnsi="宋体" w:cs="Courier New"/>
                <w:sz w:val="21"/>
                <w:szCs w:val="21"/>
              </w:rPr>
            </w:pPr>
          </w:p>
        </w:tc>
      </w:tr>
      <w:tr w14:paraId="2A177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48DFAD2A">
            <w:pPr>
              <w:widowControl/>
              <w:ind w:firstLine="0" w:firstLineChars="0"/>
              <w:jc w:val="center"/>
              <w:rPr>
                <w:rFonts w:ascii="宋体" w:hAnsi="宋体" w:cs="Courier New"/>
                <w:sz w:val="21"/>
                <w:szCs w:val="21"/>
              </w:rPr>
            </w:pPr>
            <w:r>
              <w:rPr>
                <w:rFonts w:hint="eastAsia" w:ascii="宋体" w:hAnsi="宋体" w:cs="Courier New"/>
                <w:sz w:val="21"/>
                <w:szCs w:val="21"/>
              </w:rPr>
              <w:t>3</w:t>
            </w:r>
          </w:p>
        </w:tc>
        <w:tc>
          <w:tcPr>
            <w:tcW w:w="1265" w:type="pct"/>
            <w:shd w:val="clear" w:color="auto" w:fill="auto"/>
            <w:vAlign w:val="center"/>
          </w:tcPr>
          <w:p w14:paraId="2B959D6D">
            <w:pPr>
              <w:widowControl/>
              <w:ind w:firstLine="0" w:firstLineChars="0"/>
              <w:jc w:val="center"/>
              <w:rPr>
                <w:rFonts w:ascii="宋体" w:hAnsi="宋体" w:cs="Courier New"/>
                <w:sz w:val="21"/>
                <w:szCs w:val="21"/>
              </w:rPr>
            </w:pPr>
            <w:r>
              <w:rPr>
                <w:rFonts w:hint="eastAsia" w:ascii="宋体" w:hAnsi="宋体" w:cs="Courier New"/>
                <w:sz w:val="21"/>
                <w:szCs w:val="21"/>
              </w:rPr>
              <w:t>新增金丽温高速公铁联运港区块互通</w:t>
            </w:r>
          </w:p>
        </w:tc>
        <w:tc>
          <w:tcPr>
            <w:tcW w:w="1037" w:type="pct"/>
            <w:shd w:val="clear" w:color="auto" w:fill="auto"/>
            <w:vAlign w:val="center"/>
          </w:tcPr>
          <w:p w14:paraId="125B6E0A">
            <w:pPr>
              <w:widowControl/>
              <w:ind w:firstLine="0" w:firstLineChars="0"/>
              <w:jc w:val="center"/>
              <w:rPr>
                <w:rFonts w:ascii="宋体" w:hAnsi="宋体" w:cs="Courier New"/>
                <w:sz w:val="21"/>
                <w:szCs w:val="21"/>
              </w:rPr>
            </w:pPr>
            <w:r>
              <w:rPr>
                <w:rFonts w:hint="eastAsia" w:ascii="宋体" w:hAnsi="宋体" w:cs="Courier New"/>
                <w:sz w:val="21"/>
                <w:szCs w:val="21"/>
              </w:rPr>
              <w:t>公铁联运港配套区域</w:t>
            </w:r>
          </w:p>
        </w:tc>
        <w:tc>
          <w:tcPr>
            <w:tcW w:w="405" w:type="pct"/>
            <w:shd w:val="clear" w:color="auto" w:fill="auto"/>
            <w:vAlign w:val="center"/>
          </w:tcPr>
          <w:p w14:paraId="1F63930A">
            <w:pPr>
              <w:widowControl/>
              <w:ind w:firstLine="0" w:firstLineChars="0"/>
              <w:jc w:val="center"/>
              <w:rPr>
                <w:rFonts w:ascii="宋体" w:hAnsi="宋体" w:cs="Courier New"/>
                <w:sz w:val="21"/>
                <w:szCs w:val="21"/>
              </w:rPr>
            </w:pPr>
            <w:r>
              <w:rPr>
                <w:rFonts w:hint="eastAsia" w:ascii="宋体" w:hAnsi="宋体" w:cs="Courier New"/>
                <w:sz w:val="21"/>
                <w:szCs w:val="21"/>
              </w:rPr>
              <w:t>新建</w:t>
            </w:r>
          </w:p>
        </w:tc>
        <w:tc>
          <w:tcPr>
            <w:tcW w:w="605" w:type="pct"/>
            <w:shd w:val="clear" w:color="auto" w:fill="auto"/>
            <w:vAlign w:val="center"/>
          </w:tcPr>
          <w:p w14:paraId="06BA303D">
            <w:pPr>
              <w:widowControl/>
              <w:ind w:firstLine="0" w:firstLineChars="0"/>
              <w:jc w:val="center"/>
              <w:rPr>
                <w:rFonts w:ascii="宋体" w:hAnsi="宋体" w:cs="Courier New"/>
                <w:sz w:val="21"/>
                <w:szCs w:val="21"/>
              </w:rPr>
            </w:pPr>
            <w:r>
              <w:rPr>
                <w:rFonts w:hint="eastAsia" w:ascii="宋体" w:hAnsi="宋体" w:cs="Courier New"/>
                <w:sz w:val="21"/>
                <w:szCs w:val="21"/>
              </w:rPr>
              <w:t>2023-2025</w:t>
            </w:r>
          </w:p>
        </w:tc>
        <w:tc>
          <w:tcPr>
            <w:tcW w:w="502" w:type="pct"/>
            <w:shd w:val="clear" w:color="auto" w:fill="auto"/>
            <w:vAlign w:val="center"/>
          </w:tcPr>
          <w:p w14:paraId="3A0E673E">
            <w:pPr>
              <w:widowControl/>
              <w:ind w:firstLine="0" w:firstLineChars="0"/>
              <w:jc w:val="center"/>
              <w:rPr>
                <w:rFonts w:ascii="宋体" w:hAnsi="宋体" w:cs="Courier New"/>
                <w:sz w:val="21"/>
                <w:szCs w:val="21"/>
              </w:rPr>
            </w:pPr>
            <w:r>
              <w:rPr>
                <w:rFonts w:hint="eastAsia" w:ascii="宋体" w:hAnsi="宋体" w:cs="Courier New"/>
                <w:sz w:val="21"/>
                <w:szCs w:val="21"/>
              </w:rPr>
              <w:t>3</w:t>
            </w:r>
          </w:p>
        </w:tc>
        <w:tc>
          <w:tcPr>
            <w:tcW w:w="504" w:type="pct"/>
            <w:shd w:val="clear" w:color="auto" w:fill="auto"/>
            <w:vAlign w:val="center"/>
          </w:tcPr>
          <w:p w14:paraId="30BB594A">
            <w:pPr>
              <w:widowControl/>
              <w:ind w:firstLine="0" w:firstLineChars="0"/>
              <w:jc w:val="center"/>
              <w:rPr>
                <w:rFonts w:ascii="宋体" w:hAnsi="宋体" w:cs="Courier New"/>
                <w:sz w:val="21"/>
                <w:szCs w:val="21"/>
              </w:rPr>
            </w:pPr>
            <w:r>
              <w:rPr>
                <w:rFonts w:hint="eastAsia" w:ascii="宋体" w:hAnsi="宋体" w:cs="Courier New"/>
                <w:sz w:val="21"/>
                <w:szCs w:val="21"/>
              </w:rPr>
              <w:t>3</w:t>
            </w:r>
          </w:p>
        </w:tc>
        <w:tc>
          <w:tcPr>
            <w:tcW w:w="411" w:type="pct"/>
            <w:shd w:val="clear" w:color="auto" w:fill="auto"/>
            <w:vAlign w:val="center"/>
          </w:tcPr>
          <w:p w14:paraId="6C5EA87F">
            <w:pPr>
              <w:widowControl/>
              <w:ind w:firstLine="0" w:firstLineChars="0"/>
              <w:jc w:val="center"/>
              <w:rPr>
                <w:rFonts w:ascii="宋体" w:hAnsi="宋体" w:cs="Courier New"/>
                <w:sz w:val="21"/>
                <w:szCs w:val="21"/>
              </w:rPr>
            </w:pPr>
          </w:p>
        </w:tc>
      </w:tr>
      <w:tr w14:paraId="756B25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38E13C28">
            <w:pPr>
              <w:widowControl/>
              <w:ind w:firstLine="0" w:firstLineChars="0"/>
              <w:jc w:val="center"/>
              <w:rPr>
                <w:rFonts w:ascii="宋体" w:hAnsi="宋体" w:cs="Courier New"/>
                <w:sz w:val="21"/>
                <w:szCs w:val="21"/>
              </w:rPr>
            </w:pPr>
            <w:r>
              <w:rPr>
                <w:rFonts w:hint="eastAsia" w:ascii="宋体" w:hAnsi="宋体" w:cs="Courier New"/>
                <w:sz w:val="21"/>
                <w:szCs w:val="21"/>
              </w:rPr>
              <w:t>4</w:t>
            </w:r>
          </w:p>
        </w:tc>
        <w:tc>
          <w:tcPr>
            <w:tcW w:w="1265" w:type="pct"/>
            <w:shd w:val="clear" w:color="auto" w:fill="auto"/>
            <w:vAlign w:val="center"/>
          </w:tcPr>
          <w:p w14:paraId="6AF94F83">
            <w:pPr>
              <w:widowControl/>
              <w:ind w:firstLine="0" w:firstLineChars="0"/>
              <w:jc w:val="center"/>
              <w:rPr>
                <w:rFonts w:ascii="宋体" w:hAnsi="宋体" w:cs="Courier New"/>
                <w:sz w:val="21"/>
                <w:szCs w:val="21"/>
              </w:rPr>
            </w:pPr>
            <w:r>
              <w:rPr>
                <w:rFonts w:hint="eastAsia" w:ascii="宋体" w:hAnsi="宋体" w:cs="Courier New"/>
                <w:sz w:val="21"/>
                <w:szCs w:val="21"/>
              </w:rPr>
              <w:t>G330国道金东岭下朱包村至十八里立交桥段提升工程</w:t>
            </w:r>
          </w:p>
        </w:tc>
        <w:tc>
          <w:tcPr>
            <w:tcW w:w="1037" w:type="pct"/>
            <w:shd w:val="clear" w:color="auto" w:fill="auto"/>
            <w:vAlign w:val="center"/>
          </w:tcPr>
          <w:p w14:paraId="2CA511B4">
            <w:pPr>
              <w:widowControl/>
              <w:ind w:firstLine="0" w:firstLineChars="0"/>
              <w:jc w:val="center"/>
              <w:rPr>
                <w:rFonts w:ascii="宋体" w:hAnsi="宋体" w:cs="Courier New"/>
                <w:sz w:val="21"/>
                <w:szCs w:val="21"/>
              </w:rPr>
            </w:pPr>
            <w:r>
              <w:rPr>
                <w:rFonts w:hint="eastAsia" w:ascii="宋体" w:hAnsi="宋体" w:cs="Courier New"/>
                <w:sz w:val="21"/>
                <w:szCs w:val="21"/>
              </w:rPr>
              <w:t>线路全长13.08公里，公路一级，双向六车道。雅湖至十八里立交段计划2020年开工建设。</w:t>
            </w:r>
          </w:p>
        </w:tc>
        <w:tc>
          <w:tcPr>
            <w:tcW w:w="405" w:type="pct"/>
            <w:shd w:val="clear" w:color="auto" w:fill="auto"/>
            <w:vAlign w:val="center"/>
          </w:tcPr>
          <w:p w14:paraId="1B6190DB">
            <w:pPr>
              <w:widowControl/>
              <w:ind w:firstLine="0" w:firstLineChars="0"/>
              <w:jc w:val="center"/>
              <w:rPr>
                <w:rFonts w:ascii="宋体" w:hAnsi="宋体" w:cs="Courier New"/>
                <w:sz w:val="21"/>
                <w:szCs w:val="21"/>
              </w:rPr>
            </w:pPr>
            <w:r>
              <w:rPr>
                <w:rFonts w:hint="eastAsia" w:ascii="宋体" w:hAnsi="宋体" w:cs="Courier New"/>
                <w:sz w:val="21"/>
                <w:szCs w:val="21"/>
              </w:rPr>
              <w:t>改建</w:t>
            </w:r>
          </w:p>
        </w:tc>
        <w:tc>
          <w:tcPr>
            <w:tcW w:w="605" w:type="pct"/>
            <w:shd w:val="clear" w:color="auto" w:fill="auto"/>
            <w:vAlign w:val="center"/>
          </w:tcPr>
          <w:p w14:paraId="6BC989D5">
            <w:pPr>
              <w:widowControl/>
              <w:ind w:firstLine="0" w:firstLineChars="0"/>
              <w:jc w:val="center"/>
              <w:rPr>
                <w:rFonts w:ascii="宋体" w:hAnsi="宋体" w:cs="Courier New"/>
                <w:sz w:val="21"/>
                <w:szCs w:val="21"/>
              </w:rPr>
            </w:pPr>
            <w:r>
              <w:rPr>
                <w:rFonts w:hint="eastAsia" w:ascii="宋体" w:hAnsi="宋体" w:cs="Courier New"/>
                <w:sz w:val="21"/>
                <w:szCs w:val="21"/>
              </w:rPr>
              <w:t>2021-2025</w:t>
            </w:r>
          </w:p>
        </w:tc>
        <w:tc>
          <w:tcPr>
            <w:tcW w:w="502" w:type="pct"/>
            <w:shd w:val="clear" w:color="auto" w:fill="auto"/>
            <w:vAlign w:val="center"/>
          </w:tcPr>
          <w:p w14:paraId="7597B0BC">
            <w:pPr>
              <w:widowControl/>
              <w:ind w:firstLine="0" w:firstLineChars="0"/>
              <w:jc w:val="center"/>
              <w:rPr>
                <w:rFonts w:ascii="宋体" w:hAnsi="宋体" w:cs="Courier New"/>
                <w:sz w:val="21"/>
                <w:szCs w:val="21"/>
              </w:rPr>
            </w:pPr>
            <w:r>
              <w:rPr>
                <w:rFonts w:hint="eastAsia" w:ascii="宋体" w:hAnsi="宋体" w:cs="Courier New"/>
                <w:sz w:val="21"/>
                <w:szCs w:val="21"/>
              </w:rPr>
              <w:t>6</w:t>
            </w:r>
          </w:p>
        </w:tc>
        <w:tc>
          <w:tcPr>
            <w:tcW w:w="504" w:type="pct"/>
            <w:shd w:val="clear" w:color="auto" w:fill="auto"/>
            <w:vAlign w:val="center"/>
          </w:tcPr>
          <w:p w14:paraId="4ED8D28D">
            <w:pPr>
              <w:widowControl/>
              <w:ind w:firstLine="0" w:firstLineChars="0"/>
              <w:jc w:val="center"/>
              <w:rPr>
                <w:rFonts w:ascii="宋体" w:hAnsi="宋体" w:cs="Courier New"/>
                <w:sz w:val="21"/>
                <w:szCs w:val="21"/>
              </w:rPr>
            </w:pPr>
            <w:r>
              <w:rPr>
                <w:rFonts w:hint="eastAsia" w:ascii="宋体" w:hAnsi="宋体" w:cs="Courier New"/>
                <w:sz w:val="21"/>
                <w:szCs w:val="21"/>
              </w:rPr>
              <w:t>3</w:t>
            </w:r>
          </w:p>
        </w:tc>
        <w:tc>
          <w:tcPr>
            <w:tcW w:w="411" w:type="pct"/>
            <w:shd w:val="clear" w:color="auto" w:fill="auto"/>
            <w:vAlign w:val="center"/>
          </w:tcPr>
          <w:p w14:paraId="435A4708">
            <w:pPr>
              <w:widowControl/>
              <w:ind w:firstLine="0" w:firstLineChars="0"/>
              <w:jc w:val="center"/>
              <w:rPr>
                <w:rFonts w:ascii="宋体" w:hAnsi="宋体" w:cs="宋体"/>
                <w:kern w:val="0"/>
                <w:sz w:val="22"/>
              </w:rPr>
            </w:pPr>
          </w:p>
        </w:tc>
      </w:tr>
      <w:tr w14:paraId="472D1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673BAC4E">
            <w:pPr>
              <w:widowControl/>
              <w:ind w:firstLine="0" w:firstLineChars="0"/>
              <w:jc w:val="center"/>
              <w:rPr>
                <w:rFonts w:ascii="宋体" w:hAnsi="宋体" w:cs="Courier New"/>
                <w:sz w:val="21"/>
                <w:szCs w:val="21"/>
              </w:rPr>
            </w:pPr>
            <w:r>
              <w:rPr>
                <w:rFonts w:hint="eastAsia" w:ascii="宋体" w:hAnsi="宋体" w:cs="Courier New"/>
                <w:sz w:val="21"/>
                <w:szCs w:val="21"/>
              </w:rPr>
              <w:t>4</w:t>
            </w:r>
          </w:p>
        </w:tc>
        <w:tc>
          <w:tcPr>
            <w:tcW w:w="1265" w:type="pct"/>
            <w:shd w:val="clear" w:color="auto" w:fill="auto"/>
            <w:vAlign w:val="center"/>
          </w:tcPr>
          <w:p w14:paraId="56537E73">
            <w:pPr>
              <w:widowControl/>
              <w:ind w:firstLine="0" w:firstLineChars="0"/>
              <w:jc w:val="center"/>
              <w:rPr>
                <w:rFonts w:ascii="宋体" w:hAnsi="宋体" w:cs="Courier New"/>
                <w:sz w:val="21"/>
                <w:szCs w:val="21"/>
              </w:rPr>
            </w:pPr>
            <w:r>
              <w:rPr>
                <w:rFonts w:hint="eastAsia" w:ascii="宋体" w:hAnsi="宋体" w:cs="Courier New"/>
                <w:sz w:val="21"/>
                <w:szCs w:val="21"/>
              </w:rPr>
              <w:t>G235国道金义新区（金东）安里至楼店段</w:t>
            </w:r>
          </w:p>
        </w:tc>
        <w:tc>
          <w:tcPr>
            <w:tcW w:w="1037" w:type="pct"/>
            <w:shd w:val="clear" w:color="auto" w:fill="auto"/>
            <w:vAlign w:val="center"/>
          </w:tcPr>
          <w:p w14:paraId="12204D0E">
            <w:pPr>
              <w:widowControl/>
              <w:ind w:firstLine="0" w:firstLineChars="0"/>
              <w:jc w:val="center"/>
              <w:rPr>
                <w:rFonts w:ascii="宋体" w:hAnsi="宋体" w:cs="Courier New"/>
                <w:sz w:val="21"/>
                <w:szCs w:val="21"/>
              </w:rPr>
            </w:pPr>
            <w:r>
              <w:rPr>
                <w:rFonts w:hint="eastAsia" w:ascii="宋体" w:hAnsi="宋体" w:cs="Courier New"/>
                <w:sz w:val="21"/>
                <w:szCs w:val="21"/>
              </w:rPr>
              <w:t xml:space="preserve">路线主线全长23.185km，主线采用双向八车道，一级公路标准设计，全线共设立体互通6处。 </w:t>
            </w:r>
          </w:p>
        </w:tc>
        <w:tc>
          <w:tcPr>
            <w:tcW w:w="405" w:type="pct"/>
            <w:shd w:val="clear" w:color="auto" w:fill="auto"/>
            <w:vAlign w:val="center"/>
          </w:tcPr>
          <w:p w14:paraId="5839BC52">
            <w:pPr>
              <w:widowControl/>
              <w:ind w:firstLine="0" w:firstLineChars="0"/>
              <w:jc w:val="center"/>
              <w:rPr>
                <w:rFonts w:ascii="宋体" w:hAnsi="宋体" w:cs="Courier New"/>
                <w:sz w:val="21"/>
                <w:szCs w:val="21"/>
              </w:rPr>
            </w:pPr>
          </w:p>
        </w:tc>
        <w:tc>
          <w:tcPr>
            <w:tcW w:w="605" w:type="pct"/>
            <w:shd w:val="clear" w:color="auto" w:fill="auto"/>
            <w:vAlign w:val="center"/>
          </w:tcPr>
          <w:p w14:paraId="1E85E863">
            <w:pPr>
              <w:widowControl/>
              <w:ind w:firstLine="0" w:firstLineChars="0"/>
              <w:jc w:val="center"/>
              <w:rPr>
                <w:rFonts w:ascii="宋体" w:hAnsi="宋体" w:cs="Courier New"/>
                <w:sz w:val="21"/>
                <w:szCs w:val="21"/>
              </w:rPr>
            </w:pPr>
            <w:r>
              <w:rPr>
                <w:rFonts w:hint="eastAsia" w:ascii="宋体" w:hAnsi="宋体" w:cs="Courier New"/>
                <w:sz w:val="21"/>
                <w:szCs w:val="21"/>
              </w:rPr>
              <w:t>2021-2023</w:t>
            </w:r>
          </w:p>
        </w:tc>
        <w:tc>
          <w:tcPr>
            <w:tcW w:w="502" w:type="pct"/>
            <w:shd w:val="clear" w:color="auto" w:fill="auto"/>
            <w:vAlign w:val="center"/>
          </w:tcPr>
          <w:p w14:paraId="106C6E90">
            <w:pPr>
              <w:widowControl/>
              <w:ind w:firstLine="0" w:firstLineChars="0"/>
              <w:jc w:val="center"/>
              <w:rPr>
                <w:rFonts w:ascii="宋体" w:hAnsi="宋体" w:cs="Courier New"/>
                <w:sz w:val="21"/>
                <w:szCs w:val="21"/>
              </w:rPr>
            </w:pPr>
            <w:r>
              <w:rPr>
                <w:rFonts w:hint="eastAsia" w:ascii="宋体" w:hAnsi="宋体" w:cs="Courier New"/>
                <w:sz w:val="21"/>
                <w:szCs w:val="21"/>
              </w:rPr>
              <w:t>59.48</w:t>
            </w:r>
          </w:p>
        </w:tc>
        <w:tc>
          <w:tcPr>
            <w:tcW w:w="504" w:type="pct"/>
            <w:shd w:val="clear" w:color="auto" w:fill="auto"/>
            <w:vAlign w:val="center"/>
          </w:tcPr>
          <w:p w14:paraId="62B8C9D8">
            <w:pPr>
              <w:widowControl/>
              <w:ind w:firstLine="0" w:firstLineChars="0"/>
              <w:jc w:val="center"/>
              <w:rPr>
                <w:rFonts w:ascii="宋体" w:hAnsi="宋体" w:cs="Courier New"/>
                <w:sz w:val="21"/>
                <w:szCs w:val="21"/>
              </w:rPr>
            </w:pPr>
            <w:r>
              <w:rPr>
                <w:rFonts w:hint="eastAsia" w:ascii="宋体" w:hAnsi="宋体" w:cs="Courier New"/>
                <w:sz w:val="21"/>
                <w:szCs w:val="21"/>
              </w:rPr>
              <w:t>40</w:t>
            </w:r>
          </w:p>
        </w:tc>
        <w:tc>
          <w:tcPr>
            <w:tcW w:w="411" w:type="pct"/>
            <w:shd w:val="clear" w:color="auto" w:fill="auto"/>
            <w:vAlign w:val="center"/>
          </w:tcPr>
          <w:p w14:paraId="43ECED0C">
            <w:pPr>
              <w:widowControl/>
              <w:ind w:firstLine="0" w:firstLineChars="0"/>
              <w:jc w:val="center"/>
              <w:rPr>
                <w:rFonts w:ascii="宋体" w:hAnsi="宋体" w:cs="宋体"/>
                <w:kern w:val="0"/>
                <w:sz w:val="22"/>
              </w:rPr>
            </w:pPr>
          </w:p>
        </w:tc>
      </w:tr>
      <w:tr w14:paraId="0F0A4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2FA762AD">
            <w:pPr>
              <w:widowControl/>
              <w:ind w:firstLine="0" w:firstLineChars="0"/>
              <w:jc w:val="center"/>
              <w:rPr>
                <w:rFonts w:ascii="宋体" w:hAnsi="宋体" w:cs="Courier New"/>
                <w:sz w:val="21"/>
                <w:szCs w:val="21"/>
              </w:rPr>
            </w:pPr>
            <w:r>
              <w:rPr>
                <w:rFonts w:hint="eastAsia" w:ascii="宋体" w:hAnsi="宋体" w:cs="Courier New"/>
                <w:sz w:val="21"/>
                <w:szCs w:val="21"/>
              </w:rPr>
              <w:t>5</w:t>
            </w:r>
          </w:p>
        </w:tc>
        <w:tc>
          <w:tcPr>
            <w:tcW w:w="1265" w:type="pct"/>
            <w:shd w:val="clear" w:color="auto" w:fill="auto"/>
            <w:vAlign w:val="center"/>
          </w:tcPr>
          <w:p w14:paraId="7F87F354">
            <w:pPr>
              <w:widowControl/>
              <w:ind w:firstLine="0" w:firstLineChars="0"/>
              <w:jc w:val="center"/>
              <w:rPr>
                <w:rFonts w:ascii="宋体" w:hAnsi="宋体" w:cs="Courier New"/>
                <w:sz w:val="21"/>
                <w:szCs w:val="21"/>
              </w:rPr>
            </w:pPr>
            <w:r>
              <w:rPr>
                <w:rFonts w:hint="eastAsia" w:ascii="宋体" w:hAnsi="宋体" w:cs="Courier New"/>
                <w:sz w:val="21"/>
                <w:szCs w:val="21"/>
              </w:rPr>
              <w:t>G235国道东二环段提升工程</w:t>
            </w:r>
          </w:p>
        </w:tc>
        <w:tc>
          <w:tcPr>
            <w:tcW w:w="1037" w:type="pct"/>
            <w:shd w:val="clear" w:color="auto" w:fill="auto"/>
            <w:vAlign w:val="center"/>
          </w:tcPr>
          <w:p w14:paraId="62FFEBE1">
            <w:pPr>
              <w:widowControl/>
              <w:ind w:firstLine="0" w:firstLineChars="0"/>
              <w:jc w:val="center"/>
              <w:rPr>
                <w:rFonts w:ascii="宋体" w:hAnsi="宋体" w:cs="Courier New"/>
                <w:sz w:val="21"/>
                <w:szCs w:val="21"/>
              </w:rPr>
            </w:pPr>
            <w:r>
              <w:rPr>
                <w:rFonts w:hint="eastAsia" w:ascii="宋体" w:hAnsi="宋体" w:cs="Courier New"/>
                <w:sz w:val="21"/>
                <w:szCs w:val="21"/>
              </w:rPr>
              <w:t>路线全长约6公里，双向六车道，公路一级，高架桥方案</w:t>
            </w:r>
          </w:p>
        </w:tc>
        <w:tc>
          <w:tcPr>
            <w:tcW w:w="405" w:type="pct"/>
            <w:shd w:val="clear" w:color="auto" w:fill="auto"/>
            <w:vAlign w:val="center"/>
          </w:tcPr>
          <w:p w14:paraId="51208675">
            <w:pPr>
              <w:widowControl/>
              <w:ind w:firstLine="0" w:firstLineChars="0"/>
              <w:jc w:val="center"/>
              <w:rPr>
                <w:rFonts w:ascii="宋体" w:hAnsi="宋体" w:cs="Courier New"/>
                <w:sz w:val="21"/>
                <w:szCs w:val="21"/>
              </w:rPr>
            </w:pPr>
          </w:p>
        </w:tc>
        <w:tc>
          <w:tcPr>
            <w:tcW w:w="605" w:type="pct"/>
            <w:shd w:val="clear" w:color="auto" w:fill="auto"/>
            <w:vAlign w:val="center"/>
          </w:tcPr>
          <w:p w14:paraId="22834A17">
            <w:pPr>
              <w:widowControl/>
              <w:ind w:firstLine="0" w:firstLineChars="0"/>
              <w:jc w:val="center"/>
              <w:rPr>
                <w:rFonts w:ascii="宋体" w:hAnsi="宋体" w:cs="Courier New"/>
                <w:sz w:val="21"/>
                <w:szCs w:val="21"/>
              </w:rPr>
            </w:pPr>
            <w:r>
              <w:rPr>
                <w:rFonts w:hint="eastAsia" w:ascii="宋体" w:hAnsi="宋体" w:cs="Courier New"/>
                <w:sz w:val="21"/>
                <w:szCs w:val="21"/>
              </w:rPr>
              <w:t>2022-2025</w:t>
            </w:r>
          </w:p>
        </w:tc>
        <w:tc>
          <w:tcPr>
            <w:tcW w:w="502" w:type="pct"/>
            <w:shd w:val="clear" w:color="auto" w:fill="auto"/>
            <w:vAlign w:val="center"/>
          </w:tcPr>
          <w:p w14:paraId="10556D39">
            <w:pPr>
              <w:widowControl/>
              <w:ind w:firstLine="0" w:firstLineChars="0"/>
              <w:jc w:val="center"/>
              <w:rPr>
                <w:rFonts w:ascii="宋体" w:hAnsi="宋体" w:cs="Courier New"/>
                <w:sz w:val="21"/>
                <w:szCs w:val="21"/>
              </w:rPr>
            </w:pPr>
            <w:r>
              <w:rPr>
                <w:rFonts w:hint="eastAsia" w:ascii="宋体" w:hAnsi="宋体" w:cs="Courier New"/>
                <w:sz w:val="21"/>
                <w:szCs w:val="21"/>
              </w:rPr>
              <w:t>16</w:t>
            </w:r>
          </w:p>
        </w:tc>
        <w:tc>
          <w:tcPr>
            <w:tcW w:w="504" w:type="pct"/>
            <w:shd w:val="clear" w:color="auto" w:fill="auto"/>
            <w:vAlign w:val="center"/>
          </w:tcPr>
          <w:p w14:paraId="30A6532B">
            <w:pPr>
              <w:widowControl/>
              <w:ind w:firstLine="0" w:firstLineChars="0"/>
              <w:jc w:val="center"/>
              <w:rPr>
                <w:rFonts w:ascii="宋体" w:hAnsi="宋体" w:cs="Courier New"/>
                <w:sz w:val="21"/>
                <w:szCs w:val="21"/>
              </w:rPr>
            </w:pPr>
            <w:r>
              <w:rPr>
                <w:rFonts w:hint="eastAsia" w:ascii="宋体" w:hAnsi="宋体" w:cs="Courier New"/>
                <w:sz w:val="21"/>
                <w:szCs w:val="21"/>
              </w:rPr>
              <w:t>16</w:t>
            </w:r>
          </w:p>
        </w:tc>
        <w:tc>
          <w:tcPr>
            <w:tcW w:w="411" w:type="pct"/>
            <w:shd w:val="clear" w:color="auto" w:fill="auto"/>
            <w:vAlign w:val="center"/>
          </w:tcPr>
          <w:p w14:paraId="15507E01">
            <w:pPr>
              <w:widowControl/>
              <w:ind w:firstLine="0" w:firstLineChars="0"/>
              <w:jc w:val="center"/>
              <w:rPr>
                <w:rFonts w:ascii="宋体" w:hAnsi="宋体" w:cs="宋体"/>
                <w:kern w:val="0"/>
                <w:sz w:val="22"/>
              </w:rPr>
            </w:pPr>
          </w:p>
        </w:tc>
      </w:tr>
      <w:tr w14:paraId="6CE2D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71" w:type="pct"/>
            <w:shd w:val="clear" w:color="auto" w:fill="auto"/>
            <w:vAlign w:val="center"/>
          </w:tcPr>
          <w:p w14:paraId="71A26566">
            <w:pPr>
              <w:widowControl/>
              <w:ind w:firstLine="0" w:firstLineChars="0"/>
              <w:jc w:val="center"/>
              <w:rPr>
                <w:rFonts w:ascii="宋体" w:hAnsi="宋体" w:cs="Courier New"/>
                <w:sz w:val="21"/>
                <w:szCs w:val="21"/>
              </w:rPr>
            </w:pPr>
            <w:r>
              <w:rPr>
                <w:rFonts w:hint="eastAsia" w:ascii="宋体" w:hAnsi="宋体" w:cs="Courier New"/>
                <w:sz w:val="21"/>
                <w:szCs w:val="21"/>
              </w:rPr>
              <w:t>6</w:t>
            </w:r>
          </w:p>
        </w:tc>
        <w:tc>
          <w:tcPr>
            <w:tcW w:w="1265" w:type="pct"/>
            <w:shd w:val="clear" w:color="auto" w:fill="auto"/>
            <w:vAlign w:val="center"/>
          </w:tcPr>
          <w:p w14:paraId="7C59E71C">
            <w:pPr>
              <w:widowControl/>
              <w:ind w:firstLine="0" w:firstLineChars="0"/>
              <w:jc w:val="center"/>
              <w:rPr>
                <w:rFonts w:ascii="宋体" w:hAnsi="宋体" w:cs="Courier New"/>
                <w:sz w:val="21"/>
                <w:szCs w:val="21"/>
              </w:rPr>
            </w:pPr>
            <w:r>
              <w:rPr>
                <w:rFonts w:hint="eastAsia" w:ascii="宋体" w:hAnsi="宋体" w:cs="Courier New"/>
                <w:sz w:val="21"/>
                <w:szCs w:val="21"/>
              </w:rPr>
              <w:t>建金高速曹宅互通—甬金衢上高速连接线</w:t>
            </w:r>
          </w:p>
          <w:p w14:paraId="631E111B">
            <w:pPr>
              <w:widowControl/>
              <w:ind w:firstLine="0" w:firstLineChars="0"/>
              <w:jc w:val="center"/>
              <w:rPr>
                <w:rFonts w:ascii="宋体" w:hAnsi="宋体" w:cs="Courier New"/>
                <w:sz w:val="21"/>
                <w:szCs w:val="21"/>
              </w:rPr>
            </w:pPr>
            <w:r>
              <w:rPr>
                <w:rFonts w:hint="eastAsia" w:ascii="宋体" w:hAnsi="宋体" w:cs="Courier New"/>
                <w:sz w:val="21"/>
                <w:szCs w:val="21"/>
              </w:rPr>
              <w:t>（曹塘澧公路提升）</w:t>
            </w:r>
          </w:p>
        </w:tc>
        <w:tc>
          <w:tcPr>
            <w:tcW w:w="1037" w:type="pct"/>
            <w:shd w:val="clear" w:color="auto" w:fill="auto"/>
            <w:vAlign w:val="center"/>
          </w:tcPr>
          <w:p w14:paraId="6CE0436E">
            <w:pPr>
              <w:widowControl/>
              <w:ind w:firstLine="0" w:firstLineChars="0"/>
              <w:jc w:val="center"/>
              <w:rPr>
                <w:rFonts w:ascii="宋体" w:hAnsi="宋体" w:cs="Courier New"/>
                <w:sz w:val="21"/>
                <w:szCs w:val="21"/>
              </w:rPr>
            </w:pPr>
            <w:r>
              <w:rPr>
                <w:rFonts w:hint="eastAsia" w:ascii="宋体" w:hAnsi="宋体" w:cs="Courier New"/>
                <w:sz w:val="21"/>
                <w:szCs w:val="21"/>
              </w:rPr>
              <w:t>线路全长17.85公里，公路一级，双向六车道加辅车道。项目分两期十四五实施澧浦互通至330国道段约5.8公里。曹宅至澧浦段拓宽于十五五期间实施。</w:t>
            </w:r>
          </w:p>
        </w:tc>
        <w:tc>
          <w:tcPr>
            <w:tcW w:w="405" w:type="pct"/>
            <w:shd w:val="clear" w:color="auto" w:fill="auto"/>
            <w:vAlign w:val="center"/>
          </w:tcPr>
          <w:p w14:paraId="6EA70DBF">
            <w:pPr>
              <w:widowControl/>
              <w:ind w:firstLine="0" w:firstLineChars="0"/>
              <w:jc w:val="center"/>
              <w:rPr>
                <w:rFonts w:ascii="宋体" w:hAnsi="宋体" w:cs="Courier New"/>
                <w:sz w:val="21"/>
                <w:szCs w:val="21"/>
              </w:rPr>
            </w:pPr>
            <w:r>
              <w:rPr>
                <w:rFonts w:hint="eastAsia" w:ascii="宋体" w:hAnsi="宋体" w:cs="Courier New"/>
                <w:sz w:val="21"/>
                <w:szCs w:val="21"/>
              </w:rPr>
              <w:t>新建</w:t>
            </w:r>
          </w:p>
        </w:tc>
        <w:tc>
          <w:tcPr>
            <w:tcW w:w="605" w:type="pct"/>
            <w:shd w:val="clear" w:color="auto" w:fill="auto"/>
            <w:vAlign w:val="center"/>
          </w:tcPr>
          <w:p w14:paraId="42B258AD">
            <w:pPr>
              <w:widowControl/>
              <w:ind w:firstLine="0" w:firstLineChars="0"/>
              <w:jc w:val="center"/>
              <w:rPr>
                <w:rFonts w:ascii="宋体" w:hAnsi="宋体" w:cs="Courier New"/>
                <w:sz w:val="21"/>
                <w:szCs w:val="21"/>
              </w:rPr>
            </w:pPr>
            <w:r>
              <w:rPr>
                <w:rFonts w:hint="eastAsia" w:ascii="宋体" w:hAnsi="宋体" w:cs="Courier New"/>
                <w:sz w:val="21"/>
                <w:szCs w:val="21"/>
              </w:rPr>
              <w:t>2022-2028</w:t>
            </w:r>
          </w:p>
        </w:tc>
        <w:tc>
          <w:tcPr>
            <w:tcW w:w="502" w:type="pct"/>
            <w:shd w:val="clear" w:color="auto" w:fill="auto"/>
            <w:vAlign w:val="center"/>
          </w:tcPr>
          <w:p w14:paraId="12F52850">
            <w:pPr>
              <w:widowControl/>
              <w:ind w:firstLine="0" w:firstLineChars="0"/>
              <w:jc w:val="center"/>
              <w:rPr>
                <w:rFonts w:ascii="宋体" w:hAnsi="宋体" w:cs="Courier New"/>
                <w:sz w:val="21"/>
                <w:szCs w:val="21"/>
              </w:rPr>
            </w:pPr>
            <w:r>
              <w:rPr>
                <w:rFonts w:hint="eastAsia" w:ascii="宋体" w:hAnsi="宋体" w:cs="Courier New"/>
                <w:sz w:val="21"/>
                <w:szCs w:val="21"/>
              </w:rPr>
              <w:t>9.6</w:t>
            </w:r>
          </w:p>
        </w:tc>
        <w:tc>
          <w:tcPr>
            <w:tcW w:w="504" w:type="pct"/>
            <w:shd w:val="clear" w:color="auto" w:fill="auto"/>
            <w:vAlign w:val="center"/>
          </w:tcPr>
          <w:p w14:paraId="1C3CCED6">
            <w:pPr>
              <w:widowControl/>
              <w:ind w:firstLine="0" w:firstLineChars="0"/>
              <w:jc w:val="center"/>
              <w:rPr>
                <w:rFonts w:ascii="宋体" w:hAnsi="宋体" w:cs="Courier New"/>
                <w:sz w:val="21"/>
                <w:szCs w:val="21"/>
              </w:rPr>
            </w:pPr>
            <w:r>
              <w:rPr>
                <w:rFonts w:hint="eastAsia" w:ascii="宋体" w:hAnsi="宋体" w:cs="Courier New"/>
                <w:sz w:val="21"/>
                <w:szCs w:val="21"/>
              </w:rPr>
              <w:t>6</w:t>
            </w:r>
          </w:p>
        </w:tc>
        <w:tc>
          <w:tcPr>
            <w:tcW w:w="411" w:type="pct"/>
            <w:shd w:val="clear" w:color="auto" w:fill="auto"/>
            <w:vAlign w:val="center"/>
          </w:tcPr>
          <w:p w14:paraId="2ECDB85B">
            <w:pPr>
              <w:widowControl/>
              <w:ind w:firstLine="0" w:firstLineChars="0"/>
              <w:jc w:val="center"/>
              <w:rPr>
                <w:rFonts w:ascii="宋体" w:hAnsi="宋体" w:cs="宋体"/>
                <w:kern w:val="0"/>
                <w:sz w:val="22"/>
              </w:rPr>
            </w:pPr>
            <w:r>
              <w:rPr>
                <w:rFonts w:hint="eastAsia" w:ascii="宋体" w:hAnsi="宋体" w:cs="宋体"/>
                <w:kern w:val="0"/>
                <w:sz w:val="22"/>
              </w:rPr>
              <w:t>争取纳入规划S313三门—婺城省道</w:t>
            </w:r>
          </w:p>
        </w:tc>
      </w:tr>
      <w:tr w14:paraId="31DC7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3582" w:type="pct"/>
            <w:gridSpan w:val="5"/>
            <w:tcBorders>
              <w:top w:val="single" w:color="auto" w:sz="4" w:space="0"/>
            </w:tcBorders>
            <w:shd w:val="clear" w:color="auto" w:fill="DBE5F1" w:themeFill="accent1" w:themeFillTint="33"/>
            <w:vAlign w:val="center"/>
          </w:tcPr>
          <w:p w14:paraId="6DB68323">
            <w:pPr>
              <w:ind w:firstLine="422"/>
              <w:jc w:val="center"/>
              <w:rPr>
                <w:rFonts w:ascii="宋体" w:hAnsi="宋体" w:cs="Courier New"/>
                <w:b/>
                <w:sz w:val="21"/>
                <w:szCs w:val="21"/>
              </w:rPr>
            </w:pPr>
            <w:r>
              <w:rPr>
                <w:rFonts w:ascii="宋体" w:hAnsi="宋体" w:cs="Courier New"/>
                <w:b/>
                <w:sz w:val="21"/>
                <w:szCs w:val="21"/>
              </w:rPr>
              <w:t>合计</w:t>
            </w:r>
          </w:p>
        </w:tc>
        <w:tc>
          <w:tcPr>
            <w:tcW w:w="502" w:type="pct"/>
            <w:tcBorders>
              <w:top w:val="single" w:color="auto" w:sz="4" w:space="0"/>
            </w:tcBorders>
            <w:shd w:val="clear" w:color="auto" w:fill="DBE5F1" w:themeFill="accent1" w:themeFillTint="33"/>
            <w:vAlign w:val="center"/>
          </w:tcPr>
          <w:p w14:paraId="34BE329D">
            <w:pPr>
              <w:ind w:firstLine="0" w:firstLineChars="0"/>
              <w:jc w:val="center"/>
              <w:rPr>
                <w:rFonts w:ascii="宋体" w:hAnsi="宋体" w:cs="Courier New"/>
                <w:b/>
                <w:sz w:val="21"/>
                <w:szCs w:val="21"/>
              </w:rPr>
            </w:pPr>
            <w:r>
              <w:rPr>
                <w:rFonts w:hint="eastAsia" w:ascii="宋体" w:hAnsi="宋体" w:cs="Courier New"/>
                <w:b/>
                <w:sz w:val="21"/>
                <w:szCs w:val="21"/>
              </w:rPr>
              <w:t>91.08</w:t>
            </w:r>
          </w:p>
        </w:tc>
        <w:tc>
          <w:tcPr>
            <w:tcW w:w="504" w:type="pct"/>
            <w:tcBorders>
              <w:top w:val="single" w:color="auto" w:sz="4" w:space="0"/>
            </w:tcBorders>
            <w:shd w:val="clear" w:color="auto" w:fill="DBE5F1" w:themeFill="accent1" w:themeFillTint="33"/>
            <w:vAlign w:val="center"/>
          </w:tcPr>
          <w:p w14:paraId="0A5DC580">
            <w:pPr>
              <w:ind w:firstLine="0" w:firstLineChars="0"/>
              <w:jc w:val="center"/>
              <w:rPr>
                <w:rFonts w:ascii="宋体" w:hAnsi="宋体" w:cs="Courier New"/>
                <w:b/>
                <w:sz w:val="21"/>
                <w:szCs w:val="21"/>
              </w:rPr>
            </w:pPr>
            <w:r>
              <w:rPr>
                <w:rFonts w:hint="eastAsia" w:ascii="宋体" w:hAnsi="宋体" w:cs="Courier New"/>
                <w:b/>
                <w:sz w:val="21"/>
                <w:szCs w:val="21"/>
              </w:rPr>
              <w:t>59</w:t>
            </w:r>
          </w:p>
        </w:tc>
        <w:tc>
          <w:tcPr>
            <w:tcW w:w="411" w:type="pct"/>
            <w:tcBorders>
              <w:top w:val="single" w:color="auto" w:sz="4" w:space="0"/>
            </w:tcBorders>
            <w:shd w:val="clear" w:color="auto" w:fill="DBE5F1" w:themeFill="accent1" w:themeFillTint="33"/>
            <w:vAlign w:val="center"/>
          </w:tcPr>
          <w:p w14:paraId="339663FE">
            <w:pPr>
              <w:ind w:firstLine="422"/>
              <w:jc w:val="center"/>
              <w:rPr>
                <w:rFonts w:ascii="宋体" w:hAnsi="宋体" w:cs="Courier New"/>
                <w:b/>
                <w:sz w:val="21"/>
                <w:szCs w:val="21"/>
              </w:rPr>
            </w:pPr>
          </w:p>
        </w:tc>
      </w:tr>
      <w:tr w14:paraId="2E0B18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71" w:type="pct"/>
            <w:shd w:val="clear" w:color="auto" w:fill="auto"/>
            <w:vAlign w:val="center"/>
          </w:tcPr>
          <w:p w14:paraId="3E5E759D">
            <w:pPr>
              <w:widowControl/>
              <w:ind w:firstLine="0" w:firstLineChars="0"/>
              <w:jc w:val="center"/>
              <w:rPr>
                <w:rFonts w:ascii="宋体" w:hAnsi="宋体" w:cs="Courier New"/>
                <w:sz w:val="21"/>
                <w:szCs w:val="21"/>
              </w:rPr>
            </w:pPr>
            <w:r>
              <w:rPr>
                <w:rFonts w:hint="eastAsia" w:ascii="宋体" w:hAnsi="宋体" w:cs="Courier New"/>
                <w:sz w:val="21"/>
                <w:szCs w:val="21"/>
              </w:rPr>
              <w:t>7</w:t>
            </w:r>
          </w:p>
        </w:tc>
        <w:tc>
          <w:tcPr>
            <w:tcW w:w="1265" w:type="pct"/>
            <w:shd w:val="clear" w:color="auto" w:fill="auto"/>
            <w:vAlign w:val="center"/>
          </w:tcPr>
          <w:p w14:paraId="2C91FABB">
            <w:pPr>
              <w:widowControl/>
              <w:ind w:firstLine="0" w:firstLineChars="0"/>
              <w:jc w:val="center"/>
              <w:rPr>
                <w:rFonts w:ascii="宋体" w:hAnsi="宋体" w:cs="Courier New"/>
                <w:sz w:val="21"/>
                <w:szCs w:val="21"/>
              </w:rPr>
            </w:pPr>
            <w:r>
              <w:rPr>
                <w:rFonts w:hint="eastAsia" w:ascii="宋体" w:hAnsi="宋体" w:cs="Courier New"/>
                <w:sz w:val="21"/>
                <w:szCs w:val="21"/>
              </w:rPr>
              <w:t>G330 武义至兰溪段（市区段外迁）</w:t>
            </w:r>
          </w:p>
        </w:tc>
        <w:tc>
          <w:tcPr>
            <w:tcW w:w="1037" w:type="pct"/>
            <w:shd w:val="clear" w:color="auto" w:fill="auto"/>
            <w:vAlign w:val="center"/>
          </w:tcPr>
          <w:p w14:paraId="6DBD8CD5">
            <w:pPr>
              <w:widowControl/>
              <w:ind w:firstLine="0" w:firstLineChars="0"/>
              <w:jc w:val="center"/>
              <w:rPr>
                <w:rFonts w:ascii="宋体" w:hAnsi="宋体" w:cs="Courier New"/>
                <w:sz w:val="21"/>
                <w:szCs w:val="21"/>
              </w:rPr>
            </w:pPr>
            <w:r>
              <w:rPr>
                <w:rFonts w:hint="eastAsia" w:ascii="宋体" w:hAnsi="宋体" w:cs="Courier New"/>
                <w:sz w:val="21"/>
                <w:szCs w:val="21"/>
              </w:rPr>
              <w:t>改建一级公路（过境交通）</w:t>
            </w:r>
          </w:p>
        </w:tc>
        <w:tc>
          <w:tcPr>
            <w:tcW w:w="405" w:type="pct"/>
            <w:shd w:val="clear" w:color="auto" w:fill="auto"/>
            <w:vAlign w:val="center"/>
          </w:tcPr>
          <w:p w14:paraId="22F6D76D">
            <w:pPr>
              <w:widowControl/>
              <w:ind w:firstLine="0" w:firstLineChars="0"/>
              <w:jc w:val="center"/>
              <w:rPr>
                <w:rFonts w:ascii="宋体" w:hAnsi="宋体" w:cs="Courier New"/>
                <w:sz w:val="21"/>
                <w:szCs w:val="21"/>
              </w:rPr>
            </w:pPr>
          </w:p>
        </w:tc>
        <w:tc>
          <w:tcPr>
            <w:tcW w:w="605" w:type="pct"/>
            <w:shd w:val="clear" w:color="auto" w:fill="auto"/>
            <w:vAlign w:val="center"/>
          </w:tcPr>
          <w:p w14:paraId="5C201B46">
            <w:pPr>
              <w:widowControl/>
              <w:ind w:firstLine="0" w:firstLineChars="0"/>
              <w:jc w:val="center"/>
              <w:rPr>
                <w:rFonts w:ascii="宋体" w:hAnsi="宋体" w:cs="Courier New"/>
                <w:sz w:val="21"/>
                <w:szCs w:val="21"/>
              </w:rPr>
            </w:pPr>
            <w:r>
              <w:rPr>
                <w:rFonts w:hint="eastAsia" w:ascii="宋体" w:hAnsi="宋体" w:cs="Courier New"/>
                <w:sz w:val="21"/>
                <w:szCs w:val="21"/>
              </w:rPr>
              <w:t>2022-2026</w:t>
            </w:r>
          </w:p>
        </w:tc>
        <w:tc>
          <w:tcPr>
            <w:tcW w:w="502" w:type="pct"/>
            <w:shd w:val="clear" w:color="auto" w:fill="auto"/>
            <w:vAlign w:val="center"/>
          </w:tcPr>
          <w:p w14:paraId="3B96E64D">
            <w:pPr>
              <w:widowControl/>
              <w:ind w:firstLine="0" w:firstLineChars="0"/>
              <w:jc w:val="center"/>
              <w:rPr>
                <w:rFonts w:ascii="宋体" w:hAnsi="宋体" w:cs="Courier New"/>
                <w:sz w:val="21"/>
                <w:szCs w:val="21"/>
              </w:rPr>
            </w:pPr>
            <w:r>
              <w:rPr>
                <w:rFonts w:hint="eastAsia" w:ascii="宋体" w:hAnsi="宋体" w:cs="Courier New"/>
                <w:sz w:val="21"/>
                <w:szCs w:val="21"/>
              </w:rPr>
              <w:t>106.2</w:t>
            </w:r>
          </w:p>
        </w:tc>
        <w:tc>
          <w:tcPr>
            <w:tcW w:w="504" w:type="pct"/>
            <w:shd w:val="clear" w:color="auto" w:fill="auto"/>
            <w:vAlign w:val="center"/>
          </w:tcPr>
          <w:p w14:paraId="204E4160">
            <w:pPr>
              <w:widowControl/>
              <w:ind w:firstLine="0" w:firstLineChars="0"/>
              <w:jc w:val="center"/>
              <w:rPr>
                <w:rFonts w:ascii="宋体" w:hAnsi="宋体" w:cs="Courier New"/>
                <w:sz w:val="21"/>
                <w:szCs w:val="21"/>
              </w:rPr>
            </w:pPr>
          </w:p>
        </w:tc>
        <w:tc>
          <w:tcPr>
            <w:tcW w:w="411" w:type="pct"/>
            <w:shd w:val="clear" w:color="auto" w:fill="auto"/>
            <w:vAlign w:val="center"/>
          </w:tcPr>
          <w:p w14:paraId="5F92D4BD">
            <w:pPr>
              <w:widowControl/>
              <w:ind w:firstLine="0" w:firstLineChars="0"/>
              <w:jc w:val="center"/>
              <w:rPr>
                <w:rFonts w:ascii="宋体" w:hAnsi="宋体" w:cs="Courier New"/>
                <w:sz w:val="21"/>
                <w:szCs w:val="21"/>
              </w:rPr>
            </w:pPr>
            <w:r>
              <w:rPr>
                <w:rFonts w:hint="eastAsia" w:ascii="宋体" w:hAnsi="宋体" w:cs="Courier New"/>
                <w:sz w:val="21"/>
                <w:szCs w:val="21"/>
              </w:rPr>
              <w:t>预备类</w:t>
            </w:r>
          </w:p>
        </w:tc>
      </w:tr>
      <w:tr w14:paraId="3BB22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71" w:type="pct"/>
            <w:shd w:val="clear" w:color="auto" w:fill="auto"/>
            <w:vAlign w:val="center"/>
          </w:tcPr>
          <w:p w14:paraId="0C00A34B">
            <w:pPr>
              <w:widowControl/>
              <w:ind w:firstLine="0" w:firstLineChars="0"/>
              <w:jc w:val="center"/>
              <w:rPr>
                <w:rFonts w:ascii="宋体" w:hAnsi="宋体" w:cs="Courier New"/>
                <w:sz w:val="21"/>
                <w:szCs w:val="21"/>
              </w:rPr>
            </w:pPr>
            <w:r>
              <w:rPr>
                <w:rFonts w:hint="eastAsia" w:ascii="宋体" w:hAnsi="宋体" w:cs="Courier New"/>
                <w:sz w:val="21"/>
                <w:szCs w:val="21"/>
              </w:rPr>
              <w:t>8</w:t>
            </w:r>
          </w:p>
        </w:tc>
        <w:tc>
          <w:tcPr>
            <w:tcW w:w="1265" w:type="pct"/>
            <w:shd w:val="clear" w:color="auto" w:fill="auto"/>
            <w:vAlign w:val="center"/>
          </w:tcPr>
          <w:p w14:paraId="69B10499">
            <w:pPr>
              <w:widowControl/>
              <w:ind w:firstLine="0" w:firstLineChars="0"/>
              <w:jc w:val="center"/>
              <w:rPr>
                <w:rFonts w:ascii="宋体" w:hAnsi="宋体" w:cs="Courier New"/>
                <w:sz w:val="21"/>
                <w:szCs w:val="21"/>
              </w:rPr>
            </w:pPr>
            <w:r>
              <w:rPr>
                <w:rFonts w:hint="eastAsia" w:ascii="宋体" w:hAnsi="宋体" w:cs="Courier New"/>
                <w:sz w:val="21"/>
                <w:szCs w:val="21"/>
              </w:rPr>
              <w:t>白雅线</w:t>
            </w:r>
          </w:p>
        </w:tc>
        <w:tc>
          <w:tcPr>
            <w:tcW w:w="1037" w:type="pct"/>
            <w:shd w:val="clear" w:color="auto" w:fill="auto"/>
            <w:vAlign w:val="center"/>
          </w:tcPr>
          <w:p w14:paraId="797AFC91">
            <w:pPr>
              <w:widowControl/>
              <w:ind w:firstLine="0" w:firstLineChars="0"/>
              <w:jc w:val="center"/>
              <w:rPr>
                <w:rFonts w:ascii="宋体" w:hAnsi="宋体" w:cs="Courier New"/>
                <w:sz w:val="21"/>
                <w:szCs w:val="21"/>
              </w:rPr>
            </w:pPr>
            <w:r>
              <w:rPr>
                <w:rFonts w:hint="eastAsia" w:ascii="宋体" w:hAnsi="宋体" w:cs="Courier New"/>
                <w:sz w:val="21"/>
                <w:szCs w:val="21"/>
              </w:rPr>
              <w:t>城区段利用广顺街线位</w:t>
            </w:r>
          </w:p>
        </w:tc>
        <w:tc>
          <w:tcPr>
            <w:tcW w:w="405" w:type="pct"/>
            <w:shd w:val="clear" w:color="auto" w:fill="auto"/>
            <w:vAlign w:val="center"/>
          </w:tcPr>
          <w:p w14:paraId="2B105FFE">
            <w:pPr>
              <w:widowControl/>
              <w:ind w:firstLine="0" w:firstLineChars="0"/>
              <w:jc w:val="center"/>
              <w:rPr>
                <w:rFonts w:ascii="宋体" w:hAnsi="宋体" w:cs="Courier New"/>
                <w:sz w:val="21"/>
                <w:szCs w:val="21"/>
              </w:rPr>
            </w:pPr>
          </w:p>
        </w:tc>
        <w:tc>
          <w:tcPr>
            <w:tcW w:w="605" w:type="pct"/>
            <w:shd w:val="clear" w:color="auto" w:fill="auto"/>
            <w:vAlign w:val="center"/>
          </w:tcPr>
          <w:p w14:paraId="2C7DAEC5">
            <w:pPr>
              <w:widowControl/>
              <w:ind w:firstLine="0" w:firstLineChars="0"/>
              <w:jc w:val="center"/>
              <w:rPr>
                <w:rFonts w:ascii="宋体" w:hAnsi="宋体" w:cs="Courier New"/>
                <w:sz w:val="21"/>
                <w:szCs w:val="21"/>
              </w:rPr>
            </w:pPr>
          </w:p>
        </w:tc>
        <w:tc>
          <w:tcPr>
            <w:tcW w:w="502" w:type="pct"/>
            <w:shd w:val="clear" w:color="auto" w:fill="auto"/>
            <w:vAlign w:val="center"/>
          </w:tcPr>
          <w:p w14:paraId="73E2A4AF">
            <w:pPr>
              <w:widowControl/>
              <w:ind w:firstLine="0" w:firstLineChars="0"/>
              <w:jc w:val="center"/>
              <w:rPr>
                <w:rFonts w:ascii="宋体" w:hAnsi="宋体" w:cs="Courier New"/>
                <w:sz w:val="21"/>
                <w:szCs w:val="21"/>
              </w:rPr>
            </w:pPr>
          </w:p>
        </w:tc>
        <w:tc>
          <w:tcPr>
            <w:tcW w:w="504" w:type="pct"/>
            <w:shd w:val="clear" w:color="auto" w:fill="auto"/>
            <w:vAlign w:val="center"/>
          </w:tcPr>
          <w:p w14:paraId="1CA2FAF9">
            <w:pPr>
              <w:widowControl/>
              <w:ind w:firstLine="0" w:firstLineChars="0"/>
              <w:jc w:val="center"/>
              <w:rPr>
                <w:rFonts w:ascii="宋体" w:hAnsi="宋体" w:cs="Courier New"/>
                <w:sz w:val="21"/>
                <w:szCs w:val="21"/>
              </w:rPr>
            </w:pPr>
          </w:p>
        </w:tc>
        <w:tc>
          <w:tcPr>
            <w:tcW w:w="411" w:type="pct"/>
            <w:shd w:val="clear" w:color="auto" w:fill="auto"/>
            <w:vAlign w:val="center"/>
          </w:tcPr>
          <w:p w14:paraId="294399DE">
            <w:pPr>
              <w:widowControl/>
              <w:ind w:firstLine="0" w:firstLineChars="0"/>
              <w:jc w:val="center"/>
              <w:rPr>
                <w:rFonts w:ascii="宋体" w:hAnsi="宋体" w:cs="Courier New"/>
                <w:sz w:val="21"/>
                <w:szCs w:val="21"/>
              </w:rPr>
            </w:pPr>
            <w:r>
              <w:rPr>
                <w:rFonts w:hint="eastAsia" w:ascii="宋体" w:hAnsi="宋体" w:cs="Courier New"/>
                <w:sz w:val="21"/>
                <w:szCs w:val="21"/>
              </w:rPr>
              <w:t>预备类</w:t>
            </w:r>
          </w:p>
        </w:tc>
      </w:tr>
      <w:tr w14:paraId="1D9B81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71" w:type="pct"/>
            <w:shd w:val="clear" w:color="auto" w:fill="auto"/>
            <w:vAlign w:val="center"/>
          </w:tcPr>
          <w:p w14:paraId="4AE281E5">
            <w:pPr>
              <w:widowControl/>
              <w:ind w:firstLine="0" w:firstLineChars="0"/>
              <w:jc w:val="center"/>
              <w:rPr>
                <w:rFonts w:ascii="宋体" w:hAnsi="宋体" w:cs="Courier New"/>
                <w:sz w:val="21"/>
                <w:szCs w:val="21"/>
              </w:rPr>
            </w:pPr>
            <w:r>
              <w:rPr>
                <w:rFonts w:hint="eastAsia" w:ascii="宋体" w:hAnsi="宋体" w:cs="Courier New"/>
                <w:sz w:val="21"/>
                <w:szCs w:val="21"/>
              </w:rPr>
              <w:t>9</w:t>
            </w:r>
          </w:p>
        </w:tc>
        <w:tc>
          <w:tcPr>
            <w:tcW w:w="1265" w:type="pct"/>
            <w:shd w:val="clear" w:color="auto" w:fill="auto"/>
            <w:vAlign w:val="center"/>
          </w:tcPr>
          <w:p w14:paraId="30F427B5">
            <w:pPr>
              <w:widowControl/>
              <w:ind w:firstLine="0" w:firstLineChars="0"/>
              <w:jc w:val="center"/>
              <w:rPr>
                <w:rFonts w:ascii="宋体" w:hAnsi="宋体" w:cs="Courier New"/>
                <w:sz w:val="21"/>
                <w:szCs w:val="21"/>
              </w:rPr>
            </w:pPr>
            <w:r>
              <w:rPr>
                <w:rFonts w:hint="eastAsia" w:ascii="宋体" w:hAnsi="宋体" w:cs="Courier New"/>
                <w:sz w:val="21"/>
                <w:szCs w:val="21"/>
              </w:rPr>
              <w:t>东华街</w:t>
            </w:r>
          </w:p>
        </w:tc>
        <w:tc>
          <w:tcPr>
            <w:tcW w:w="1037" w:type="pct"/>
            <w:shd w:val="clear" w:color="auto" w:fill="auto"/>
            <w:vAlign w:val="center"/>
          </w:tcPr>
          <w:p w14:paraId="060A74B5">
            <w:pPr>
              <w:widowControl/>
              <w:ind w:firstLine="0" w:firstLineChars="0"/>
              <w:jc w:val="center"/>
              <w:rPr>
                <w:rFonts w:ascii="宋体" w:hAnsi="宋体" w:cs="Courier New"/>
                <w:sz w:val="21"/>
                <w:szCs w:val="21"/>
              </w:rPr>
            </w:pPr>
            <w:r>
              <w:rPr>
                <w:rFonts w:hint="eastAsia" w:ascii="宋体" w:hAnsi="宋体" w:cs="Courier New"/>
                <w:sz w:val="21"/>
                <w:szCs w:val="21"/>
              </w:rPr>
              <w:t>103省道—金义南线段已建成，金义南线至金义永公路7.4公里</w:t>
            </w:r>
          </w:p>
        </w:tc>
        <w:tc>
          <w:tcPr>
            <w:tcW w:w="405" w:type="pct"/>
            <w:shd w:val="clear" w:color="auto" w:fill="auto"/>
            <w:vAlign w:val="center"/>
          </w:tcPr>
          <w:p w14:paraId="0CC2C28C">
            <w:pPr>
              <w:widowControl/>
              <w:ind w:firstLine="0" w:firstLineChars="0"/>
              <w:jc w:val="center"/>
              <w:rPr>
                <w:rFonts w:ascii="宋体" w:hAnsi="宋体" w:cs="Courier New"/>
                <w:sz w:val="21"/>
                <w:szCs w:val="21"/>
              </w:rPr>
            </w:pPr>
          </w:p>
        </w:tc>
        <w:tc>
          <w:tcPr>
            <w:tcW w:w="605" w:type="pct"/>
            <w:shd w:val="clear" w:color="auto" w:fill="auto"/>
            <w:vAlign w:val="center"/>
          </w:tcPr>
          <w:p w14:paraId="1D67A6F3">
            <w:pPr>
              <w:widowControl/>
              <w:ind w:firstLine="0" w:firstLineChars="0"/>
              <w:jc w:val="center"/>
              <w:rPr>
                <w:rFonts w:ascii="宋体" w:hAnsi="宋体" w:cs="Courier New"/>
                <w:sz w:val="21"/>
                <w:szCs w:val="21"/>
              </w:rPr>
            </w:pPr>
          </w:p>
        </w:tc>
        <w:tc>
          <w:tcPr>
            <w:tcW w:w="502" w:type="pct"/>
            <w:shd w:val="clear" w:color="auto" w:fill="auto"/>
            <w:vAlign w:val="center"/>
          </w:tcPr>
          <w:p w14:paraId="5203EC12">
            <w:pPr>
              <w:widowControl/>
              <w:ind w:firstLine="0" w:firstLineChars="0"/>
              <w:jc w:val="center"/>
              <w:rPr>
                <w:rFonts w:ascii="宋体" w:hAnsi="宋体" w:cs="Courier New"/>
                <w:sz w:val="21"/>
                <w:szCs w:val="21"/>
              </w:rPr>
            </w:pPr>
          </w:p>
        </w:tc>
        <w:tc>
          <w:tcPr>
            <w:tcW w:w="504" w:type="pct"/>
            <w:shd w:val="clear" w:color="auto" w:fill="auto"/>
            <w:vAlign w:val="center"/>
          </w:tcPr>
          <w:p w14:paraId="2E9312A7">
            <w:pPr>
              <w:widowControl/>
              <w:ind w:firstLine="0" w:firstLineChars="0"/>
              <w:jc w:val="center"/>
              <w:rPr>
                <w:rFonts w:ascii="宋体" w:hAnsi="宋体" w:cs="Courier New"/>
                <w:sz w:val="21"/>
                <w:szCs w:val="21"/>
              </w:rPr>
            </w:pPr>
          </w:p>
        </w:tc>
        <w:tc>
          <w:tcPr>
            <w:tcW w:w="411" w:type="pct"/>
            <w:shd w:val="clear" w:color="auto" w:fill="auto"/>
            <w:vAlign w:val="center"/>
          </w:tcPr>
          <w:p w14:paraId="70FD6015">
            <w:pPr>
              <w:widowControl/>
              <w:ind w:firstLine="0" w:firstLineChars="0"/>
              <w:jc w:val="center"/>
              <w:rPr>
                <w:rFonts w:ascii="宋体" w:hAnsi="宋体" w:cs="Courier New"/>
                <w:sz w:val="21"/>
                <w:szCs w:val="21"/>
              </w:rPr>
            </w:pPr>
            <w:r>
              <w:rPr>
                <w:rFonts w:hint="eastAsia" w:ascii="宋体" w:hAnsi="宋体" w:cs="Courier New"/>
                <w:sz w:val="21"/>
                <w:szCs w:val="21"/>
              </w:rPr>
              <w:t>预备类</w:t>
            </w:r>
          </w:p>
        </w:tc>
      </w:tr>
    </w:tbl>
    <w:p w14:paraId="14057084">
      <w:pPr>
        <w:pStyle w:val="34"/>
        <w:ind w:firstLine="0" w:firstLineChars="0"/>
        <w:rPr>
          <w:rFonts w:ascii="Times New Roman"/>
        </w:rPr>
      </w:pPr>
    </w:p>
    <w:p w14:paraId="2CF7D704">
      <w:pPr>
        <w:pStyle w:val="6"/>
        <w:ind w:firstLine="643"/>
        <w:rPr>
          <w:sz w:val="32"/>
        </w:rPr>
      </w:pPr>
      <w:r>
        <w:rPr>
          <w:rFonts w:hint="eastAsia"/>
          <w:sz w:val="32"/>
        </w:rPr>
        <w:t>3</w:t>
      </w:r>
      <w:r>
        <w:rPr>
          <w:sz w:val="32"/>
        </w:rPr>
        <w:t>.水运</w:t>
      </w:r>
      <w:r>
        <w:rPr>
          <w:rFonts w:hint="eastAsia"/>
          <w:sz w:val="32"/>
        </w:rPr>
        <w:t>复兴工程</w:t>
      </w:r>
    </w:p>
    <w:p w14:paraId="49A01730">
      <w:pPr>
        <w:pStyle w:val="34"/>
        <w:jc w:val="left"/>
        <w:rPr>
          <w:rFonts w:ascii="Times New Roman"/>
        </w:rPr>
      </w:pPr>
      <w:r>
        <w:rPr>
          <w:rFonts w:hint="eastAsia" w:ascii="Times New Roman"/>
        </w:rPr>
        <w:t>继衢江、兰江项目之后，“十四五”期将谋划研究金华江航运开发二期（金华三江口~义乌环城南路桥）航运开发项目，按三级标准建设金华三江口至义乌环城南路桥约48公里航道；新建下宅枢纽，对已建的杨堡山、半月湾及杨宅枢纽增设通航建筑物，改造沿线桥梁13座，计划总投资约57亿元。</w:t>
      </w:r>
    </w:p>
    <w:p w14:paraId="38D942F0">
      <w:pPr>
        <w:pStyle w:val="6"/>
        <w:ind w:firstLine="643"/>
        <w:rPr>
          <w:sz w:val="32"/>
        </w:rPr>
      </w:pPr>
      <w:r>
        <w:rPr>
          <w:rFonts w:hint="eastAsia"/>
          <w:sz w:val="32"/>
        </w:rPr>
        <w:t>4</w:t>
      </w:r>
      <w:r>
        <w:rPr>
          <w:sz w:val="32"/>
        </w:rPr>
        <w:t>.枢纽</w:t>
      </w:r>
      <w:r>
        <w:rPr>
          <w:rFonts w:hint="eastAsia"/>
          <w:sz w:val="32"/>
        </w:rPr>
        <w:t>升级工程</w:t>
      </w:r>
    </w:p>
    <w:p w14:paraId="58B9A136">
      <w:pPr>
        <w:pStyle w:val="34"/>
        <w:ind w:firstLine="643"/>
        <w:jc w:val="left"/>
        <w:rPr>
          <w:rFonts w:ascii="Times New Roman"/>
          <w:b/>
        </w:rPr>
      </w:pPr>
      <w:r>
        <w:rPr>
          <w:rFonts w:hint="eastAsia" w:ascii="Times New Roman"/>
          <w:b/>
        </w:rPr>
        <w:t>（1）客运枢纽</w:t>
      </w:r>
    </w:p>
    <w:p w14:paraId="0E0A1EFB">
      <w:pPr>
        <w:pStyle w:val="34"/>
        <w:rPr>
          <w:rFonts w:ascii="Times New Roman"/>
        </w:rPr>
      </w:pPr>
      <w:r>
        <w:rPr>
          <w:rFonts w:hint="eastAsia" w:ascii="Times New Roman"/>
        </w:rPr>
        <w:t>加快发展综合客运枢纽，构建“多层次、多样化、高品质、高效率、换乘便捷、内外一体”的现代化客运及公交体系，努力实现“客运零换乘”，为旅客出行提供便利、为经济发展提供保障。“十四五”期间重点实施金义新区（金东）综合客运枢纽项目，总投资30亿元，“十四五”规划完成投资30</w:t>
      </w:r>
      <w:r>
        <w:rPr>
          <w:rFonts w:ascii="Times New Roman"/>
        </w:rPr>
        <w:t>亿元。</w:t>
      </w:r>
    </w:p>
    <w:p w14:paraId="6C472818">
      <w:pPr>
        <w:pStyle w:val="34"/>
        <w:ind w:firstLine="643"/>
        <w:jc w:val="left"/>
        <w:rPr>
          <w:rFonts w:ascii="Times New Roman"/>
          <w:b/>
        </w:rPr>
      </w:pPr>
      <w:r>
        <w:rPr>
          <w:rFonts w:hint="eastAsia" w:ascii="Times New Roman"/>
          <w:b/>
        </w:rPr>
        <w:t>（2）物流园区</w:t>
      </w:r>
    </w:p>
    <w:p w14:paraId="4A62747E">
      <w:pPr>
        <w:pStyle w:val="34"/>
        <w:rPr>
          <w:rFonts w:ascii="Times New Roman"/>
        </w:rPr>
      </w:pPr>
      <w:r>
        <w:rPr>
          <w:rFonts w:hint="eastAsia" w:ascii="Times New Roman"/>
        </w:rPr>
        <w:t>以大宗货物公铁水多式联运为核心，以做强快递物流、农产品物流、保税物流、供应链物流为重点，加快完善提升物流集聚区的建设。“十四五”期间实施项目建设</w:t>
      </w:r>
      <w:r>
        <w:rPr>
          <w:rFonts w:ascii="Times New Roman"/>
        </w:rPr>
        <w:t>4</w:t>
      </w:r>
      <w:r>
        <w:rPr>
          <w:rFonts w:hint="eastAsia" w:ascii="Times New Roman"/>
        </w:rPr>
        <w:t>个，总投资</w:t>
      </w:r>
      <w:r>
        <w:rPr>
          <w:rFonts w:ascii="Times New Roman"/>
        </w:rPr>
        <w:t>125.3</w:t>
      </w:r>
      <w:r>
        <w:rPr>
          <w:rFonts w:hint="eastAsia" w:ascii="Times New Roman"/>
        </w:rPr>
        <w:t>亿元，详见表</w:t>
      </w:r>
      <w:r>
        <w:rPr>
          <w:rFonts w:ascii="Times New Roman"/>
        </w:rPr>
        <w:t>5-</w:t>
      </w:r>
      <w:r>
        <w:rPr>
          <w:rFonts w:hint="eastAsia" w:ascii="Times New Roman"/>
        </w:rPr>
        <w:t>3</w:t>
      </w:r>
      <w:r>
        <w:rPr>
          <w:rFonts w:ascii="Times New Roman"/>
        </w:rPr>
        <w:t>。</w:t>
      </w:r>
    </w:p>
    <w:p w14:paraId="4E64B7CF">
      <w:pPr>
        <w:pStyle w:val="34"/>
        <w:rPr>
          <w:rFonts w:ascii="Times New Roman"/>
        </w:rPr>
      </w:pPr>
    </w:p>
    <w:p w14:paraId="204E56DC">
      <w:pPr>
        <w:spacing w:line="360" w:lineRule="auto"/>
        <w:ind w:firstLine="482"/>
        <w:jc w:val="center"/>
        <w:rPr>
          <w:rFonts w:ascii="黑体" w:hAnsi="黑体" w:eastAsia="黑体" w:cs="Courier New"/>
          <w:b/>
          <w:sz w:val="24"/>
          <w:szCs w:val="24"/>
        </w:rPr>
      </w:pPr>
      <w:r>
        <w:rPr>
          <w:rFonts w:hint="eastAsia" w:ascii="黑体" w:hAnsi="黑体" w:eastAsia="黑体" w:cs="Courier New"/>
          <w:b/>
          <w:sz w:val="24"/>
          <w:szCs w:val="24"/>
        </w:rPr>
        <w:t>表</w:t>
      </w:r>
      <w:r>
        <w:rPr>
          <w:rFonts w:ascii="黑体" w:hAnsi="黑体" w:eastAsia="黑体" w:cs="Courier New"/>
          <w:b/>
          <w:sz w:val="24"/>
          <w:szCs w:val="24"/>
        </w:rPr>
        <w:t>5-</w:t>
      </w:r>
      <w:r>
        <w:rPr>
          <w:rFonts w:hint="eastAsia" w:ascii="黑体" w:hAnsi="黑体" w:eastAsia="黑体" w:cs="Courier New"/>
          <w:b/>
          <w:sz w:val="24"/>
          <w:szCs w:val="24"/>
        </w:rPr>
        <w:t>3</w:t>
      </w:r>
      <w:r>
        <w:rPr>
          <w:rFonts w:ascii="黑体" w:hAnsi="黑体" w:eastAsia="黑体" w:cs="Courier New"/>
          <w:b/>
          <w:sz w:val="24"/>
          <w:szCs w:val="24"/>
        </w:rPr>
        <w:t>“十</w:t>
      </w:r>
      <w:r>
        <w:rPr>
          <w:rFonts w:hint="eastAsia" w:ascii="黑体" w:hAnsi="黑体" w:eastAsia="黑体" w:cs="Courier New"/>
          <w:b/>
          <w:sz w:val="24"/>
          <w:szCs w:val="24"/>
        </w:rPr>
        <w:t>四</w:t>
      </w:r>
      <w:r>
        <w:rPr>
          <w:rFonts w:ascii="黑体" w:hAnsi="黑体" w:eastAsia="黑体" w:cs="Courier New"/>
          <w:b/>
          <w:sz w:val="24"/>
          <w:szCs w:val="24"/>
        </w:rPr>
        <w:t>五”物流园区建设项目投资汇总表</w:t>
      </w:r>
    </w:p>
    <w:tbl>
      <w:tblPr>
        <w:tblStyle w:val="1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2"/>
        <w:gridCol w:w="1924"/>
        <w:gridCol w:w="3119"/>
        <w:gridCol w:w="992"/>
        <w:gridCol w:w="709"/>
        <w:gridCol w:w="850"/>
        <w:gridCol w:w="476"/>
      </w:tblGrid>
      <w:tr w14:paraId="351167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blHeader/>
        </w:trPr>
        <w:tc>
          <w:tcPr>
            <w:tcW w:w="265" w:type="pct"/>
            <w:shd w:val="clear" w:color="auto" w:fill="DBE5F1" w:themeFill="accent1" w:themeFillTint="33"/>
            <w:vAlign w:val="center"/>
          </w:tcPr>
          <w:p w14:paraId="33B59FA3">
            <w:pPr>
              <w:widowControl/>
              <w:ind w:firstLine="0" w:firstLineChars="0"/>
              <w:rPr>
                <w:rFonts w:ascii="宋体" w:hAnsi="宋体" w:cs="宋体"/>
                <w:b/>
                <w:bCs/>
                <w:kern w:val="0"/>
                <w:sz w:val="21"/>
                <w:szCs w:val="21"/>
              </w:rPr>
            </w:pPr>
            <w:r>
              <w:rPr>
                <w:rFonts w:hint="eastAsia" w:ascii="宋体" w:hAnsi="宋体" w:cs="宋体"/>
                <w:b/>
                <w:bCs/>
                <w:kern w:val="0"/>
                <w:sz w:val="21"/>
                <w:szCs w:val="21"/>
              </w:rPr>
              <w:t>序号</w:t>
            </w:r>
          </w:p>
        </w:tc>
        <w:tc>
          <w:tcPr>
            <w:tcW w:w="1129" w:type="pct"/>
            <w:shd w:val="clear" w:color="auto" w:fill="DBE5F1" w:themeFill="accent1" w:themeFillTint="33"/>
            <w:vAlign w:val="center"/>
          </w:tcPr>
          <w:p w14:paraId="504E91E5">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项目名称</w:t>
            </w:r>
          </w:p>
        </w:tc>
        <w:tc>
          <w:tcPr>
            <w:tcW w:w="1830" w:type="pct"/>
            <w:shd w:val="clear" w:color="auto" w:fill="DBE5F1" w:themeFill="accent1" w:themeFillTint="33"/>
            <w:vAlign w:val="center"/>
          </w:tcPr>
          <w:p w14:paraId="05A99E99">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项目概况</w:t>
            </w:r>
          </w:p>
        </w:tc>
        <w:tc>
          <w:tcPr>
            <w:tcW w:w="582" w:type="pct"/>
            <w:shd w:val="clear" w:color="auto" w:fill="DBE5F1" w:themeFill="accent1" w:themeFillTint="33"/>
            <w:vAlign w:val="center"/>
          </w:tcPr>
          <w:p w14:paraId="2EF18923">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建设起止年限</w:t>
            </w:r>
          </w:p>
        </w:tc>
        <w:tc>
          <w:tcPr>
            <w:tcW w:w="416" w:type="pct"/>
            <w:shd w:val="clear" w:color="auto" w:fill="DBE5F1" w:themeFill="accent1" w:themeFillTint="33"/>
            <w:vAlign w:val="center"/>
          </w:tcPr>
          <w:p w14:paraId="624CA99F">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项目投资（亿元）</w:t>
            </w:r>
          </w:p>
        </w:tc>
        <w:tc>
          <w:tcPr>
            <w:tcW w:w="499" w:type="pct"/>
            <w:shd w:val="clear" w:color="auto" w:fill="DBE5F1" w:themeFill="accent1" w:themeFillTint="33"/>
            <w:vAlign w:val="center"/>
          </w:tcPr>
          <w:p w14:paraId="5F3BC9A4">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十四五投资（亿元）</w:t>
            </w:r>
          </w:p>
        </w:tc>
        <w:tc>
          <w:tcPr>
            <w:tcW w:w="279" w:type="pct"/>
            <w:shd w:val="clear" w:color="auto" w:fill="DBE5F1" w:themeFill="accent1" w:themeFillTint="33"/>
            <w:vAlign w:val="center"/>
          </w:tcPr>
          <w:p w14:paraId="547EDDBB">
            <w:pPr>
              <w:widowControl/>
              <w:ind w:firstLine="0" w:firstLineChars="0"/>
              <w:jc w:val="center"/>
              <w:rPr>
                <w:rFonts w:ascii="宋体" w:hAnsi="宋体" w:cs="宋体"/>
                <w:b/>
                <w:bCs/>
                <w:kern w:val="0"/>
                <w:sz w:val="21"/>
                <w:szCs w:val="21"/>
              </w:rPr>
            </w:pPr>
            <w:r>
              <w:rPr>
                <w:rFonts w:hint="eastAsia" w:ascii="宋体" w:hAnsi="宋体" w:cs="宋体"/>
                <w:b/>
                <w:bCs/>
                <w:kern w:val="0"/>
                <w:sz w:val="21"/>
                <w:szCs w:val="21"/>
              </w:rPr>
              <w:t>备注</w:t>
            </w:r>
          </w:p>
        </w:tc>
      </w:tr>
      <w:tr w14:paraId="3AAD4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65" w:type="pct"/>
            <w:shd w:val="clear" w:color="000000" w:fill="FFFFFF"/>
            <w:vAlign w:val="center"/>
          </w:tcPr>
          <w:p w14:paraId="7112A166">
            <w:pPr>
              <w:widowControl/>
              <w:ind w:firstLine="0" w:firstLineChars="0"/>
              <w:jc w:val="center"/>
              <w:rPr>
                <w:rFonts w:ascii="宋体" w:hAnsi="宋体" w:cs="宋体"/>
                <w:kern w:val="0"/>
                <w:sz w:val="22"/>
              </w:rPr>
            </w:pPr>
            <w:r>
              <w:rPr>
                <w:rFonts w:hint="eastAsia" w:ascii="宋体" w:hAnsi="宋体" w:cs="宋体"/>
                <w:kern w:val="0"/>
                <w:sz w:val="22"/>
              </w:rPr>
              <w:t>1</w:t>
            </w:r>
          </w:p>
        </w:tc>
        <w:tc>
          <w:tcPr>
            <w:tcW w:w="1129" w:type="pct"/>
            <w:shd w:val="clear" w:color="000000" w:fill="FFFFFF"/>
            <w:vAlign w:val="center"/>
          </w:tcPr>
          <w:p w14:paraId="058B3673">
            <w:pPr>
              <w:widowControl/>
              <w:ind w:firstLine="0" w:firstLineChars="0"/>
              <w:jc w:val="center"/>
              <w:rPr>
                <w:rFonts w:ascii="宋体" w:hAnsi="宋体" w:cs="宋体"/>
                <w:kern w:val="0"/>
                <w:sz w:val="22"/>
              </w:rPr>
            </w:pPr>
            <w:r>
              <w:rPr>
                <w:rFonts w:hint="eastAsia" w:ascii="宋体" w:hAnsi="宋体" w:cs="宋体"/>
                <w:kern w:val="0"/>
                <w:sz w:val="22"/>
              </w:rPr>
              <w:t>华东（浙中）未来货运新城建设项目</w:t>
            </w:r>
          </w:p>
        </w:tc>
        <w:tc>
          <w:tcPr>
            <w:tcW w:w="1830" w:type="pct"/>
            <w:shd w:val="clear" w:color="000000" w:fill="FFFFFF"/>
            <w:vAlign w:val="center"/>
          </w:tcPr>
          <w:p w14:paraId="0569D042">
            <w:pPr>
              <w:widowControl/>
              <w:ind w:firstLine="0" w:firstLineChars="0"/>
              <w:jc w:val="center"/>
              <w:rPr>
                <w:rFonts w:ascii="宋体" w:hAnsi="宋体" w:cs="宋体"/>
                <w:kern w:val="0"/>
                <w:sz w:val="22"/>
              </w:rPr>
            </w:pPr>
            <w:r>
              <w:rPr>
                <w:rFonts w:hint="eastAsia" w:ascii="宋体" w:hAnsi="宋体" w:cs="宋体"/>
                <w:kern w:val="0"/>
                <w:sz w:val="22"/>
              </w:rPr>
              <w:t>远期规划11.3平方公里，中期规划实施7000亩，近期实施4000亩</w:t>
            </w:r>
          </w:p>
        </w:tc>
        <w:tc>
          <w:tcPr>
            <w:tcW w:w="582" w:type="pct"/>
            <w:shd w:val="clear" w:color="000000" w:fill="FFFFFF"/>
            <w:vAlign w:val="center"/>
          </w:tcPr>
          <w:p w14:paraId="20A46618">
            <w:pPr>
              <w:widowControl/>
              <w:ind w:firstLine="0" w:firstLineChars="0"/>
              <w:jc w:val="center"/>
              <w:rPr>
                <w:rFonts w:ascii="宋体" w:hAnsi="宋体" w:cs="宋体"/>
                <w:kern w:val="0"/>
                <w:sz w:val="21"/>
                <w:szCs w:val="21"/>
              </w:rPr>
            </w:pPr>
            <w:r>
              <w:rPr>
                <w:rFonts w:hint="eastAsia" w:ascii="宋体" w:hAnsi="宋体" w:cs="宋体"/>
                <w:kern w:val="0"/>
                <w:sz w:val="21"/>
                <w:szCs w:val="21"/>
              </w:rPr>
              <w:t>2020-2025</w:t>
            </w:r>
          </w:p>
        </w:tc>
        <w:tc>
          <w:tcPr>
            <w:tcW w:w="416" w:type="pct"/>
            <w:shd w:val="clear" w:color="000000" w:fill="FFFFFF"/>
            <w:vAlign w:val="center"/>
          </w:tcPr>
          <w:p w14:paraId="1F81F8B3">
            <w:pPr>
              <w:widowControl/>
              <w:ind w:firstLine="0" w:firstLineChars="0"/>
              <w:jc w:val="center"/>
              <w:rPr>
                <w:rFonts w:ascii="宋体" w:hAnsi="宋体" w:cs="宋体"/>
                <w:kern w:val="0"/>
                <w:sz w:val="22"/>
              </w:rPr>
            </w:pPr>
            <w:r>
              <w:rPr>
                <w:rFonts w:hint="eastAsia" w:ascii="宋体" w:hAnsi="宋体" w:cs="宋体"/>
                <w:kern w:val="0"/>
                <w:sz w:val="22"/>
              </w:rPr>
              <w:t>110</w:t>
            </w:r>
          </w:p>
        </w:tc>
        <w:tc>
          <w:tcPr>
            <w:tcW w:w="499" w:type="pct"/>
            <w:shd w:val="clear" w:color="000000" w:fill="FFFFFF"/>
            <w:vAlign w:val="center"/>
          </w:tcPr>
          <w:p w14:paraId="12E2FBBD">
            <w:pPr>
              <w:widowControl/>
              <w:ind w:firstLine="0" w:firstLineChars="0"/>
              <w:jc w:val="center"/>
              <w:rPr>
                <w:rFonts w:ascii="宋体" w:hAnsi="宋体" w:cs="宋体"/>
                <w:kern w:val="0"/>
                <w:sz w:val="22"/>
              </w:rPr>
            </w:pPr>
            <w:r>
              <w:rPr>
                <w:rFonts w:hint="eastAsia" w:ascii="宋体" w:hAnsi="宋体" w:cs="宋体"/>
                <w:kern w:val="0"/>
                <w:sz w:val="22"/>
              </w:rPr>
              <w:t>110</w:t>
            </w:r>
          </w:p>
        </w:tc>
        <w:tc>
          <w:tcPr>
            <w:tcW w:w="279" w:type="pct"/>
            <w:shd w:val="clear" w:color="000000" w:fill="FFFFFF"/>
            <w:vAlign w:val="center"/>
          </w:tcPr>
          <w:p w14:paraId="7CE721A6">
            <w:pPr>
              <w:widowControl/>
              <w:ind w:firstLine="0" w:firstLineChars="0"/>
              <w:jc w:val="center"/>
              <w:rPr>
                <w:rFonts w:ascii="宋体" w:hAnsi="宋体" w:cs="宋体"/>
                <w:kern w:val="0"/>
                <w:sz w:val="22"/>
              </w:rPr>
            </w:pPr>
          </w:p>
        </w:tc>
      </w:tr>
      <w:tr w14:paraId="3298B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65" w:type="pct"/>
            <w:shd w:val="clear" w:color="000000" w:fill="FFFFFF"/>
            <w:vAlign w:val="center"/>
          </w:tcPr>
          <w:p w14:paraId="25E99678">
            <w:pPr>
              <w:widowControl/>
              <w:ind w:firstLine="0" w:firstLineChars="0"/>
              <w:jc w:val="center"/>
              <w:rPr>
                <w:rFonts w:ascii="宋体" w:hAnsi="宋体" w:cs="宋体"/>
                <w:kern w:val="0"/>
                <w:sz w:val="22"/>
              </w:rPr>
            </w:pPr>
            <w:r>
              <w:rPr>
                <w:rFonts w:hint="eastAsia" w:ascii="宋体" w:hAnsi="宋体" w:cs="宋体"/>
                <w:kern w:val="0"/>
                <w:sz w:val="22"/>
              </w:rPr>
              <w:t>2</w:t>
            </w:r>
          </w:p>
        </w:tc>
        <w:tc>
          <w:tcPr>
            <w:tcW w:w="1129" w:type="pct"/>
            <w:shd w:val="clear" w:color="000000" w:fill="FFFFFF"/>
            <w:vAlign w:val="center"/>
          </w:tcPr>
          <w:p w14:paraId="272663CC">
            <w:pPr>
              <w:widowControl/>
              <w:ind w:firstLine="0" w:firstLineChars="0"/>
              <w:jc w:val="center"/>
              <w:rPr>
                <w:rFonts w:ascii="宋体" w:hAnsi="宋体" w:cs="宋体"/>
                <w:kern w:val="0"/>
                <w:sz w:val="22"/>
              </w:rPr>
            </w:pPr>
            <w:r>
              <w:rPr>
                <w:rFonts w:hint="eastAsia" w:ascii="宋体" w:hAnsi="宋体" w:cs="宋体"/>
                <w:kern w:val="0"/>
                <w:sz w:val="22"/>
              </w:rPr>
              <w:t>江岭高新智造区物流中心</w:t>
            </w:r>
          </w:p>
        </w:tc>
        <w:tc>
          <w:tcPr>
            <w:tcW w:w="1830" w:type="pct"/>
            <w:shd w:val="clear" w:color="000000" w:fill="FFFFFF"/>
            <w:vAlign w:val="center"/>
          </w:tcPr>
          <w:p w14:paraId="1E5E5B13">
            <w:pPr>
              <w:widowControl/>
              <w:ind w:firstLine="0" w:firstLineChars="0"/>
              <w:jc w:val="center"/>
              <w:rPr>
                <w:rFonts w:ascii="宋体" w:hAnsi="宋体" w:cs="宋体"/>
                <w:kern w:val="0"/>
                <w:sz w:val="22"/>
              </w:rPr>
            </w:pPr>
            <w:r>
              <w:rPr>
                <w:rFonts w:hint="eastAsia" w:ascii="宋体" w:hAnsi="宋体" w:cs="宋体"/>
                <w:kern w:val="0"/>
                <w:sz w:val="22"/>
              </w:rPr>
              <w:t>占地面积100亩</w:t>
            </w:r>
          </w:p>
        </w:tc>
        <w:tc>
          <w:tcPr>
            <w:tcW w:w="582" w:type="pct"/>
            <w:shd w:val="clear" w:color="000000" w:fill="FFFFFF"/>
            <w:vAlign w:val="center"/>
          </w:tcPr>
          <w:p w14:paraId="75726047">
            <w:pPr>
              <w:widowControl/>
              <w:ind w:firstLine="0" w:firstLineChars="0"/>
              <w:jc w:val="center"/>
              <w:rPr>
                <w:rFonts w:ascii="宋体" w:hAnsi="宋体" w:cs="宋体"/>
                <w:kern w:val="0"/>
                <w:sz w:val="21"/>
                <w:szCs w:val="21"/>
              </w:rPr>
            </w:pPr>
            <w:r>
              <w:rPr>
                <w:rFonts w:hint="eastAsia" w:ascii="宋体" w:hAnsi="宋体" w:cs="宋体"/>
                <w:kern w:val="0"/>
                <w:sz w:val="21"/>
                <w:szCs w:val="21"/>
              </w:rPr>
              <w:t>2021-2025</w:t>
            </w:r>
          </w:p>
        </w:tc>
        <w:tc>
          <w:tcPr>
            <w:tcW w:w="416" w:type="pct"/>
            <w:shd w:val="clear" w:color="000000" w:fill="FFFFFF"/>
            <w:vAlign w:val="center"/>
          </w:tcPr>
          <w:p w14:paraId="7230CBA7">
            <w:pPr>
              <w:widowControl/>
              <w:ind w:firstLine="0" w:firstLineChars="0"/>
              <w:jc w:val="center"/>
              <w:rPr>
                <w:rFonts w:ascii="宋体" w:hAnsi="宋体" w:cs="宋体"/>
                <w:kern w:val="0"/>
                <w:sz w:val="22"/>
              </w:rPr>
            </w:pPr>
            <w:r>
              <w:rPr>
                <w:rFonts w:hint="eastAsia" w:ascii="宋体" w:hAnsi="宋体" w:cs="宋体"/>
                <w:kern w:val="0"/>
                <w:sz w:val="22"/>
              </w:rPr>
              <w:t>0.3</w:t>
            </w:r>
          </w:p>
        </w:tc>
        <w:tc>
          <w:tcPr>
            <w:tcW w:w="499" w:type="pct"/>
            <w:shd w:val="clear" w:color="000000" w:fill="FFFFFF"/>
            <w:vAlign w:val="center"/>
          </w:tcPr>
          <w:p w14:paraId="3AC346AD">
            <w:pPr>
              <w:widowControl/>
              <w:ind w:firstLine="0" w:firstLineChars="0"/>
              <w:jc w:val="center"/>
              <w:rPr>
                <w:rFonts w:ascii="宋体" w:hAnsi="宋体" w:cs="宋体"/>
                <w:kern w:val="0"/>
                <w:sz w:val="22"/>
              </w:rPr>
            </w:pPr>
            <w:r>
              <w:rPr>
                <w:rFonts w:hint="eastAsia" w:ascii="宋体" w:hAnsi="宋体" w:cs="宋体"/>
                <w:kern w:val="0"/>
                <w:sz w:val="22"/>
              </w:rPr>
              <w:t>0.3</w:t>
            </w:r>
          </w:p>
        </w:tc>
        <w:tc>
          <w:tcPr>
            <w:tcW w:w="279" w:type="pct"/>
            <w:shd w:val="clear" w:color="000000" w:fill="FFFFFF"/>
            <w:vAlign w:val="center"/>
          </w:tcPr>
          <w:p w14:paraId="1E1BA4E3">
            <w:pPr>
              <w:widowControl/>
              <w:ind w:firstLine="0" w:firstLineChars="0"/>
              <w:jc w:val="center"/>
              <w:rPr>
                <w:rFonts w:ascii="宋体" w:hAnsi="宋体" w:cs="宋体"/>
                <w:kern w:val="0"/>
                <w:sz w:val="22"/>
              </w:rPr>
            </w:pPr>
          </w:p>
        </w:tc>
      </w:tr>
      <w:tr w14:paraId="151B14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5" w:type="pct"/>
            <w:shd w:val="clear" w:color="000000" w:fill="FFFFFF"/>
            <w:vAlign w:val="center"/>
          </w:tcPr>
          <w:p w14:paraId="11C0DF7D">
            <w:pPr>
              <w:widowControl/>
              <w:ind w:firstLine="0" w:firstLineChars="0"/>
              <w:jc w:val="center"/>
              <w:rPr>
                <w:rFonts w:ascii="宋体" w:hAnsi="宋体" w:cs="宋体"/>
                <w:kern w:val="0"/>
                <w:sz w:val="22"/>
              </w:rPr>
            </w:pPr>
            <w:r>
              <w:rPr>
                <w:rFonts w:hint="eastAsia" w:ascii="宋体" w:hAnsi="宋体" w:cs="宋体"/>
                <w:kern w:val="0"/>
                <w:sz w:val="22"/>
              </w:rPr>
              <w:t>3</w:t>
            </w:r>
          </w:p>
        </w:tc>
        <w:tc>
          <w:tcPr>
            <w:tcW w:w="1129" w:type="pct"/>
            <w:shd w:val="clear" w:color="000000" w:fill="FFFFFF"/>
            <w:vAlign w:val="center"/>
          </w:tcPr>
          <w:p w14:paraId="205ED7E3">
            <w:pPr>
              <w:widowControl/>
              <w:ind w:firstLine="0" w:firstLineChars="0"/>
              <w:jc w:val="center"/>
              <w:rPr>
                <w:rFonts w:ascii="宋体" w:hAnsi="宋体" w:cs="宋体"/>
                <w:kern w:val="0"/>
                <w:sz w:val="22"/>
              </w:rPr>
            </w:pPr>
            <w:r>
              <w:rPr>
                <w:rFonts w:hint="eastAsia" w:ascii="宋体" w:hAnsi="宋体" w:cs="宋体"/>
                <w:kern w:val="0"/>
                <w:sz w:val="22"/>
              </w:rPr>
              <w:t>金义综合保税区（二期）</w:t>
            </w:r>
          </w:p>
        </w:tc>
        <w:tc>
          <w:tcPr>
            <w:tcW w:w="1830" w:type="pct"/>
            <w:shd w:val="clear" w:color="000000" w:fill="FFFFFF"/>
            <w:vAlign w:val="center"/>
          </w:tcPr>
          <w:p w14:paraId="3006C2F6">
            <w:pPr>
              <w:widowControl/>
              <w:ind w:firstLine="0" w:firstLineChars="0"/>
              <w:jc w:val="center"/>
              <w:rPr>
                <w:rFonts w:ascii="宋体" w:hAnsi="宋体" w:cs="宋体"/>
                <w:kern w:val="0"/>
                <w:sz w:val="22"/>
              </w:rPr>
            </w:pPr>
            <w:r>
              <w:rPr>
                <w:rFonts w:hint="eastAsia" w:ascii="宋体" w:hAnsi="宋体" w:cs="宋体"/>
                <w:kern w:val="0"/>
                <w:sz w:val="22"/>
              </w:rPr>
              <w:t>规划面积1.79平方公里，分两期建设，其中一期1平方公里、二期0.79平方公里，氛围“五大板块”，即：口岸作业区、保税加工区、保税物流区、国际贸易区和综合服务区</w:t>
            </w:r>
          </w:p>
        </w:tc>
        <w:tc>
          <w:tcPr>
            <w:tcW w:w="582" w:type="pct"/>
            <w:shd w:val="clear" w:color="000000" w:fill="FFFFFF"/>
            <w:vAlign w:val="center"/>
          </w:tcPr>
          <w:p w14:paraId="5D7732CB">
            <w:pPr>
              <w:widowControl/>
              <w:ind w:firstLine="0" w:firstLineChars="0"/>
              <w:jc w:val="center"/>
              <w:rPr>
                <w:rFonts w:ascii="宋体" w:hAnsi="宋体" w:cs="宋体"/>
                <w:kern w:val="0"/>
                <w:sz w:val="21"/>
                <w:szCs w:val="21"/>
              </w:rPr>
            </w:pPr>
            <w:r>
              <w:rPr>
                <w:rFonts w:hint="eastAsia" w:ascii="宋体" w:hAnsi="宋体" w:cs="宋体"/>
                <w:kern w:val="0"/>
                <w:sz w:val="21"/>
                <w:szCs w:val="21"/>
              </w:rPr>
              <w:t>2021-2025</w:t>
            </w:r>
          </w:p>
        </w:tc>
        <w:tc>
          <w:tcPr>
            <w:tcW w:w="416" w:type="pct"/>
            <w:shd w:val="clear" w:color="000000" w:fill="FFFFFF"/>
            <w:vAlign w:val="center"/>
          </w:tcPr>
          <w:p w14:paraId="3C68F57C">
            <w:pPr>
              <w:widowControl/>
              <w:ind w:firstLine="0" w:firstLineChars="0"/>
              <w:jc w:val="center"/>
              <w:rPr>
                <w:rFonts w:ascii="宋体" w:hAnsi="宋体" w:cs="宋体"/>
                <w:kern w:val="0"/>
                <w:sz w:val="22"/>
              </w:rPr>
            </w:pPr>
            <w:r>
              <w:rPr>
                <w:rFonts w:hint="eastAsia" w:ascii="宋体" w:hAnsi="宋体" w:cs="宋体"/>
                <w:kern w:val="0"/>
                <w:sz w:val="22"/>
              </w:rPr>
              <w:t>5</w:t>
            </w:r>
          </w:p>
        </w:tc>
        <w:tc>
          <w:tcPr>
            <w:tcW w:w="499" w:type="pct"/>
            <w:shd w:val="clear" w:color="000000" w:fill="FFFFFF"/>
            <w:vAlign w:val="center"/>
          </w:tcPr>
          <w:p w14:paraId="1C1B1E64">
            <w:pPr>
              <w:widowControl/>
              <w:ind w:firstLine="0" w:firstLineChars="0"/>
              <w:jc w:val="center"/>
              <w:rPr>
                <w:rFonts w:ascii="宋体" w:hAnsi="宋体" w:cs="宋体"/>
                <w:kern w:val="0"/>
                <w:sz w:val="22"/>
              </w:rPr>
            </w:pPr>
            <w:r>
              <w:rPr>
                <w:rFonts w:hint="eastAsia" w:ascii="宋体" w:hAnsi="宋体" w:cs="宋体"/>
                <w:kern w:val="0"/>
                <w:sz w:val="22"/>
              </w:rPr>
              <w:t>5</w:t>
            </w:r>
          </w:p>
        </w:tc>
        <w:tc>
          <w:tcPr>
            <w:tcW w:w="279" w:type="pct"/>
            <w:vMerge w:val="restart"/>
            <w:vAlign w:val="center"/>
          </w:tcPr>
          <w:p w14:paraId="4467A1B0">
            <w:pPr>
              <w:widowControl/>
              <w:ind w:firstLine="0" w:firstLineChars="0"/>
              <w:rPr>
                <w:rFonts w:ascii="宋体" w:hAnsi="宋体" w:cs="宋体"/>
                <w:kern w:val="0"/>
                <w:sz w:val="22"/>
              </w:rPr>
            </w:pPr>
          </w:p>
        </w:tc>
      </w:tr>
      <w:tr w14:paraId="38B946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5" w:type="pct"/>
            <w:shd w:val="clear" w:color="000000" w:fill="FFFFFF"/>
            <w:vAlign w:val="center"/>
          </w:tcPr>
          <w:p w14:paraId="6ABDD5E8">
            <w:pPr>
              <w:widowControl/>
              <w:ind w:firstLine="0" w:firstLineChars="0"/>
              <w:jc w:val="center"/>
              <w:rPr>
                <w:rFonts w:ascii="宋体" w:hAnsi="宋体" w:cs="宋体"/>
                <w:kern w:val="0"/>
                <w:sz w:val="22"/>
              </w:rPr>
            </w:pPr>
            <w:r>
              <w:rPr>
                <w:rFonts w:hint="eastAsia" w:ascii="宋体" w:hAnsi="宋体" w:cs="宋体"/>
                <w:kern w:val="0"/>
                <w:sz w:val="22"/>
              </w:rPr>
              <w:t>4</w:t>
            </w:r>
          </w:p>
        </w:tc>
        <w:tc>
          <w:tcPr>
            <w:tcW w:w="1129" w:type="pct"/>
            <w:shd w:val="clear" w:color="000000" w:fill="FFFFFF"/>
            <w:vAlign w:val="center"/>
          </w:tcPr>
          <w:p w14:paraId="75A34BF9">
            <w:pPr>
              <w:widowControl/>
              <w:ind w:firstLine="0" w:firstLineChars="0"/>
              <w:jc w:val="center"/>
              <w:rPr>
                <w:rFonts w:ascii="宋体" w:hAnsi="宋体" w:cs="宋体"/>
                <w:kern w:val="0"/>
                <w:sz w:val="22"/>
              </w:rPr>
            </w:pPr>
            <w:r>
              <w:rPr>
                <w:rFonts w:hint="eastAsia"/>
                <w:sz w:val="21"/>
                <w:szCs w:val="21"/>
              </w:rPr>
              <w:t>金华传化物流信息港（二期项目）</w:t>
            </w:r>
          </w:p>
        </w:tc>
        <w:tc>
          <w:tcPr>
            <w:tcW w:w="1830" w:type="pct"/>
            <w:shd w:val="clear" w:color="000000" w:fill="FFFFFF"/>
            <w:vAlign w:val="center"/>
          </w:tcPr>
          <w:p w14:paraId="622C82A7">
            <w:pPr>
              <w:widowControl/>
              <w:ind w:firstLine="0" w:firstLineChars="0"/>
              <w:jc w:val="center"/>
              <w:rPr>
                <w:rFonts w:ascii="宋体" w:hAnsi="宋体" w:cs="宋体"/>
                <w:kern w:val="0"/>
                <w:sz w:val="22"/>
              </w:rPr>
            </w:pPr>
            <w:r>
              <w:rPr>
                <w:rFonts w:hint="eastAsia" w:ascii="宋体" w:hAnsi="宋体" w:cs="宋体"/>
                <w:kern w:val="0"/>
                <w:sz w:val="22"/>
              </w:rPr>
              <w:t>打造集信息交易中心、货运班车中心、仓储配送中心、智能车源中心、车辆服务中心、综合服务中心、综合功能配套区等功能为一体的综合型物流智能公路港</w:t>
            </w:r>
          </w:p>
        </w:tc>
        <w:tc>
          <w:tcPr>
            <w:tcW w:w="582" w:type="pct"/>
            <w:shd w:val="clear" w:color="000000" w:fill="FFFFFF"/>
            <w:vAlign w:val="center"/>
          </w:tcPr>
          <w:p w14:paraId="4C09F9EB">
            <w:pPr>
              <w:widowControl/>
              <w:ind w:firstLine="0" w:firstLineChars="0"/>
              <w:jc w:val="center"/>
              <w:rPr>
                <w:rFonts w:ascii="宋体" w:hAnsi="宋体" w:cs="宋体"/>
                <w:kern w:val="0"/>
                <w:sz w:val="21"/>
                <w:szCs w:val="21"/>
              </w:rPr>
            </w:pPr>
            <w:r>
              <w:rPr>
                <w:rFonts w:hint="eastAsia" w:ascii="宋体" w:hAnsi="宋体" w:cs="宋体"/>
                <w:kern w:val="0"/>
                <w:sz w:val="21"/>
                <w:szCs w:val="21"/>
              </w:rPr>
              <w:t>2020-2025</w:t>
            </w:r>
          </w:p>
        </w:tc>
        <w:tc>
          <w:tcPr>
            <w:tcW w:w="416" w:type="pct"/>
            <w:shd w:val="clear" w:color="000000" w:fill="FFFFFF"/>
            <w:vAlign w:val="center"/>
          </w:tcPr>
          <w:p w14:paraId="07782CB5">
            <w:pPr>
              <w:widowControl/>
              <w:ind w:firstLine="0" w:firstLineChars="0"/>
              <w:jc w:val="center"/>
              <w:rPr>
                <w:rFonts w:ascii="宋体" w:hAnsi="宋体" w:cs="宋体"/>
                <w:kern w:val="0"/>
                <w:sz w:val="22"/>
              </w:rPr>
            </w:pPr>
            <w:r>
              <w:rPr>
                <w:rFonts w:ascii="宋体" w:hAnsi="宋体" w:cs="宋体"/>
                <w:kern w:val="0"/>
                <w:sz w:val="22"/>
              </w:rPr>
              <w:t>10</w:t>
            </w:r>
          </w:p>
        </w:tc>
        <w:tc>
          <w:tcPr>
            <w:tcW w:w="499" w:type="pct"/>
            <w:shd w:val="clear" w:color="000000" w:fill="FFFFFF"/>
            <w:vAlign w:val="center"/>
          </w:tcPr>
          <w:p w14:paraId="06312F65">
            <w:pPr>
              <w:widowControl/>
              <w:ind w:firstLine="0" w:firstLineChars="0"/>
              <w:jc w:val="center"/>
              <w:rPr>
                <w:rFonts w:ascii="宋体" w:hAnsi="宋体" w:cs="宋体"/>
                <w:kern w:val="0"/>
                <w:sz w:val="22"/>
              </w:rPr>
            </w:pPr>
            <w:r>
              <w:rPr>
                <w:rFonts w:ascii="宋体" w:hAnsi="宋体" w:cs="宋体"/>
                <w:kern w:val="0"/>
                <w:sz w:val="22"/>
              </w:rPr>
              <w:t>10</w:t>
            </w:r>
          </w:p>
        </w:tc>
        <w:tc>
          <w:tcPr>
            <w:tcW w:w="279" w:type="pct"/>
            <w:vMerge w:val="continue"/>
            <w:vAlign w:val="center"/>
          </w:tcPr>
          <w:p w14:paraId="4BA45153">
            <w:pPr>
              <w:widowControl/>
              <w:ind w:firstLine="0" w:firstLineChars="0"/>
              <w:rPr>
                <w:rFonts w:ascii="宋体" w:hAnsi="宋体" w:cs="宋体"/>
                <w:kern w:val="0"/>
                <w:sz w:val="22"/>
              </w:rPr>
            </w:pPr>
          </w:p>
        </w:tc>
      </w:tr>
      <w:tr w14:paraId="2B4FD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3806" w:type="pct"/>
            <w:gridSpan w:val="4"/>
            <w:shd w:val="clear" w:color="auto" w:fill="DBE5F1" w:themeFill="accent1" w:themeFillTint="33"/>
            <w:vAlign w:val="center"/>
          </w:tcPr>
          <w:p w14:paraId="46C3A9B2">
            <w:pPr>
              <w:widowControl/>
              <w:ind w:firstLine="0" w:firstLineChars="0"/>
              <w:jc w:val="center"/>
              <w:rPr>
                <w:rFonts w:ascii="宋体" w:hAnsi="宋体" w:cs="宋体"/>
                <w:b/>
                <w:kern w:val="0"/>
                <w:sz w:val="22"/>
              </w:rPr>
            </w:pPr>
            <w:r>
              <w:rPr>
                <w:rFonts w:hint="eastAsia" w:ascii="宋体" w:hAnsi="宋体" w:cs="宋体"/>
                <w:b/>
                <w:kern w:val="0"/>
                <w:sz w:val="22"/>
              </w:rPr>
              <w:t>合计</w:t>
            </w:r>
          </w:p>
        </w:tc>
        <w:tc>
          <w:tcPr>
            <w:tcW w:w="416" w:type="pct"/>
            <w:shd w:val="clear" w:color="auto" w:fill="DBE5F1" w:themeFill="accent1" w:themeFillTint="33"/>
            <w:vAlign w:val="center"/>
          </w:tcPr>
          <w:p w14:paraId="5F63C90A">
            <w:pPr>
              <w:widowControl/>
              <w:ind w:firstLine="0" w:firstLineChars="0"/>
              <w:jc w:val="center"/>
              <w:rPr>
                <w:rFonts w:ascii="宋体" w:hAnsi="宋体" w:cs="宋体"/>
                <w:b/>
                <w:kern w:val="0"/>
                <w:sz w:val="22"/>
              </w:rPr>
            </w:pPr>
            <w:r>
              <w:rPr>
                <w:rFonts w:hint="eastAsia" w:ascii="宋体" w:hAnsi="宋体" w:cs="宋体"/>
                <w:b/>
                <w:kern w:val="0"/>
                <w:sz w:val="22"/>
              </w:rPr>
              <w:t>125.3</w:t>
            </w:r>
          </w:p>
        </w:tc>
        <w:tc>
          <w:tcPr>
            <w:tcW w:w="499" w:type="pct"/>
            <w:shd w:val="clear" w:color="auto" w:fill="DBE5F1" w:themeFill="accent1" w:themeFillTint="33"/>
            <w:vAlign w:val="center"/>
          </w:tcPr>
          <w:p w14:paraId="4620A37B">
            <w:pPr>
              <w:widowControl/>
              <w:ind w:firstLine="0" w:firstLineChars="0"/>
              <w:jc w:val="center"/>
              <w:rPr>
                <w:rFonts w:ascii="宋体" w:hAnsi="宋体" w:cs="宋体"/>
                <w:b/>
                <w:kern w:val="0"/>
                <w:sz w:val="22"/>
              </w:rPr>
            </w:pPr>
            <w:r>
              <w:rPr>
                <w:rFonts w:hint="eastAsia" w:ascii="宋体" w:hAnsi="宋体" w:cs="宋体"/>
                <w:b/>
                <w:kern w:val="0"/>
                <w:sz w:val="22"/>
              </w:rPr>
              <w:t>125.3</w:t>
            </w:r>
          </w:p>
        </w:tc>
        <w:tc>
          <w:tcPr>
            <w:tcW w:w="279" w:type="pct"/>
            <w:shd w:val="clear" w:color="auto" w:fill="DBE5F1" w:themeFill="accent1" w:themeFillTint="33"/>
            <w:vAlign w:val="center"/>
          </w:tcPr>
          <w:p w14:paraId="51C62D34">
            <w:pPr>
              <w:widowControl/>
              <w:ind w:firstLine="0" w:firstLineChars="0"/>
              <w:jc w:val="center"/>
              <w:rPr>
                <w:rFonts w:ascii="宋体" w:hAnsi="宋体" w:cs="宋体"/>
                <w:b/>
                <w:kern w:val="0"/>
                <w:sz w:val="22"/>
              </w:rPr>
            </w:pPr>
            <w:r>
              <w:rPr>
                <w:rFonts w:hint="eastAsia" w:ascii="宋体" w:hAnsi="宋体" w:cs="宋体"/>
                <w:b/>
                <w:kern w:val="0"/>
                <w:sz w:val="22"/>
              </w:rPr>
              <w:t>　</w:t>
            </w:r>
          </w:p>
        </w:tc>
      </w:tr>
    </w:tbl>
    <w:p w14:paraId="1405F87A">
      <w:pPr>
        <w:pStyle w:val="4"/>
        <w:ind w:firstLine="643"/>
      </w:pPr>
      <w:bookmarkStart w:id="29" w:name="_Toc43384737"/>
      <w:r>
        <w:t>（二）</w:t>
      </w:r>
      <w:r>
        <w:rPr>
          <w:rFonts w:hint="eastAsia"/>
        </w:rPr>
        <w:t>提升运输服务品质</w:t>
      </w:r>
      <w:bookmarkEnd w:id="29"/>
    </w:p>
    <w:p w14:paraId="027F89A8">
      <w:pPr>
        <w:pStyle w:val="6"/>
        <w:ind w:firstLine="643"/>
        <w:rPr>
          <w:sz w:val="32"/>
        </w:rPr>
      </w:pPr>
      <w:r>
        <w:rPr>
          <w:rFonts w:hint="eastAsia"/>
          <w:sz w:val="32"/>
        </w:rPr>
        <w:t>1. 公共客运网</w:t>
      </w:r>
    </w:p>
    <w:p w14:paraId="05585B70">
      <w:pPr>
        <w:pStyle w:val="34"/>
        <w:ind w:firstLine="643"/>
        <w:rPr>
          <w:szCs w:val="32"/>
        </w:rPr>
      </w:pPr>
      <w:r>
        <w:rPr>
          <w:rFonts w:hint="eastAsia"/>
          <w:b/>
          <w:szCs w:val="32"/>
        </w:rPr>
        <w:t>实施公交优先发展战略。</w:t>
      </w:r>
      <w:r>
        <w:rPr>
          <w:rFonts w:hint="eastAsia"/>
          <w:szCs w:val="32"/>
        </w:rPr>
        <w:t>有序推进轨道交通、快速公交（BRT）等大中运量公共交通建设，推进都市区公共交通一体化，优化骨干公交网络布局，加快形成以轨道交通、快速公交为骨干，常规公交为主体，出租车为补充的多模式多层次、立体多元、高效衔接、智慧绿色的公共交通体系。</w:t>
      </w:r>
    </w:p>
    <w:p w14:paraId="7F8BFD6F">
      <w:pPr>
        <w:pStyle w:val="34"/>
        <w:ind w:firstLine="643"/>
        <w:rPr>
          <w:szCs w:val="32"/>
        </w:rPr>
      </w:pPr>
      <w:r>
        <w:rPr>
          <w:rFonts w:hint="eastAsia"/>
          <w:b/>
          <w:szCs w:val="32"/>
        </w:rPr>
        <w:t>推进城际公交一体。</w:t>
      </w:r>
      <w:r>
        <w:rPr>
          <w:rFonts w:hint="eastAsia"/>
          <w:szCs w:val="32"/>
        </w:rPr>
        <w:t>稳步推进金义都市区公交一体化发展，到</w:t>
      </w:r>
      <w:r>
        <w:rPr>
          <w:szCs w:val="32"/>
        </w:rPr>
        <w:t>2025</w:t>
      </w:r>
      <w:r>
        <w:rPr>
          <w:rFonts w:hint="eastAsia"/>
          <w:szCs w:val="32"/>
        </w:rPr>
        <w:t>年全面完成金义都市区</w:t>
      </w:r>
      <w:r>
        <w:rPr>
          <w:szCs w:val="32"/>
        </w:rPr>
        <w:t>“</w:t>
      </w:r>
      <w:r>
        <w:rPr>
          <w:rFonts w:hint="eastAsia"/>
          <w:szCs w:val="32"/>
        </w:rPr>
        <w:t>公交一体化</w:t>
      </w:r>
      <w:r>
        <w:rPr>
          <w:szCs w:val="32"/>
        </w:rPr>
        <w:t>”</w:t>
      </w:r>
      <w:r>
        <w:rPr>
          <w:rFonts w:hint="eastAsia"/>
          <w:szCs w:val="32"/>
        </w:rPr>
        <w:t>工作。创新客运服务，全面提升旅客出行体验，积极发展发展异地航站楼等客运服务网点，加强空铁、空巴、公铁等联程运输组织衔接，推进不同运输方式票务服务一体化、行李托运便利化。探索创新经营机制。鼓励客运企业利用客运站平台组织开行包车客运，鼓励企业发展城区通勤车运输等新兴服务业态，创新客运班车、包车经营方式，提供多样化服务。</w:t>
      </w:r>
    </w:p>
    <w:p w14:paraId="7B34D621">
      <w:pPr>
        <w:pStyle w:val="34"/>
        <w:ind w:firstLine="643"/>
        <w:jc w:val="left"/>
        <w:rPr>
          <w:rFonts w:ascii="Times New Roman"/>
        </w:rPr>
      </w:pPr>
      <w:r>
        <w:rPr>
          <w:rFonts w:hint="eastAsia" w:ascii="Times New Roman"/>
          <w:b/>
        </w:rPr>
        <w:t>强化城乡快速客运。</w:t>
      </w:r>
      <w:r>
        <w:rPr>
          <w:rFonts w:hint="eastAsia" w:ascii="Times New Roman"/>
        </w:rPr>
        <w:t>依托城市枢纽和县乡客运场站，以高速铁路、城际铁路、高速公路和国省道为快速通道，推进城市向县乡和城区向农村的快速客运延伸，打造便捷的城乡快速客运骨干网络，使城乡居民能便捷的往来于城市和乡村。推进城乡公交一体。统筹规划农村客运场站，科学布局农村客运线网。大力发展农村客运，加快城区公共交通向农村延伸，加快建设城乡客运系统，推动农村客运向公交化方向发展，提高通达深度，实现上下级线网间的有机衔接，构建一体化的城乡客运网络，完善城乡客运服务水平。</w:t>
      </w:r>
    </w:p>
    <w:p w14:paraId="49CCFD6C">
      <w:pPr>
        <w:pStyle w:val="6"/>
        <w:numPr>
          <w:ilvl w:val="0"/>
          <w:numId w:val="4"/>
        </w:numPr>
        <w:ind w:firstLineChars="0"/>
        <w:rPr>
          <w:sz w:val="32"/>
        </w:rPr>
      </w:pPr>
      <w:r>
        <w:rPr>
          <w:rFonts w:hint="eastAsia"/>
          <w:sz w:val="32"/>
        </w:rPr>
        <w:t>休闲绿道网</w:t>
      </w:r>
    </w:p>
    <w:p w14:paraId="76A34914">
      <w:pPr>
        <w:pStyle w:val="34"/>
        <w:jc w:val="left"/>
      </w:pPr>
      <w:r>
        <w:rPr>
          <w:rFonts w:hint="eastAsia"/>
        </w:rPr>
        <w:t>“十四五”期间，致力打造“二江二山”休闲绿道网，串联美丽乡村风景线，辅助乡村振兴战略实施，提升都市区能级，至2020年底，规划建成绿道30条共计377.059km，规划建成驿站55个（其中一级驿站4个、二级驿站12个、三级驿站39个）。除完成“二横二江三连二环”9条绿道网络主线外，另建21条绿道支线。</w:t>
      </w:r>
    </w:p>
    <w:p w14:paraId="67430A29">
      <w:pPr>
        <w:pStyle w:val="6"/>
        <w:numPr>
          <w:ilvl w:val="0"/>
          <w:numId w:val="4"/>
        </w:numPr>
        <w:ind w:firstLineChars="0"/>
        <w:jc w:val="left"/>
        <w:rPr>
          <w:sz w:val="32"/>
        </w:rPr>
      </w:pPr>
      <w:r>
        <w:rPr>
          <w:rFonts w:hint="eastAsia"/>
          <w:sz w:val="32"/>
        </w:rPr>
        <w:t>四好农村路</w:t>
      </w:r>
    </w:p>
    <w:p w14:paraId="015D1FCD">
      <w:pPr>
        <w:pStyle w:val="34"/>
        <w:ind w:firstLineChars="0"/>
        <w:jc w:val="left"/>
        <w:rPr>
          <w:rFonts w:ascii="Times New Roman"/>
        </w:rPr>
      </w:pPr>
      <w:r>
        <w:rPr>
          <w:rFonts w:hint="eastAsia" w:ascii="Times New Roman"/>
        </w:rPr>
        <w:t>“十四五”期间，金义新区（金东）力争完成浙江省“四好农村路”示范县创建。不断完善农村公路基础设施，实施县道、乡道、村道路面修复工程以及农村公路生命安全防护工程；完成省级、市级、区级事故黑点路口整治和安全设施完善，助推“四好农村路”示范县创建。</w:t>
      </w:r>
    </w:p>
    <w:p w14:paraId="69E9456F">
      <w:pPr>
        <w:pStyle w:val="4"/>
        <w:ind w:firstLineChars="0"/>
      </w:pPr>
      <w:bookmarkStart w:id="30" w:name="_Toc43384738"/>
      <w:r>
        <w:t>（</w:t>
      </w:r>
      <w:r>
        <w:rPr>
          <w:rFonts w:hint="eastAsia"/>
        </w:rPr>
        <w:t>三</w:t>
      </w:r>
      <w:r>
        <w:t>）</w:t>
      </w:r>
      <w:r>
        <w:rPr>
          <w:rFonts w:hint="eastAsia"/>
        </w:rPr>
        <w:t>强化物流服务水平</w:t>
      </w:r>
      <w:bookmarkEnd w:id="30"/>
    </w:p>
    <w:p w14:paraId="31B1A7B1">
      <w:pPr>
        <w:pStyle w:val="6"/>
        <w:numPr>
          <w:ilvl w:val="0"/>
          <w:numId w:val="6"/>
        </w:numPr>
        <w:ind w:firstLineChars="0"/>
        <w:jc w:val="left"/>
        <w:rPr>
          <w:sz w:val="32"/>
        </w:rPr>
      </w:pPr>
      <w:r>
        <w:rPr>
          <w:rFonts w:hint="eastAsia"/>
          <w:sz w:val="32"/>
        </w:rPr>
        <w:t>加快物流空间布局，构建便捷物流通道</w:t>
      </w:r>
    </w:p>
    <w:p w14:paraId="233B5C4F">
      <w:pPr>
        <w:pStyle w:val="34"/>
      </w:pPr>
      <w:r>
        <w:rPr>
          <w:rFonts w:hint="eastAsia"/>
        </w:rPr>
        <w:t>“十四五”期间，完善多层级物流节点。加快建设“2+4+2+N”的区域物流节点体系。</w:t>
      </w:r>
      <w:r>
        <w:t>重点推进浙中多式联运枢纽港和金义智慧物流集聚区加速建设，有序推进四大物流中心发展，落实物流服务站与若干服务点网络体系。</w:t>
      </w:r>
      <w:r>
        <w:rPr>
          <w:rFonts w:hint="eastAsia"/>
        </w:rPr>
        <w:t>依托浙赣铁路通道网络加快融入国家大宗农产品、矿产品等资源物资通道体系，加快“浙中多式联运枢纽港”与江河港口的互联互通。依托物流节点优化布局与货运环路基础建设，有序推进城市配送、干线运输的行业管理规范与交通组织优化。</w:t>
      </w:r>
    </w:p>
    <w:p w14:paraId="60730BB0">
      <w:pPr>
        <w:pStyle w:val="6"/>
        <w:numPr>
          <w:ilvl w:val="0"/>
          <w:numId w:val="6"/>
        </w:numPr>
        <w:ind w:firstLineChars="0"/>
        <w:rPr>
          <w:sz w:val="32"/>
        </w:rPr>
      </w:pPr>
      <w:r>
        <w:rPr>
          <w:rFonts w:hint="eastAsia"/>
          <w:sz w:val="32"/>
        </w:rPr>
        <w:t>加强区域物流合作，建设物流联动体系</w:t>
      </w:r>
    </w:p>
    <w:p w14:paraId="508E564B">
      <w:pPr>
        <w:pStyle w:val="34"/>
      </w:pPr>
      <w:r>
        <w:rPr>
          <w:rFonts w:hint="eastAsia"/>
        </w:rPr>
        <w:t>深化铁路物流战略合作，打造义乌铁路西站协作港、合作区，进一步加强铁路联运通关协作。加强公路港物流承接合作，依托杭金衢高速、金义快速路、G235国道等交通干线基础，加快节点设施建设，积极开拓各物流园区之间有效、快捷的物流衔接。支持传化公路港扩大经营腹地，引导八方物流提档改造，加快江岭高新智造区物流中心的规划建设，同时加速实现园区的“互联网+”转型与升级。推动港区联动发展，全面深化与宁波、上海、温州等城市港口的物流战略合作，探索采取“无水港”发展模式。</w:t>
      </w:r>
    </w:p>
    <w:p w14:paraId="5BD06FDC">
      <w:pPr>
        <w:pStyle w:val="6"/>
        <w:numPr>
          <w:ilvl w:val="0"/>
          <w:numId w:val="6"/>
        </w:numPr>
        <w:ind w:firstLineChars="0"/>
        <w:rPr>
          <w:sz w:val="32"/>
        </w:rPr>
      </w:pPr>
      <w:r>
        <w:rPr>
          <w:rFonts w:hint="eastAsia"/>
          <w:sz w:val="32"/>
        </w:rPr>
        <w:t>培育物流市场主体，提升物流服务水平</w:t>
      </w:r>
    </w:p>
    <w:p w14:paraId="5477E3DE">
      <w:pPr>
        <w:pStyle w:val="34"/>
      </w:pPr>
      <w:r>
        <w:rPr>
          <w:rFonts w:hint="eastAsia"/>
        </w:rPr>
        <w:t>增强物流服务能力。着力引进物流总部企业，重点培育领军物流企业，发展5A级物流企业3-5家，着力为园区入驻企业提供完善的基本物流服务，推动物流产业集约发展、集群发展，支持城乡商贸连锁、电商企业、快递企业、贸易公司等机构实施集中配送、共同配送联盟发展，进一步促进物流资源集约化、规模化发展。加速现代物流业与农业、制造业、商贸业、金融业的融合发展，支持大型生产、商贸企业与物流企业合作探索供应链一体化服务创新。</w:t>
      </w:r>
    </w:p>
    <w:p w14:paraId="050A159C">
      <w:pPr>
        <w:pStyle w:val="6"/>
        <w:numPr>
          <w:ilvl w:val="0"/>
          <w:numId w:val="6"/>
        </w:numPr>
        <w:ind w:firstLineChars="0"/>
        <w:rPr>
          <w:sz w:val="32"/>
        </w:rPr>
      </w:pPr>
      <w:r>
        <w:rPr>
          <w:rFonts w:hint="eastAsia"/>
          <w:sz w:val="32"/>
        </w:rPr>
        <w:t>升级传统物流业态，创新物流运作模式</w:t>
      </w:r>
    </w:p>
    <w:p w14:paraId="0929D0CA">
      <w:pPr>
        <w:pStyle w:val="34"/>
      </w:pPr>
      <w:r>
        <w:rPr>
          <w:rFonts w:hint="eastAsia"/>
        </w:rPr>
        <w:t>大力发展冷链物流，加强适应金义新区（金东）消费需求和优势农产品外运需求的冷链基础设施建设。改善快递发展环境，</w:t>
      </w:r>
      <w:r>
        <w:t>完善金义都市新区菜鸟、</w:t>
      </w:r>
      <w:r>
        <w:rPr>
          <w:rFonts w:hint="eastAsia"/>
        </w:rPr>
        <w:t>“</w:t>
      </w:r>
      <w:r>
        <w:t>四通一达</w:t>
      </w:r>
      <w:r>
        <w:rPr>
          <w:rFonts w:hint="eastAsia"/>
        </w:rPr>
        <w:t>”</w:t>
      </w:r>
      <w:r>
        <w:t>等快递总部基地的专业综合物流功能</w:t>
      </w:r>
      <w:r>
        <w:rPr>
          <w:rFonts w:hint="eastAsia"/>
        </w:rPr>
        <w:t>，</w:t>
      </w:r>
      <w:r>
        <w:t>在浙中公铁联运港内，引进苏宁、京东、有棵树等知名电商品牌，建设区域电商集散中心，引导城市区域闲置标准化厂房改造区域快递分拨中心设施。</w:t>
      </w:r>
      <w:r>
        <w:rPr>
          <w:rFonts w:hint="eastAsia"/>
        </w:rPr>
        <w:t>加快城乡配送基础设施建设，加快建设符合城市配送需求的停车场、配送站点和货运通道。加快完善县、乡、村三级物流网络，规划建设服务于金义新区（金东）主城区和各新乡镇街道的城市配送中心，形成各层级配送节点有机对接的城市配送网点。远期结合金华义乌国际机场的规划建设，打造航空航天产业园。</w:t>
      </w:r>
    </w:p>
    <w:p w14:paraId="3624AD60">
      <w:pPr>
        <w:pStyle w:val="6"/>
        <w:numPr>
          <w:ilvl w:val="0"/>
          <w:numId w:val="6"/>
        </w:numPr>
        <w:ind w:firstLineChars="0"/>
        <w:rPr>
          <w:sz w:val="32"/>
        </w:rPr>
      </w:pPr>
      <w:r>
        <w:rPr>
          <w:rFonts w:hint="eastAsia"/>
          <w:sz w:val="32"/>
        </w:rPr>
        <w:t>加快物流信息化建设，提高物流标准化水平</w:t>
      </w:r>
    </w:p>
    <w:p w14:paraId="74EA0C6F">
      <w:pPr>
        <w:pStyle w:val="34"/>
      </w:pPr>
      <w:r>
        <w:rPr>
          <w:rFonts w:hint="eastAsia"/>
        </w:rPr>
        <w:t>加快建设物流信息体系。“十四五”期间，重点构建由</w:t>
      </w:r>
      <w:r>
        <w:rPr>
          <w:rFonts w:hint="eastAsia"/>
          <w:b/>
        </w:rPr>
        <w:t>“金义新区（金东）区物流公共信息平台—物流设施功能平台—企业信息平台”</w:t>
      </w:r>
      <w:r>
        <w:rPr>
          <w:rFonts w:hint="eastAsia"/>
        </w:rPr>
        <w:t>构成的金义新区（金东）区物流信息体系。持续推进物流业标准化建设，加快对现有仓储设施、货运设施和运输工具的标准化改造。</w:t>
      </w:r>
    </w:p>
    <w:p w14:paraId="1431EE2C">
      <w:pPr>
        <w:pStyle w:val="34"/>
        <w:ind w:firstLine="643"/>
        <w:rPr>
          <w:rFonts w:cs="仿宋_GB2312"/>
          <w:bCs/>
        </w:rPr>
      </w:pPr>
      <w:r>
        <w:rPr>
          <w:rFonts w:hint="eastAsia" w:cs="仿宋_GB2312"/>
          <w:b/>
          <w:bCs/>
        </w:rPr>
        <w:t>加快发展智慧物流。</w:t>
      </w:r>
      <w:r>
        <w:rPr>
          <w:rFonts w:hint="eastAsia" w:cs="仿宋_GB2312"/>
          <w:bCs/>
        </w:rPr>
        <w:t>推进“互联网+高效物流”发展，创新运行模式，提升物流效率，降低物流成本。引进和培育无车承运人平台企业。优化物流各环节单据传输、作业流程和资源要素状态的全面感知和实时追踪，提升物流全程透明化可视化管理和智能服务水平。</w:t>
      </w:r>
    </w:p>
    <w:p w14:paraId="1576B78C">
      <w:pPr>
        <w:pStyle w:val="4"/>
        <w:ind w:firstLine="643"/>
        <w:rPr>
          <w:sz w:val="28"/>
        </w:rPr>
      </w:pPr>
      <w:bookmarkStart w:id="31" w:name="_Toc43384739"/>
      <w:r>
        <w:t>（</w:t>
      </w:r>
      <w:r>
        <w:rPr>
          <w:rFonts w:hint="eastAsia"/>
        </w:rPr>
        <w:t>四</w:t>
      </w:r>
      <w:r>
        <w:t>）</w:t>
      </w:r>
      <w:r>
        <w:rPr>
          <w:rFonts w:hint="eastAsia"/>
        </w:rPr>
        <w:t>深化行业治理能力</w:t>
      </w:r>
      <w:bookmarkEnd w:id="31"/>
    </w:p>
    <w:p w14:paraId="3ABE10D8">
      <w:pPr>
        <w:pStyle w:val="6"/>
        <w:ind w:firstLine="643"/>
        <w:rPr>
          <w:sz w:val="32"/>
        </w:rPr>
      </w:pPr>
      <w:r>
        <w:rPr>
          <w:sz w:val="32"/>
        </w:rPr>
        <w:t>1.</w:t>
      </w:r>
      <w:r>
        <w:rPr>
          <w:rFonts w:hint="eastAsia"/>
          <w:sz w:val="32"/>
        </w:rPr>
        <w:t xml:space="preserve"> </w:t>
      </w:r>
      <w:r>
        <w:rPr>
          <w:sz w:val="32"/>
        </w:rPr>
        <w:t>智慧交通</w:t>
      </w:r>
    </w:p>
    <w:p w14:paraId="28A4DC0B">
      <w:pPr>
        <w:spacing w:line="360" w:lineRule="auto"/>
        <w:ind w:firstLine="643"/>
        <w:rPr>
          <w:rFonts w:ascii="仿宋_GB2312" w:eastAsia="仿宋_GB2312" w:cs="仿宋_GB2312"/>
          <w:sz w:val="32"/>
          <w:szCs w:val="30"/>
        </w:rPr>
      </w:pPr>
      <w:r>
        <w:rPr>
          <w:rFonts w:hint="eastAsia" w:ascii="仿宋_GB2312" w:eastAsia="仿宋_GB2312" w:cs="仿宋_GB2312"/>
          <w:b/>
          <w:bCs/>
          <w:sz w:val="32"/>
          <w:szCs w:val="30"/>
        </w:rPr>
        <w:t>加快推进智慧交通工程。</w:t>
      </w:r>
      <w:r>
        <w:rPr>
          <w:rFonts w:hint="eastAsia" w:ascii="仿宋_GB2312" w:eastAsia="仿宋_GB2312" w:cs="仿宋_GB2312"/>
          <w:sz w:val="32"/>
          <w:szCs w:val="30"/>
        </w:rPr>
        <w:t>推进金义新区（金东）交通领域5G、人工智能等技术应用，建立基于物联网和数据技术的感知系统，打造覆盖全对象和全时空的新一代智慧交通感知体系。积极参与G60智慧高速等长三角智慧高速示范工程和新一代国家交通控制网建设工程，推动高速公路与交通感知网络同步建设。加快构建实时感知、高效响应、智能管控、指尖服务的新型智慧交通管理体系，实现公路、铁路、水运、航空等领域的动态实时监控。推广先进的智能运输工具，推进智能驾驶运载工具的示范应用，推广货运物流的快速智能化分拣技术和装备设施应用。</w:t>
      </w:r>
    </w:p>
    <w:p w14:paraId="2605DDC5">
      <w:pPr>
        <w:pStyle w:val="34"/>
        <w:spacing w:line="580" w:lineRule="exact"/>
        <w:ind w:firstLine="643"/>
        <w:jc w:val="left"/>
      </w:pPr>
      <w:r>
        <w:rPr>
          <w:rFonts w:hint="eastAsia"/>
          <w:b/>
        </w:rPr>
        <w:t>建设金义新区（金东）综合交通数据中心。</w:t>
      </w:r>
      <w:r>
        <w:rPr>
          <w:rFonts w:hint="eastAsia"/>
        </w:rPr>
        <w:t>加强交通运输数据采集、汇聚、共享，推动交通信息资源开放共享。建设金华物流信息公共服务平台，强化行业监测、信息服务、供应链协同、大数据交易等应用功能，推广应用电子化单证，引导物流数字化升级。</w:t>
      </w:r>
      <w:r>
        <w:rPr>
          <w:rFonts w:hint="eastAsia" w:asciiTheme="minorEastAsia" w:hAnsiTheme="minorEastAsia"/>
          <w:szCs w:val="28"/>
        </w:rPr>
        <w:t>在公共出行领域全面运用移动支付、人脸识别等新技术。</w:t>
      </w:r>
    </w:p>
    <w:p w14:paraId="4E6F1FE4">
      <w:pPr>
        <w:pStyle w:val="6"/>
        <w:ind w:firstLine="643"/>
        <w:rPr>
          <w:sz w:val="32"/>
        </w:rPr>
      </w:pPr>
      <w:r>
        <w:rPr>
          <w:sz w:val="32"/>
        </w:rPr>
        <w:t>2.</w:t>
      </w:r>
      <w:r>
        <w:rPr>
          <w:rFonts w:hint="eastAsia"/>
          <w:sz w:val="32"/>
        </w:rPr>
        <w:t xml:space="preserve"> </w:t>
      </w:r>
      <w:r>
        <w:rPr>
          <w:sz w:val="32"/>
        </w:rPr>
        <w:t>绿色交通</w:t>
      </w:r>
    </w:p>
    <w:p w14:paraId="12F896B4">
      <w:pPr>
        <w:pStyle w:val="49"/>
        <w:ind w:firstLine="640"/>
        <w:jc w:val="both"/>
        <w:rPr>
          <w:rFonts w:ascii="仿宋_GB2312" w:eastAsia="仿宋_GB2312" w:cs="Times New Roman"/>
          <w:sz w:val="32"/>
          <w:szCs w:val="30"/>
        </w:rPr>
      </w:pPr>
      <w:r>
        <w:rPr>
          <w:rFonts w:hint="eastAsia" w:ascii="仿宋_GB2312" w:eastAsia="仿宋_GB2312" w:cs="Times New Roman"/>
          <w:sz w:val="32"/>
          <w:szCs w:val="30"/>
        </w:rPr>
        <w:t>深入贯彻“绿水青山就是金山银山”的理念，统筹</w:t>
      </w:r>
      <w:r>
        <w:rPr>
          <w:rFonts w:hint="eastAsia" w:ascii="仿宋_GB2312" w:eastAsia="仿宋_GB2312" w:cs="Times New Roman"/>
          <w:b/>
          <w:sz w:val="32"/>
          <w:szCs w:val="30"/>
        </w:rPr>
        <w:t>推进绿色铁路、绿色公路、绿色航道、绿色机场建设</w:t>
      </w:r>
      <w:r>
        <w:rPr>
          <w:rFonts w:hint="eastAsia" w:ascii="仿宋_GB2312" w:eastAsia="仿宋_GB2312" w:cs="Times New Roman"/>
          <w:sz w:val="32"/>
          <w:szCs w:val="30"/>
        </w:rPr>
        <w:t>。把生态保护理念贯穿交通基础设施建设全过程，突出建、管、养、运并重。加强交通土地资源集约利用，统筹规划布局线路和枢纽设施，集约利用土地、线位等资源，鼓励建设公铁复合型通道、一体化站场、综合服务站，提高资源利用效率。遵循“减量化、再利用、资源化”原则，积极探索资源回收和废弃物综合利用的有效途径。</w:t>
      </w:r>
    </w:p>
    <w:p w14:paraId="1C737D8C">
      <w:pPr>
        <w:pStyle w:val="34"/>
        <w:ind w:firstLine="643"/>
        <w:rPr>
          <w:rFonts w:ascii="仿宋" w:hAnsi="仿宋" w:eastAsia="仿宋"/>
          <w:szCs w:val="32"/>
        </w:rPr>
      </w:pPr>
      <w:r>
        <w:rPr>
          <w:rFonts w:hint="eastAsia"/>
          <w:b/>
        </w:rPr>
        <w:t>打造绿色交通体系。</w:t>
      </w:r>
      <w:r>
        <w:rPr>
          <w:rFonts w:hint="eastAsia"/>
        </w:rPr>
        <w:t>推广节能环保型和新能源运输设施设备，</w:t>
      </w:r>
      <w:r>
        <w:rPr>
          <w:rFonts w:hint="eastAsia" w:ascii="仿宋" w:hAnsi="仿宋" w:eastAsia="仿宋"/>
          <w:szCs w:val="32"/>
        </w:rPr>
        <w:t>大力推广电动、天然气等新能源在出租车、教练车、中短途班线、城市公共交通等领域的应用范围和规模；推进货运车型、船型及多式联运等装备设施标准化，鼓励厢式运输、甩挂运输和重载化运输，持续降低交通运输能源消耗和污染排放强度。到“十四五”末，金义新区（金东）区新能源和清洁燃料公交车占比达到</w:t>
      </w:r>
      <w:r>
        <w:rPr>
          <w:rFonts w:ascii="仿宋" w:hAnsi="仿宋" w:eastAsia="仿宋"/>
          <w:szCs w:val="32"/>
        </w:rPr>
        <w:t>60%</w:t>
      </w:r>
      <w:r>
        <w:rPr>
          <w:rFonts w:hint="eastAsia" w:ascii="仿宋" w:hAnsi="仿宋" w:eastAsia="仿宋"/>
          <w:szCs w:val="32"/>
        </w:rPr>
        <w:t>，更新或新增的公交车节能环保车型车辆占</w:t>
      </w:r>
      <w:r>
        <w:rPr>
          <w:rFonts w:ascii="仿宋" w:hAnsi="仿宋" w:eastAsia="仿宋"/>
          <w:szCs w:val="32"/>
        </w:rPr>
        <w:t>80%</w:t>
      </w:r>
      <w:r>
        <w:rPr>
          <w:rFonts w:hint="eastAsia" w:ascii="仿宋" w:hAnsi="仿宋" w:eastAsia="仿宋"/>
          <w:szCs w:val="32"/>
        </w:rPr>
        <w:t>；新开业的汽车维修企业截污纳管率要求达到</w:t>
      </w:r>
      <w:r>
        <w:rPr>
          <w:rFonts w:ascii="仿宋" w:hAnsi="仿宋" w:eastAsia="仿宋"/>
          <w:szCs w:val="32"/>
        </w:rPr>
        <w:t>100%</w:t>
      </w:r>
      <w:r>
        <w:rPr>
          <w:rFonts w:hint="eastAsia" w:ascii="仿宋" w:hAnsi="仿宋" w:eastAsia="仿宋"/>
          <w:szCs w:val="32"/>
        </w:rPr>
        <w:t>。</w:t>
      </w:r>
    </w:p>
    <w:p w14:paraId="11FBA429">
      <w:pPr>
        <w:pStyle w:val="6"/>
        <w:numPr>
          <w:ilvl w:val="0"/>
          <w:numId w:val="5"/>
        </w:numPr>
        <w:ind w:firstLineChars="0"/>
        <w:rPr>
          <w:sz w:val="32"/>
        </w:rPr>
      </w:pPr>
      <w:r>
        <w:rPr>
          <w:sz w:val="32"/>
        </w:rPr>
        <w:t>平安交通</w:t>
      </w:r>
    </w:p>
    <w:p w14:paraId="3E23CBF1">
      <w:pPr>
        <w:pStyle w:val="34"/>
        <w:ind w:firstLine="643"/>
      </w:pPr>
      <w:r>
        <w:rPr>
          <w:rFonts w:hint="eastAsia"/>
          <w:b/>
        </w:rPr>
        <w:t>加强交通安全监管力度。</w:t>
      </w:r>
      <w:r>
        <w:rPr>
          <w:rFonts w:hint="eastAsia"/>
        </w:rPr>
        <w:t>以金华市综合交通应急指挥中心为依托，推动公路、铁路、水运、民航、气象等应急信息集成，进一步健全常态化综合交通应急制度体系。加大解决城际客运班线公交化、出租车市场化等重点领域和关键环节的改革力度，进一步推进交通执法重心下移，提高交通运输行业法治化、精细化程度和公共服务的智能化、优质化水平。</w:t>
      </w:r>
    </w:p>
    <w:p w14:paraId="24E00865">
      <w:pPr>
        <w:pStyle w:val="34"/>
        <w:ind w:firstLine="643"/>
        <w:jc w:val="left"/>
      </w:pPr>
      <w:r>
        <w:rPr>
          <w:rFonts w:hint="eastAsia"/>
          <w:b/>
        </w:rPr>
        <w:t>提升安全发展水平。</w:t>
      </w:r>
      <w:r>
        <w:rPr>
          <w:rFonts w:hint="eastAsia"/>
        </w:rPr>
        <w:t>加强交通运输安全生产管理，落实企业安全生产主体责任。建立有关部门“各司其职、各负其责、齐抓共管”的安全监管体系，强化危险品运输车辆、客运班线和包车车辆监控。统筹各种运输方式的应急联动机制，完善综合交通运输应急预案体系、应急指挥体系、应急监测预警系统。</w:t>
      </w:r>
    </w:p>
    <w:p w14:paraId="596C93C9">
      <w:pPr>
        <w:pStyle w:val="34"/>
        <w:ind w:firstLine="643"/>
        <w:jc w:val="left"/>
      </w:pPr>
      <w:r>
        <w:rPr>
          <w:rFonts w:hint="eastAsia"/>
          <w:b/>
        </w:rPr>
        <w:t>进一步加大治超力度</w:t>
      </w:r>
      <w:r>
        <w:rPr>
          <w:rFonts w:hint="eastAsia"/>
        </w:rPr>
        <w:t>。开展固定与流动检测相结合的治超模式，加强部门联动及开展联合整治</w:t>
      </w:r>
    </w:p>
    <w:p w14:paraId="1A8C8F26">
      <w:pPr>
        <w:pStyle w:val="6"/>
        <w:numPr>
          <w:ilvl w:val="0"/>
          <w:numId w:val="5"/>
        </w:numPr>
        <w:ind w:firstLineChars="0"/>
        <w:rPr>
          <w:sz w:val="32"/>
        </w:rPr>
      </w:pPr>
      <w:r>
        <w:rPr>
          <w:sz w:val="32"/>
        </w:rPr>
        <w:t>行业管理</w:t>
      </w:r>
    </w:p>
    <w:p w14:paraId="15CA5E7E">
      <w:pPr>
        <w:pStyle w:val="34"/>
        <w:jc w:val="left"/>
        <w:rPr>
          <w:szCs w:val="32"/>
        </w:rPr>
      </w:pPr>
      <w:r>
        <w:rPr>
          <w:rFonts w:hint="eastAsia"/>
          <w:szCs w:val="32"/>
        </w:rPr>
        <w:t>持续深化交通管理大部制改革，理顺交通相关行业部门之间的职责关系，合理设置管理机构，建立更加科学合理的综合交通管理机制。探索金义都市区内交通运输协同发展，在规划、建设、运营、管理等方面建立相应协调机制，有序推进都市区交通融合发展。明确政府、企业、社会组织、公众等多元主体间的责权关系，形成以政府为主导、多元合作的城市交通综合治理格局。</w:t>
      </w:r>
    </w:p>
    <w:p w14:paraId="14297136">
      <w:pPr>
        <w:pStyle w:val="34"/>
        <w:rPr>
          <w:szCs w:val="28"/>
        </w:rPr>
      </w:pPr>
      <w:r>
        <w:rPr>
          <w:szCs w:val="28"/>
        </w:rPr>
        <w:br w:type="page"/>
      </w:r>
    </w:p>
    <w:p w14:paraId="709ED890">
      <w:pPr>
        <w:pStyle w:val="2"/>
        <w:ind w:firstLine="0" w:firstLineChars="0"/>
      </w:pPr>
      <w:bookmarkStart w:id="32" w:name="_Toc34681269"/>
      <w:bookmarkStart w:id="33" w:name="_Toc43384740"/>
      <w:r>
        <w:t>六、保障</w:t>
      </w:r>
      <w:bookmarkEnd w:id="32"/>
      <w:r>
        <w:t>措施</w:t>
      </w:r>
      <w:bookmarkEnd w:id="33"/>
    </w:p>
    <w:p w14:paraId="32384CAE">
      <w:pPr>
        <w:pStyle w:val="34"/>
        <w:jc w:val="left"/>
        <w:rPr>
          <w:szCs w:val="32"/>
        </w:rPr>
      </w:pPr>
      <w:r>
        <w:rPr>
          <w:rFonts w:hint="eastAsia"/>
          <w:szCs w:val="32"/>
        </w:rPr>
        <w:t>根据金义新区（金东）的交通运输管理、土地、投融资、资金筹措等方面的发展状况，结合在规划保障策略部分所提出的内容，本次规划从管理体制、投融资机制以及用地保障等角度提出保障方案，保障金义新区（金东）的“十四五”综合交通运输体系能够快速建设和高效运行。</w:t>
      </w:r>
    </w:p>
    <w:p w14:paraId="6376128C">
      <w:pPr>
        <w:pStyle w:val="4"/>
        <w:ind w:firstLine="643"/>
        <w:rPr>
          <w:rFonts w:ascii="仿宋" w:hAnsi="仿宋" w:eastAsia="仿宋"/>
        </w:rPr>
      </w:pPr>
      <w:bookmarkStart w:id="34" w:name="_Toc24659125"/>
      <w:bookmarkStart w:id="35" w:name="_Toc24658650"/>
      <w:bookmarkStart w:id="36" w:name="_Toc23237841"/>
      <w:bookmarkStart w:id="37" w:name="_Toc5263"/>
      <w:bookmarkStart w:id="38" w:name="_Toc43384741"/>
      <w:bookmarkStart w:id="39" w:name="_Toc29797237"/>
      <w:r>
        <w:rPr>
          <w:rFonts w:hint="eastAsia" w:ascii="仿宋" w:hAnsi="仿宋" w:eastAsia="仿宋"/>
        </w:rPr>
        <w:t>（一）</w:t>
      </w:r>
      <w:bookmarkEnd w:id="34"/>
      <w:bookmarkEnd w:id="35"/>
      <w:bookmarkEnd w:id="36"/>
      <w:bookmarkEnd w:id="37"/>
      <w:r>
        <w:rPr>
          <w:rFonts w:hint="eastAsia" w:ascii="仿宋" w:hAnsi="仿宋" w:eastAsia="仿宋"/>
        </w:rPr>
        <w:t>协调组织领导</w:t>
      </w:r>
      <w:bookmarkEnd w:id="38"/>
    </w:p>
    <w:p w14:paraId="1066587C">
      <w:pPr>
        <w:pStyle w:val="34"/>
        <w:ind w:firstLine="643"/>
        <w:rPr>
          <w:szCs w:val="32"/>
        </w:rPr>
      </w:pPr>
      <w:r>
        <w:rPr>
          <w:rFonts w:hint="eastAsia"/>
          <w:b/>
          <w:szCs w:val="32"/>
        </w:rPr>
        <w:t>全面协调组织领导，</w:t>
      </w:r>
      <w:bookmarkEnd w:id="39"/>
      <w:r>
        <w:rPr>
          <w:rFonts w:hint="eastAsia"/>
          <w:b/>
          <w:szCs w:val="32"/>
        </w:rPr>
        <w:t>统筹区域综合交通管理一体化。</w:t>
      </w:r>
      <w:r>
        <w:rPr>
          <w:rFonts w:hint="eastAsia"/>
          <w:szCs w:val="32"/>
        </w:rPr>
        <w:t>建立起金义新区（金东）公路、铁路、水运、航空等于一体，规划、建设、管理于一体的大交通管理体制、消除不利于综合交通运输体系发展的各种行政管理障碍。强化交通规划引领，以综合交通发展规划为纽带，将综合交通规划纳入区国土空间统筹平衡，增强规划的刚性约束和执行力，严格依法实施综合交通发展规划。按照“规划一张图、建设一盘棋、管理一体化”要求，整合横向职能，加强对全区综合交通发展的统筹协调，发改、交通等部门强化对综合交通规划、重大项目前期、交通建设计划、交通物流发展等方面的综合管理职能，加快构建上下对口衔接、左右统筹协调的区域综合交通管理模式。</w:t>
      </w:r>
    </w:p>
    <w:p w14:paraId="19C50BA8">
      <w:pPr>
        <w:pStyle w:val="4"/>
        <w:ind w:firstLine="643"/>
        <w:rPr>
          <w:rFonts w:ascii="仿宋" w:hAnsi="仿宋" w:eastAsia="仿宋"/>
        </w:rPr>
      </w:pPr>
      <w:bookmarkStart w:id="40" w:name="_Toc12901"/>
      <w:bookmarkStart w:id="41" w:name="_Toc43384742"/>
      <w:bookmarkStart w:id="42" w:name="_Toc29797240"/>
      <w:r>
        <w:rPr>
          <w:rFonts w:hint="eastAsia" w:ascii="仿宋" w:hAnsi="仿宋" w:eastAsia="仿宋"/>
        </w:rPr>
        <w:t>（二）</w:t>
      </w:r>
      <w:bookmarkEnd w:id="40"/>
      <w:r>
        <w:rPr>
          <w:rFonts w:hint="eastAsia" w:ascii="仿宋" w:hAnsi="仿宋" w:eastAsia="仿宋"/>
        </w:rPr>
        <w:t>加大财政投入</w:t>
      </w:r>
      <w:bookmarkEnd w:id="41"/>
    </w:p>
    <w:p w14:paraId="6ADD4779">
      <w:pPr>
        <w:ind w:firstLine="643"/>
        <w:rPr>
          <w:rFonts w:ascii="仿宋_GB2312" w:eastAsia="仿宋_GB2312" w:cs="仿宋_GB2312"/>
          <w:sz w:val="32"/>
          <w:szCs w:val="30"/>
        </w:rPr>
      </w:pPr>
      <w:r>
        <w:rPr>
          <w:rFonts w:hint="eastAsia" w:ascii="仿宋_GB2312" w:eastAsia="仿宋_GB2312" w:cs="仿宋_GB2312"/>
          <w:b/>
          <w:sz w:val="32"/>
          <w:szCs w:val="30"/>
        </w:rPr>
        <w:t>加大地方财政投入，</w:t>
      </w:r>
      <w:bookmarkEnd w:id="42"/>
      <w:r>
        <w:rPr>
          <w:rFonts w:ascii="仿宋_GB2312" w:eastAsia="仿宋_GB2312" w:cs="仿宋_GB2312"/>
          <w:b/>
          <w:sz w:val="32"/>
          <w:szCs w:val="30"/>
        </w:rPr>
        <w:t>构建多元化，可持续的交通运输投融资机制</w:t>
      </w:r>
      <w:r>
        <w:rPr>
          <w:rFonts w:hint="eastAsia" w:ascii="仿宋_GB2312" w:eastAsia="仿宋_GB2312" w:cs="仿宋_GB2312"/>
          <w:b/>
          <w:sz w:val="32"/>
          <w:szCs w:val="30"/>
        </w:rPr>
        <w:t>。</w:t>
      </w:r>
      <w:r>
        <w:rPr>
          <w:rFonts w:hint="eastAsia" w:ascii="仿宋_GB2312" w:eastAsia="仿宋_GB2312" w:cs="仿宋_GB2312"/>
          <w:sz w:val="32"/>
          <w:szCs w:val="30"/>
        </w:rPr>
        <w:t>“十三五”期，金义新区（金东）综合交通运输发展过程中的资源约束问题比较突出，特别是建设资金的压力非常大。“十四五”期间，应建立健全地方财政投入机制，加大地方财政投入力度，充分发挥地方能动作用。</w:t>
      </w:r>
    </w:p>
    <w:p w14:paraId="563A723A">
      <w:pPr>
        <w:ind w:firstLine="640"/>
        <w:rPr>
          <w:rFonts w:ascii="仿宋_GB2312" w:eastAsia="仿宋_GB2312" w:cs="仿宋_GB2312"/>
          <w:sz w:val="32"/>
          <w:szCs w:val="30"/>
        </w:rPr>
      </w:pPr>
      <w:r>
        <w:rPr>
          <w:rFonts w:hint="eastAsia" w:ascii="仿宋_GB2312" w:eastAsia="仿宋_GB2312" w:cs="仿宋_GB2312"/>
          <w:sz w:val="32"/>
          <w:szCs w:val="30"/>
        </w:rPr>
        <w:t>创新交通基础设施投融资体制，加大资源整合力度，做大做强交通融资平台，采用多元的投融资方式，减轻政府的财政压力，按照“政府主导、市场化运作”的方式开展基础设施的投融资工作，推广政府和社会资本合作（PPP）模式，吸引社会资本参与建设和运营，健全社会化、市场化、多元化的交通基础设施投融资模式。深化交通项目的投融资模式和工程造价等方面的研究工作，为交通项目解决融资难问题出谋划策，保证“十四五”综合交通建设目标的完成。</w:t>
      </w:r>
    </w:p>
    <w:p w14:paraId="2D13D229">
      <w:pPr>
        <w:pStyle w:val="4"/>
        <w:ind w:firstLine="643"/>
        <w:rPr>
          <w:rFonts w:ascii="仿宋" w:hAnsi="仿宋" w:eastAsia="仿宋"/>
        </w:rPr>
      </w:pPr>
      <w:bookmarkStart w:id="43" w:name="_Toc43384743"/>
      <w:r>
        <w:rPr>
          <w:rFonts w:hint="eastAsia" w:ascii="仿宋" w:hAnsi="仿宋" w:eastAsia="仿宋"/>
        </w:rPr>
        <w:t>（三）强化要素保障</w:t>
      </w:r>
      <w:bookmarkEnd w:id="43"/>
    </w:p>
    <w:p w14:paraId="6D74724F">
      <w:pPr>
        <w:pStyle w:val="34"/>
        <w:ind w:firstLine="643"/>
        <w:rPr>
          <w:szCs w:val="32"/>
        </w:rPr>
      </w:pPr>
      <w:r>
        <w:rPr>
          <w:rFonts w:hint="eastAsia"/>
          <w:b/>
          <w:szCs w:val="32"/>
        </w:rPr>
        <w:t>强化要素保障，落实</w:t>
      </w:r>
      <w:r>
        <w:rPr>
          <w:b/>
          <w:szCs w:val="32"/>
        </w:rPr>
        <w:t>城市用地的保障工作</w:t>
      </w:r>
      <w:r>
        <w:rPr>
          <w:rFonts w:hint="eastAsia"/>
          <w:b/>
          <w:szCs w:val="32"/>
        </w:rPr>
        <w:t>。</w:t>
      </w:r>
      <w:r>
        <w:rPr>
          <w:rFonts w:hint="eastAsia"/>
          <w:szCs w:val="32"/>
        </w:rPr>
        <w:t>进一步优化交通项目选址，尽量避占优质耕地尤其是水田。通过资金倾斜和改革创新，加大政策供给，鼓励通过存量盘活、低丘缓坡开发利用、市场配置土地要素等方式落实用地主体自身重大项目建设占用的耕地占补平衡。</w:t>
      </w:r>
    </w:p>
    <w:p w14:paraId="1F840E16">
      <w:pPr>
        <w:pStyle w:val="34"/>
        <w:rPr>
          <w:szCs w:val="32"/>
        </w:rPr>
      </w:pPr>
      <w:r>
        <w:rPr>
          <w:rFonts w:hint="eastAsia"/>
          <w:szCs w:val="32"/>
        </w:rPr>
        <w:t>强化交通规划与土地利用规划、控制性详规的衔接，落实交通设施建设用地保障工作，将交通用地指标纳入土地利用总体规划，将交通设施规划控制方案纳入控制性详细规划，依法依规做好交通设施建设用地涉及的拆迁工作，妥善处理被征地群众的生产生活问题。实现交通规划与城市规划互动协调，做到交通建设和运输服务用地优先保障预留，土地开发增值后用于地铁建设，做到交通建设、城市建设、土地开发同步。</w:t>
      </w:r>
    </w:p>
    <w:p w14:paraId="09F42F46">
      <w:pPr>
        <w:pStyle w:val="2"/>
        <w:ind w:firstLine="0" w:firstLineChars="0"/>
        <w:jc w:val="both"/>
      </w:pPr>
      <w:r>
        <w:br w:type="page"/>
      </w:r>
    </w:p>
    <w:p w14:paraId="0E67A1F4">
      <w:pPr>
        <w:pStyle w:val="2"/>
        <w:ind w:firstLine="597" w:firstLineChars="188"/>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767CC983">
      <w:pPr>
        <w:ind w:firstLine="0" w:firstLineChars="0"/>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7A"/>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040214"/>
      <w:docPartObj>
        <w:docPartGallery w:val="autotext"/>
      </w:docPartObj>
    </w:sdtPr>
    <w:sdtContent>
      <w:p w14:paraId="7D658634">
        <w:pPr>
          <w:pStyle w:val="12"/>
          <w:ind w:firstLine="360"/>
          <w:jc w:val="center"/>
        </w:pPr>
        <w:r>
          <w:fldChar w:fldCharType="begin"/>
        </w:r>
        <w:r>
          <w:instrText xml:space="preserve">PAGE   \* MERGEFORMAT</w:instrText>
        </w:r>
        <w:r>
          <w:fldChar w:fldCharType="separate"/>
        </w:r>
        <w:r>
          <w:rPr>
            <w:lang w:val="zh-CN"/>
          </w:rPr>
          <w:t>59</w:t>
        </w:r>
        <w:r>
          <w:fldChar w:fldCharType="end"/>
        </w:r>
      </w:p>
    </w:sdtContent>
  </w:sdt>
  <w:p w14:paraId="115CB11E">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E7E8">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B3BD">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F86C">
    <w:pPr>
      <w:pStyle w:val="1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B9BE">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99E6">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663CD"/>
    <w:multiLevelType w:val="multilevel"/>
    <w:tmpl w:val="198663CD"/>
    <w:lvl w:ilvl="0" w:tentative="0">
      <w:start w:val="2"/>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9412DB5"/>
    <w:multiLevelType w:val="multilevel"/>
    <w:tmpl w:val="39412DB5"/>
    <w:lvl w:ilvl="0" w:tentative="0">
      <w:start w:val="1"/>
      <w:numFmt w:val="decimal"/>
      <w:pStyle w:val="39"/>
      <w:lvlText w:val="1.2.%1"/>
      <w:lvlJc w:val="left"/>
      <w:pPr>
        <w:ind w:left="1778" w:hanging="36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
    <w:nsid w:val="52C17792"/>
    <w:multiLevelType w:val="multilevel"/>
    <w:tmpl w:val="52C17792"/>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FFF07F6"/>
    <w:multiLevelType w:val="multilevel"/>
    <w:tmpl w:val="5FFF07F6"/>
    <w:lvl w:ilvl="0" w:tentative="0">
      <w:start w:val="1"/>
      <w:numFmt w:val="decimal"/>
      <w:lvlText w:val="%1."/>
      <w:lvlJc w:val="left"/>
      <w:pPr>
        <w:ind w:left="927"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1D906B1"/>
    <w:multiLevelType w:val="multilevel"/>
    <w:tmpl w:val="61D906B1"/>
    <w:lvl w:ilvl="0" w:tentative="0">
      <w:start w:val="1"/>
      <w:numFmt w:val="decimal"/>
      <w:pStyle w:val="37"/>
      <w:lvlText w:val="1.%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3D92AB3"/>
    <w:multiLevelType w:val="multilevel"/>
    <w:tmpl w:val="73D92AB3"/>
    <w:lvl w:ilvl="0" w:tentative="0">
      <w:start w:val="1"/>
      <w:numFmt w:val="decimal"/>
      <w:pStyle w:val="36"/>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TY2ZjI4ZjMzMTRiNzU5MDY3OTQ1YTNhYTM4YTIifQ=="/>
  </w:docVars>
  <w:rsids>
    <w:rsidRoot w:val="00C8138F"/>
    <w:rsid w:val="00001756"/>
    <w:rsid w:val="00003FB2"/>
    <w:rsid w:val="00005900"/>
    <w:rsid w:val="00010BD9"/>
    <w:rsid w:val="0001101F"/>
    <w:rsid w:val="000124B4"/>
    <w:rsid w:val="00015E13"/>
    <w:rsid w:val="000176DC"/>
    <w:rsid w:val="00022233"/>
    <w:rsid w:val="00030A47"/>
    <w:rsid w:val="00031DBF"/>
    <w:rsid w:val="000340F5"/>
    <w:rsid w:val="000356A7"/>
    <w:rsid w:val="00035FCB"/>
    <w:rsid w:val="00042EB2"/>
    <w:rsid w:val="00045CFB"/>
    <w:rsid w:val="0004794D"/>
    <w:rsid w:val="00050736"/>
    <w:rsid w:val="000533C9"/>
    <w:rsid w:val="00053F9D"/>
    <w:rsid w:val="00054E2A"/>
    <w:rsid w:val="00060A49"/>
    <w:rsid w:val="000615D4"/>
    <w:rsid w:val="00064ECE"/>
    <w:rsid w:val="00070EF2"/>
    <w:rsid w:val="00071C16"/>
    <w:rsid w:val="00071CCA"/>
    <w:rsid w:val="0007462D"/>
    <w:rsid w:val="00081D55"/>
    <w:rsid w:val="00087B8B"/>
    <w:rsid w:val="00090DAA"/>
    <w:rsid w:val="00092522"/>
    <w:rsid w:val="00093D1A"/>
    <w:rsid w:val="00094FE3"/>
    <w:rsid w:val="00096815"/>
    <w:rsid w:val="000A4341"/>
    <w:rsid w:val="000A6BDB"/>
    <w:rsid w:val="000B1162"/>
    <w:rsid w:val="000B13A8"/>
    <w:rsid w:val="000B6078"/>
    <w:rsid w:val="000C1C71"/>
    <w:rsid w:val="000C2018"/>
    <w:rsid w:val="000C41FB"/>
    <w:rsid w:val="000C4D89"/>
    <w:rsid w:val="000C6BEE"/>
    <w:rsid w:val="000D5562"/>
    <w:rsid w:val="000D66FF"/>
    <w:rsid w:val="000D7191"/>
    <w:rsid w:val="000E3C03"/>
    <w:rsid w:val="000E4EBD"/>
    <w:rsid w:val="000F1EE2"/>
    <w:rsid w:val="000F41BC"/>
    <w:rsid w:val="000F6BC8"/>
    <w:rsid w:val="0010061F"/>
    <w:rsid w:val="001015ED"/>
    <w:rsid w:val="00105843"/>
    <w:rsid w:val="00113336"/>
    <w:rsid w:val="00113DDF"/>
    <w:rsid w:val="00115056"/>
    <w:rsid w:val="001166F4"/>
    <w:rsid w:val="00116B30"/>
    <w:rsid w:val="001213E3"/>
    <w:rsid w:val="001251A9"/>
    <w:rsid w:val="001272C7"/>
    <w:rsid w:val="00131EF6"/>
    <w:rsid w:val="00132227"/>
    <w:rsid w:val="0013480F"/>
    <w:rsid w:val="00135091"/>
    <w:rsid w:val="00136EB7"/>
    <w:rsid w:val="00137DFF"/>
    <w:rsid w:val="00140764"/>
    <w:rsid w:val="0014165C"/>
    <w:rsid w:val="001423B8"/>
    <w:rsid w:val="00142BFC"/>
    <w:rsid w:val="001472F4"/>
    <w:rsid w:val="00147AC3"/>
    <w:rsid w:val="0015241B"/>
    <w:rsid w:val="0016306F"/>
    <w:rsid w:val="001659B6"/>
    <w:rsid w:val="001668C1"/>
    <w:rsid w:val="00171052"/>
    <w:rsid w:val="00186384"/>
    <w:rsid w:val="00186751"/>
    <w:rsid w:val="00187DCA"/>
    <w:rsid w:val="00190FF6"/>
    <w:rsid w:val="001920B2"/>
    <w:rsid w:val="001923CE"/>
    <w:rsid w:val="00194997"/>
    <w:rsid w:val="001949D1"/>
    <w:rsid w:val="00194B5F"/>
    <w:rsid w:val="00195D21"/>
    <w:rsid w:val="001963E2"/>
    <w:rsid w:val="001A03BA"/>
    <w:rsid w:val="001A587C"/>
    <w:rsid w:val="001B2AB5"/>
    <w:rsid w:val="001B330B"/>
    <w:rsid w:val="001B5103"/>
    <w:rsid w:val="001C0071"/>
    <w:rsid w:val="001C063B"/>
    <w:rsid w:val="001C0F64"/>
    <w:rsid w:val="001C23CB"/>
    <w:rsid w:val="001D0979"/>
    <w:rsid w:val="001D2055"/>
    <w:rsid w:val="001D34A4"/>
    <w:rsid w:val="001D43D5"/>
    <w:rsid w:val="001D51B9"/>
    <w:rsid w:val="001D6105"/>
    <w:rsid w:val="001D7D67"/>
    <w:rsid w:val="001E3421"/>
    <w:rsid w:val="001E373A"/>
    <w:rsid w:val="001E6FD0"/>
    <w:rsid w:val="001E7008"/>
    <w:rsid w:val="001F1761"/>
    <w:rsid w:val="001F2A71"/>
    <w:rsid w:val="001F519B"/>
    <w:rsid w:val="001F6B9C"/>
    <w:rsid w:val="001F7D4E"/>
    <w:rsid w:val="00202B4D"/>
    <w:rsid w:val="00207DB4"/>
    <w:rsid w:val="002125A7"/>
    <w:rsid w:val="00212D81"/>
    <w:rsid w:val="00212E69"/>
    <w:rsid w:val="00223E7E"/>
    <w:rsid w:val="00225D65"/>
    <w:rsid w:val="00225F8C"/>
    <w:rsid w:val="00226A35"/>
    <w:rsid w:val="002330EC"/>
    <w:rsid w:val="002338EB"/>
    <w:rsid w:val="002350E7"/>
    <w:rsid w:val="00236CCB"/>
    <w:rsid w:val="002418FB"/>
    <w:rsid w:val="0024204A"/>
    <w:rsid w:val="00244D02"/>
    <w:rsid w:val="002453C7"/>
    <w:rsid w:val="00250075"/>
    <w:rsid w:val="00254B14"/>
    <w:rsid w:val="00266E56"/>
    <w:rsid w:val="00267F4C"/>
    <w:rsid w:val="00271A29"/>
    <w:rsid w:val="0027616B"/>
    <w:rsid w:val="00283371"/>
    <w:rsid w:val="002862F7"/>
    <w:rsid w:val="0029365A"/>
    <w:rsid w:val="00294008"/>
    <w:rsid w:val="0029655F"/>
    <w:rsid w:val="00296C6E"/>
    <w:rsid w:val="002972D9"/>
    <w:rsid w:val="002A0E53"/>
    <w:rsid w:val="002A1987"/>
    <w:rsid w:val="002A32EF"/>
    <w:rsid w:val="002A332C"/>
    <w:rsid w:val="002B43B8"/>
    <w:rsid w:val="002B7C01"/>
    <w:rsid w:val="002C3C80"/>
    <w:rsid w:val="002C7C37"/>
    <w:rsid w:val="002D41B2"/>
    <w:rsid w:val="002D4907"/>
    <w:rsid w:val="002E0C5B"/>
    <w:rsid w:val="002F0DCD"/>
    <w:rsid w:val="002F2934"/>
    <w:rsid w:val="002F3483"/>
    <w:rsid w:val="002F49F8"/>
    <w:rsid w:val="003023D2"/>
    <w:rsid w:val="00305BF9"/>
    <w:rsid w:val="0030626F"/>
    <w:rsid w:val="0031285C"/>
    <w:rsid w:val="00314650"/>
    <w:rsid w:val="003228F7"/>
    <w:rsid w:val="003304CB"/>
    <w:rsid w:val="00337E3D"/>
    <w:rsid w:val="00343F0D"/>
    <w:rsid w:val="00344249"/>
    <w:rsid w:val="00347332"/>
    <w:rsid w:val="00347B48"/>
    <w:rsid w:val="00356394"/>
    <w:rsid w:val="00356B08"/>
    <w:rsid w:val="00365B4D"/>
    <w:rsid w:val="00371ACA"/>
    <w:rsid w:val="003722BB"/>
    <w:rsid w:val="00375FDE"/>
    <w:rsid w:val="00376978"/>
    <w:rsid w:val="003819C2"/>
    <w:rsid w:val="00384732"/>
    <w:rsid w:val="00387094"/>
    <w:rsid w:val="003876AA"/>
    <w:rsid w:val="00387CB2"/>
    <w:rsid w:val="00390C01"/>
    <w:rsid w:val="00392C48"/>
    <w:rsid w:val="00393DDE"/>
    <w:rsid w:val="003A3AE4"/>
    <w:rsid w:val="003A3C1C"/>
    <w:rsid w:val="003A4154"/>
    <w:rsid w:val="003A5D44"/>
    <w:rsid w:val="003A7F27"/>
    <w:rsid w:val="003B0112"/>
    <w:rsid w:val="003B06CE"/>
    <w:rsid w:val="003B3064"/>
    <w:rsid w:val="003B36C1"/>
    <w:rsid w:val="003B658A"/>
    <w:rsid w:val="003C4A3F"/>
    <w:rsid w:val="003C5DC3"/>
    <w:rsid w:val="003C6647"/>
    <w:rsid w:val="003C7650"/>
    <w:rsid w:val="003D1374"/>
    <w:rsid w:val="003D66DD"/>
    <w:rsid w:val="003E180C"/>
    <w:rsid w:val="003E2AED"/>
    <w:rsid w:val="003E4DCE"/>
    <w:rsid w:val="003E5844"/>
    <w:rsid w:val="003E7A2E"/>
    <w:rsid w:val="003E7C07"/>
    <w:rsid w:val="003F085B"/>
    <w:rsid w:val="003F1B8D"/>
    <w:rsid w:val="003F6AAC"/>
    <w:rsid w:val="003F6B47"/>
    <w:rsid w:val="003F7604"/>
    <w:rsid w:val="00404F09"/>
    <w:rsid w:val="00406F16"/>
    <w:rsid w:val="00407F5C"/>
    <w:rsid w:val="004108F7"/>
    <w:rsid w:val="00411429"/>
    <w:rsid w:val="00412836"/>
    <w:rsid w:val="00412F1F"/>
    <w:rsid w:val="00413588"/>
    <w:rsid w:val="00416EA4"/>
    <w:rsid w:val="004238C5"/>
    <w:rsid w:val="00423FA8"/>
    <w:rsid w:val="00426F1A"/>
    <w:rsid w:val="00427EC9"/>
    <w:rsid w:val="00431075"/>
    <w:rsid w:val="00432DA1"/>
    <w:rsid w:val="004345CB"/>
    <w:rsid w:val="0043785C"/>
    <w:rsid w:val="00437E41"/>
    <w:rsid w:val="004402D8"/>
    <w:rsid w:val="00443087"/>
    <w:rsid w:val="00443FAD"/>
    <w:rsid w:val="004457B9"/>
    <w:rsid w:val="00447676"/>
    <w:rsid w:val="004545F1"/>
    <w:rsid w:val="00461E12"/>
    <w:rsid w:val="00464D41"/>
    <w:rsid w:val="004659D6"/>
    <w:rsid w:val="00466519"/>
    <w:rsid w:val="00470EC0"/>
    <w:rsid w:val="00471A9E"/>
    <w:rsid w:val="00476953"/>
    <w:rsid w:val="00480348"/>
    <w:rsid w:val="004844EB"/>
    <w:rsid w:val="00491D81"/>
    <w:rsid w:val="004939E4"/>
    <w:rsid w:val="00496297"/>
    <w:rsid w:val="00497007"/>
    <w:rsid w:val="0049798F"/>
    <w:rsid w:val="004A4B44"/>
    <w:rsid w:val="004A4FDC"/>
    <w:rsid w:val="004A7110"/>
    <w:rsid w:val="004B0484"/>
    <w:rsid w:val="004B0BFF"/>
    <w:rsid w:val="004B32A5"/>
    <w:rsid w:val="004B338C"/>
    <w:rsid w:val="004B785E"/>
    <w:rsid w:val="004C13E3"/>
    <w:rsid w:val="004C145C"/>
    <w:rsid w:val="004D31EB"/>
    <w:rsid w:val="004D37D1"/>
    <w:rsid w:val="004D3A52"/>
    <w:rsid w:val="004D4424"/>
    <w:rsid w:val="004D5210"/>
    <w:rsid w:val="004D7AA9"/>
    <w:rsid w:val="004E02B5"/>
    <w:rsid w:val="004E1FD1"/>
    <w:rsid w:val="004E2DD7"/>
    <w:rsid w:val="004E3197"/>
    <w:rsid w:val="004E540C"/>
    <w:rsid w:val="004E7348"/>
    <w:rsid w:val="004F33F9"/>
    <w:rsid w:val="004F5DDC"/>
    <w:rsid w:val="004F7141"/>
    <w:rsid w:val="00507F3A"/>
    <w:rsid w:val="00515B7D"/>
    <w:rsid w:val="005162B2"/>
    <w:rsid w:val="00520515"/>
    <w:rsid w:val="00522E4F"/>
    <w:rsid w:val="0052520B"/>
    <w:rsid w:val="0053141C"/>
    <w:rsid w:val="00532CC1"/>
    <w:rsid w:val="005331AD"/>
    <w:rsid w:val="00537164"/>
    <w:rsid w:val="00537FCD"/>
    <w:rsid w:val="00544834"/>
    <w:rsid w:val="00545BBF"/>
    <w:rsid w:val="005470A6"/>
    <w:rsid w:val="0055497D"/>
    <w:rsid w:val="005636FF"/>
    <w:rsid w:val="0056714B"/>
    <w:rsid w:val="00567EDC"/>
    <w:rsid w:val="00570E76"/>
    <w:rsid w:val="005714B5"/>
    <w:rsid w:val="00572793"/>
    <w:rsid w:val="00587182"/>
    <w:rsid w:val="0058793A"/>
    <w:rsid w:val="00590C88"/>
    <w:rsid w:val="005925DC"/>
    <w:rsid w:val="00592E3C"/>
    <w:rsid w:val="005A0373"/>
    <w:rsid w:val="005A218A"/>
    <w:rsid w:val="005B03B0"/>
    <w:rsid w:val="005B21E0"/>
    <w:rsid w:val="005B3D6F"/>
    <w:rsid w:val="005B40AE"/>
    <w:rsid w:val="005B40CC"/>
    <w:rsid w:val="005B5749"/>
    <w:rsid w:val="005B6D86"/>
    <w:rsid w:val="005B7F1D"/>
    <w:rsid w:val="005C00E1"/>
    <w:rsid w:val="005C15F5"/>
    <w:rsid w:val="005C29AE"/>
    <w:rsid w:val="005C3EE8"/>
    <w:rsid w:val="005C3FA7"/>
    <w:rsid w:val="005C6865"/>
    <w:rsid w:val="005D00A9"/>
    <w:rsid w:val="005D0DD5"/>
    <w:rsid w:val="005D12A5"/>
    <w:rsid w:val="005D4210"/>
    <w:rsid w:val="005D59C0"/>
    <w:rsid w:val="005D60E7"/>
    <w:rsid w:val="005E25F6"/>
    <w:rsid w:val="005E3FAC"/>
    <w:rsid w:val="005E5ABE"/>
    <w:rsid w:val="005F2B6D"/>
    <w:rsid w:val="005F36B1"/>
    <w:rsid w:val="00600DB9"/>
    <w:rsid w:val="00613B71"/>
    <w:rsid w:val="006175AF"/>
    <w:rsid w:val="00623CF5"/>
    <w:rsid w:val="006246AC"/>
    <w:rsid w:val="00624DE0"/>
    <w:rsid w:val="00625DD7"/>
    <w:rsid w:val="00630CE4"/>
    <w:rsid w:val="00635CA4"/>
    <w:rsid w:val="006432DD"/>
    <w:rsid w:val="006437E6"/>
    <w:rsid w:val="006456B7"/>
    <w:rsid w:val="0065023A"/>
    <w:rsid w:val="00652838"/>
    <w:rsid w:val="00654E84"/>
    <w:rsid w:val="00661465"/>
    <w:rsid w:val="00670EB6"/>
    <w:rsid w:val="0067116D"/>
    <w:rsid w:val="006711C1"/>
    <w:rsid w:val="00675B5F"/>
    <w:rsid w:val="00675F10"/>
    <w:rsid w:val="00676AA7"/>
    <w:rsid w:val="006771B4"/>
    <w:rsid w:val="006841D0"/>
    <w:rsid w:val="006861AC"/>
    <w:rsid w:val="00694B5E"/>
    <w:rsid w:val="006A02BD"/>
    <w:rsid w:val="006A14E2"/>
    <w:rsid w:val="006A1913"/>
    <w:rsid w:val="006A6ADA"/>
    <w:rsid w:val="006B0338"/>
    <w:rsid w:val="006B293F"/>
    <w:rsid w:val="006B759B"/>
    <w:rsid w:val="006C54E7"/>
    <w:rsid w:val="006D05C2"/>
    <w:rsid w:val="006D2315"/>
    <w:rsid w:val="006D2957"/>
    <w:rsid w:val="006D6F10"/>
    <w:rsid w:val="006D7792"/>
    <w:rsid w:val="006E22C2"/>
    <w:rsid w:val="006E7402"/>
    <w:rsid w:val="006F0324"/>
    <w:rsid w:val="006F1945"/>
    <w:rsid w:val="006F287E"/>
    <w:rsid w:val="006F30AA"/>
    <w:rsid w:val="006F351D"/>
    <w:rsid w:val="006F6D6F"/>
    <w:rsid w:val="006F7A26"/>
    <w:rsid w:val="00700EA2"/>
    <w:rsid w:val="00700F27"/>
    <w:rsid w:val="00702E5F"/>
    <w:rsid w:val="00703DC1"/>
    <w:rsid w:val="00707812"/>
    <w:rsid w:val="0070787B"/>
    <w:rsid w:val="0071058F"/>
    <w:rsid w:val="00712338"/>
    <w:rsid w:val="00712ED3"/>
    <w:rsid w:val="007142A2"/>
    <w:rsid w:val="0072097C"/>
    <w:rsid w:val="00721256"/>
    <w:rsid w:val="00722CB9"/>
    <w:rsid w:val="00723CEF"/>
    <w:rsid w:val="00725B24"/>
    <w:rsid w:val="00726BBB"/>
    <w:rsid w:val="00727BB9"/>
    <w:rsid w:val="007335DD"/>
    <w:rsid w:val="00734474"/>
    <w:rsid w:val="0073487D"/>
    <w:rsid w:val="00734B4D"/>
    <w:rsid w:val="00734B5F"/>
    <w:rsid w:val="00743A93"/>
    <w:rsid w:val="00743AAB"/>
    <w:rsid w:val="00745D7E"/>
    <w:rsid w:val="007468A9"/>
    <w:rsid w:val="00747326"/>
    <w:rsid w:val="00751336"/>
    <w:rsid w:val="0075276B"/>
    <w:rsid w:val="007556E9"/>
    <w:rsid w:val="00761E13"/>
    <w:rsid w:val="007626ED"/>
    <w:rsid w:val="0076407C"/>
    <w:rsid w:val="00764B04"/>
    <w:rsid w:val="00770791"/>
    <w:rsid w:val="007721E2"/>
    <w:rsid w:val="007761B5"/>
    <w:rsid w:val="00776C34"/>
    <w:rsid w:val="00776C89"/>
    <w:rsid w:val="007810BA"/>
    <w:rsid w:val="0078342D"/>
    <w:rsid w:val="0078376A"/>
    <w:rsid w:val="007855B4"/>
    <w:rsid w:val="00790089"/>
    <w:rsid w:val="007904DA"/>
    <w:rsid w:val="0079103B"/>
    <w:rsid w:val="00796718"/>
    <w:rsid w:val="007B0390"/>
    <w:rsid w:val="007B7769"/>
    <w:rsid w:val="007C3A6C"/>
    <w:rsid w:val="007C506C"/>
    <w:rsid w:val="007C7C82"/>
    <w:rsid w:val="007D45AF"/>
    <w:rsid w:val="007D5361"/>
    <w:rsid w:val="007D6381"/>
    <w:rsid w:val="007D78E5"/>
    <w:rsid w:val="007E0838"/>
    <w:rsid w:val="007E7158"/>
    <w:rsid w:val="007F195E"/>
    <w:rsid w:val="007F1B5D"/>
    <w:rsid w:val="007F37FA"/>
    <w:rsid w:val="00804A88"/>
    <w:rsid w:val="00807558"/>
    <w:rsid w:val="008109EE"/>
    <w:rsid w:val="00812859"/>
    <w:rsid w:val="008133DB"/>
    <w:rsid w:val="0081706D"/>
    <w:rsid w:val="008179FD"/>
    <w:rsid w:val="00820289"/>
    <w:rsid w:val="008225B5"/>
    <w:rsid w:val="00822B59"/>
    <w:rsid w:val="008246FB"/>
    <w:rsid w:val="00826341"/>
    <w:rsid w:val="00827A0D"/>
    <w:rsid w:val="00827ABA"/>
    <w:rsid w:val="0083499B"/>
    <w:rsid w:val="00836C74"/>
    <w:rsid w:val="008431A2"/>
    <w:rsid w:val="00843F0F"/>
    <w:rsid w:val="00844E7D"/>
    <w:rsid w:val="00845E85"/>
    <w:rsid w:val="00853662"/>
    <w:rsid w:val="00855668"/>
    <w:rsid w:val="008557AE"/>
    <w:rsid w:val="00861A59"/>
    <w:rsid w:val="00861E72"/>
    <w:rsid w:val="00865C99"/>
    <w:rsid w:val="008672D4"/>
    <w:rsid w:val="00871F0C"/>
    <w:rsid w:val="00872B40"/>
    <w:rsid w:val="00873732"/>
    <w:rsid w:val="0087434F"/>
    <w:rsid w:val="008776E7"/>
    <w:rsid w:val="00883545"/>
    <w:rsid w:val="00890C52"/>
    <w:rsid w:val="00892D47"/>
    <w:rsid w:val="00895CE9"/>
    <w:rsid w:val="00896D0A"/>
    <w:rsid w:val="00897DF4"/>
    <w:rsid w:val="008A02EF"/>
    <w:rsid w:val="008A15CA"/>
    <w:rsid w:val="008A264F"/>
    <w:rsid w:val="008A2A5D"/>
    <w:rsid w:val="008A2B54"/>
    <w:rsid w:val="008B0AD5"/>
    <w:rsid w:val="008B2E28"/>
    <w:rsid w:val="008B4C7B"/>
    <w:rsid w:val="008B58E5"/>
    <w:rsid w:val="008B5B5D"/>
    <w:rsid w:val="008C05C0"/>
    <w:rsid w:val="008C3AEC"/>
    <w:rsid w:val="008C3BB5"/>
    <w:rsid w:val="008D09ED"/>
    <w:rsid w:val="008D15DC"/>
    <w:rsid w:val="008E1B98"/>
    <w:rsid w:val="008E23ED"/>
    <w:rsid w:val="008E4228"/>
    <w:rsid w:val="008E63E8"/>
    <w:rsid w:val="008F0253"/>
    <w:rsid w:val="008F2151"/>
    <w:rsid w:val="008F378D"/>
    <w:rsid w:val="00902D0E"/>
    <w:rsid w:val="00904476"/>
    <w:rsid w:val="009056FF"/>
    <w:rsid w:val="00916178"/>
    <w:rsid w:val="00916401"/>
    <w:rsid w:val="009171E5"/>
    <w:rsid w:val="009202EA"/>
    <w:rsid w:val="009214CA"/>
    <w:rsid w:val="0092313F"/>
    <w:rsid w:val="009301E2"/>
    <w:rsid w:val="00934D6D"/>
    <w:rsid w:val="009377A5"/>
    <w:rsid w:val="00942F76"/>
    <w:rsid w:val="00943A18"/>
    <w:rsid w:val="009518A3"/>
    <w:rsid w:val="00953CA5"/>
    <w:rsid w:val="00955727"/>
    <w:rsid w:val="00955CD2"/>
    <w:rsid w:val="009609E3"/>
    <w:rsid w:val="00964D7F"/>
    <w:rsid w:val="0096541E"/>
    <w:rsid w:val="00965E92"/>
    <w:rsid w:val="00967D2E"/>
    <w:rsid w:val="00975190"/>
    <w:rsid w:val="009772A8"/>
    <w:rsid w:val="0098094D"/>
    <w:rsid w:val="0098099E"/>
    <w:rsid w:val="00981284"/>
    <w:rsid w:val="009814A0"/>
    <w:rsid w:val="00985AB7"/>
    <w:rsid w:val="00986A60"/>
    <w:rsid w:val="00990953"/>
    <w:rsid w:val="00991186"/>
    <w:rsid w:val="00991822"/>
    <w:rsid w:val="0099193E"/>
    <w:rsid w:val="00997681"/>
    <w:rsid w:val="009A089F"/>
    <w:rsid w:val="009A0B04"/>
    <w:rsid w:val="009A0F7E"/>
    <w:rsid w:val="009A5667"/>
    <w:rsid w:val="009A6896"/>
    <w:rsid w:val="009A6DE4"/>
    <w:rsid w:val="009B18B7"/>
    <w:rsid w:val="009B4716"/>
    <w:rsid w:val="009B5AA6"/>
    <w:rsid w:val="009C0326"/>
    <w:rsid w:val="009C0DDF"/>
    <w:rsid w:val="009C4B54"/>
    <w:rsid w:val="009C6C0A"/>
    <w:rsid w:val="009D092E"/>
    <w:rsid w:val="009D174E"/>
    <w:rsid w:val="009D29D9"/>
    <w:rsid w:val="009D356E"/>
    <w:rsid w:val="009E0779"/>
    <w:rsid w:val="009E1988"/>
    <w:rsid w:val="009E4BCE"/>
    <w:rsid w:val="009E4BF3"/>
    <w:rsid w:val="009E542D"/>
    <w:rsid w:val="009E7916"/>
    <w:rsid w:val="009F1992"/>
    <w:rsid w:val="009F3F6B"/>
    <w:rsid w:val="009F4D5E"/>
    <w:rsid w:val="009F61E8"/>
    <w:rsid w:val="009F7BCF"/>
    <w:rsid w:val="009F7F45"/>
    <w:rsid w:val="00A0082F"/>
    <w:rsid w:val="00A06605"/>
    <w:rsid w:val="00A0794C"/>
    <w:rsid w:val="00A247BF"/>
    <w:rsid w:val="00A27B9C"/>
    <w:rsid w:val="00A301DC"/>
    <w:rsid w:val="00A32767"/>
    <w:rsid w:val="00A37C80"/>
    <w:rsid w:val="00A41079"/>
    <w:rsid w:val="00A55B1D"/>
    <w:rsid w:val="00A57F01"/>
    <w:rsid w:val="00A61799"/>
    <w:rsid w:val="00A6187F"/>
    <w:rsid w:val="00A62012"/>
    <w:rsid w:val="00A626C9"/>
    <w:rsid w:val="00A632C3"/>
    <w:rsid w:val="00A70491"/>
    <w:rsid w:val="00A711DD"/>
    <w:rsid w:val="00A731AA"/>
    <w:rsid w:val="00A75F2B"/>
    <w:rsid w:val="00A80401"/>
    <w:rsid w:val="00A81106"/>
    <w:rsid w:val="00A82718"/>
    <w:rsid w:val="00A838B8"/>
    <w:rsid w:val="00A9073F"/>
    <w:rsid w:val="00A9563C"/>
    <w:rsid w:val="00A962E0"/>
    <w:rsid w:val="00A96C5B"/>
    <w:rsid w:val="00A9757F"/>
    <w:rsid w:val="00AA2DF4"/>
    <w:rsid w:val="00AA4489"/>
    <w:rsid w:val="00AA625A"/>
    <w:rsid w:val="00AB0361"/>
    <w:rsid w:val="00AB1A3C"/>
    <w:rsid w:val="00AB3A34"/>
    <w:rsid w:val="00AB443B"/>
    <w:rsid w:val="00AB529C"/>
    <w:rsid w:val="00AB595E"/>
    <w:rsid w:val="00AC034B"/>
    <w:rsid w:val="00AC09BE"/>
    <w:rsid w:val="00AC3693"/>
    <w:rsid w:val="00AC4AD7"/>
    <w:rsid w:val="00AC4C6A"/>
    <w:rsid w:val="00AC5CAF"/>
    <w:rsid w:val="00AD0048"/>
    <w:rsid w:val="00AD09B8"/>
    <w:rsid w:val="00AD1E7E"/>
    <w:rsid w:val="00AD2A3B"/>
    <w:rsid w:val="00AD54AA"/>
    <w:rsid w:val="00AD57EA"/>
    <w:rsid w:val="00AF06F0"/>
    <w:rsid w:val="00AF4262"/>
    <w:rsid w:val="00B024BD"/>
    <w:rsid w:val="00B029FB"/>
    <w:rsid w:val="00B0370F"/>
    <w:rsid w:val="00B104ED"/>
    <w:rsid w:val="00B11B72"/>
    <w:rsid w:val="00B14E25"/>
    <w:rsid w:val="00B25551"/>
    <w:rsid w:val="00B25C2C"/>
    <w:rsid w:val="00B25C9E"/>
    <w:rsid w:val="00B265DD"/>
    <w:rsid w:val="00B30576"/>
    <w:rsid w:val="00B3080A"/>
    <w:rsid w:val="00B36F90"/>
    <w:rsid w:val="00B37465"/>
    <w:rsid w:val="00B378A6"/>
    <w:rsid w:val="00B450B9"/>
    <w:rsid w:val="00B458D0"/>
    <w:rsid w:val="00B50768"/>
    <w:rsid w:val="00B5545F"/>
    <w:rsid w:val="00B57402"/>
    <w:rsid w:val="00B5748F"/>
    <w:rsid w:val="00B608FA"/>
    <w:rsid w:val="00B609D7"/>
    <w:rsid w:val="00B620DE"/>
    <w:rsid w:val="00B65F62"/>
    <w:rsid w:val="00B77FBE"/>
    <w:rsid w:val="00B8066A"/>
    <w:rsid w:val="00B809A1"/>
    <w:rsid w:val="00B80A7D"/>
    <w:rsid w:val="00B81A42"/>
    <w:rsid w:val="00B82250"/>
    <w:rsid w:val="00B82E52"/>
    <w:rsid w:val="00B9322F"/>
    <w:rsid w:val="00B93242"/>
    <w:rsid w:val="00B95BCB"/>
    <w:rsid w:val="00BA038D"/>
    <w:rsid w:val="00BA0B28"/>
    <w:rsid w:val="00BA1FD3"/>
    <w:rsid w:val="00BA3DB8"/>
    <w:rsid w:val="00BB1B5A"/>
    <w:rsid w:val="00BB5271"/>
    <w:rsid w:val="00BB6139"/>
    <w:rsid w:val="00BB63E4"/>
    <w:rsid w:val="00BB6779"/>
    <w:rsid w:val="00BC2CAC"/>
    <w:rsid w:val="00BC38B1"/>
    <w:rsid w:val="00BC6574"/>
    <w:rsid w:val="00BD4018"/>
    <w:rsid w:val="00BD4A10"/>
    <w:rsid w:val="00BD5395"/>
    <w:rsid w:val="00BD5B17"/>
    <w:rsid w:val="00BD5F70"/>
    <w:rsid w:val="00BD7289"/>
    <w:rsid w:val="00BE0450"/>
    <w:rsid w:val="00BE3073"/>
    <w:rsid w:val="00BE5906"/>
    <w:rsid w:val="00BE6778"/>
    <w:rsid w:val="00BF06BA"/>
    <w:rsid w:val="00BF73C0"/>
    <w:rsid w:val="00C0273A"/>
    <w:rsid w:val="00C02B95"/>
    <w:rsid w:val="00C06D12"/>
    <w:rsid w:val="00C1091F"/>
    <w:rsid w:val="00C1246A"/>
    <w:rsid w:val="00C1265E"/>
    <w:rsid w:val="00C13DA7"/>
    <w:rsid w:val="00C14D0B"/>
    <w:rsid w:val="00C16A3B"/>
    <w:rsid w:val="00C16C17"/>
    <w:rsid w:val="00C223AA"/>
    <w:rsid w:val="00C23093"/>
    <w:rsid w:val="00C35420"/>
    <w:rsid w:val="00C4110E"/>
    <w:rsid w:val="00C4193A"/>
    <w:rsid w:val="00C4337F"/>
    <w:rsid w:val="00C44F57"/>
    <w:rsid w:val="00C517B3"/>
    <w:rsid w:val="00C5208A"/>
    <w:rsid w:val="00C52459"/>
    <w:rsid w:val="00C56CD3"/>
    <w:rsid w:val="00C62E75"/>
    <w:rsid w:val="00C639D5"/>
    <w:rsid w:val="00C708C5"/>
    <w:rsid w:val="00C727F6"/>
    <w:rsid w:val="00C7520C"/>
    <w:rsid w:val="00C75DBF"/>
    <w:rsid w:val="00C76CFD"/>
    <w:rsid w:val="00C8138F"/>
    <w:rsid w:val="00C817D9"/>
    <w:rsid w:val="00C83756"/>
    <w:rsid w:val="00C85F27"/>
    <w:rsid w:val="00C86688"/>
    <w:rsid w:val="00C86C88"/>
    <w:rsid w:val="00C86F60"/>
    <w:rsid w:val="00C921F9"/>
    <w:rsid w:val="00C94CD1"/>
    <w:rsid w:val="00C956FD"/>
    <w:rsid w:val="00CA0860"/>
    <w:rsid w:val="00CA161C"/>
    <w:rsid w:val="00CA1C52"/>
    <w:rsid w:val="00CA2B51"/>
    <w:rsid w:val="00CA35CD"/>
    <w:rsid w:val="00CA3FA6"/>
    <w:rsid w:val="00CA5D3A"/>
    <w:rsid w:val="00CA64B8"/>
    <w:rsid w:val="00CB2145"/>
    <w:rsid w:val="00CB46B3"/>
    <w:rsid w:val="00CB7706"/>
    <w:rsid w:val="00CC18AA"/>
    <w:rsid w:val="00CC24A4"/>
    <w:rsid w:val="00CC562D"/>
    <w:rsid w:val="00CC5A8F"/>
    <w:rsid w:val="00CC6403"/>
    <w:rsid w:val="00CC76A0"/>
    <w:rsid w:val="00CD53B0"/>
    <w:rsid w:val="00CD5466"/>
    <w:rsid w:val="00CD60D8"/>
    <w:rsid w:val="00CD7A33"/>
    <w:rsid w:val="00CE070F"/>
    <w:rsid w:val="00CE1615"/>
    <w:rsid w:val="00CE1ACE"/>
    <w:rsid w:val="00CE5159"/>
    <w:rsid w:val="00CE77A8"/>
    <w:rsid w:val="00CE79E2"/>
    <w:rsid w:val="00CF01C2"/>
    <w:rsid w:val="00CF1E33"/>
    <w:rsid w:val="00CF1E55"/>
    <w:rsid w:val="00CF37B3"/>
    <w:rsid w:val="00CF3C40"/>
    <w:rsid w:val="00CF75D3"/>
    <w:rsid w:val="00D00FE4"/>
    <w:rsid w:val="00D03C41"/>
    <w:rsid w:val="00D03FE4"/>
    <w:rsid w:val="00D05ED3"/>
    <w:rsid w:val="00D10AEC"/>
    <w:rsid w:val="00D11268"/>
    <w:rsid w:val="00D12C56"/>
    <w:rsid w:val="00D13178"/>
    <w:rsid w:val="00D14527"/>
    <w:rsid w:val="00D1454A"/>
    <w:rsid w:val="00D16AC0"/>
    <w:rsid w:val="00D23311"/>
    <w:rsid w:val="00D2635E"/>
    <w:rsid w:val="00D26CD2"/>
    <w:rsid w:val="00D30013"/>
    <w:rsid w:val="00D3010D"/>
    <w:rsid w:val="00D30B78"/>
    <w:rsid w:val="00D33BBA"/>
    <w:rsid w:val="00D34198"/>
    <w:rsid w:val="00D347F8"/>
    <w:rsid w:val="00D357C6"/>
    <w:rsid w:val="00D35FB7"/>
    <w:rsid w:val="00D36FAC"/>
    <w:rsid w:val="00D408A0"/>
    <w:rsid w:val="00D426B6"/>
    <w:rsid w:val="00D427E6"/>
    <w:rsid w:val="00D44126"/>
    <w:rsid w:val="00D522E4"/>
    <w:rsid w:val="00D534B5"/>
    <w:rsid w:val="00D53DF0"/>
    <w:rsid w:val="00D54DD9"/>
    <w:rsid w:val="00D56746"/>
    <w:rsid w:val="00D57E3B"/>
    <w:rsid w:val="00D62ED3"/>
    <w:rsid w:val="00D63AC1"/>
    <w:rsid w:val="00D651B0"/>
    <w:rsid w:val="00D73252"/>
    <w:rsid w:val="00D7632A"/>
    <w:rsid w:val="00D76FF9"/>
    <w:rsid w:val="00D8134A"/>
    <w:rsid w:val="00D8174D"/>
    <w:rsid w:val="00D850E3"/>
    <w:rsid w:val="00D909B2"/>
    <w:rsid w:val="00D93754"/>
    <w:rsid w:val="00DA2525"/>
    <w:rsid w:val="00DA3DDB"/>
    <w:rsid w:val="00DA4B03"/>
    <w:rsid w:val="00DB0439"/>
    <w:rsid w:val="00DB4071"/>
    <w:rsid w:val="00DC00E5"/>
    <w:rsid w:val="00DC4772"/>
    <w:rsid w:val="00DC5B94"/>
    <w:rsid w:val="00DD2259"/>
    <w:rsid w:val="00DD2D0F"/>
    <w:rsid w:val="00DD5201"/>
    <w:rsid w:val="00DD5333"/>
    <w:rsid w:val="00DD76AF"/>
    <w:rsid w:val="00DE52D4"/>
    <w:rsid w:val="00E0210A"/>
    <w:rsid w:val="00E04E1C"/>
    <w:rsid w:val="00E05072"/>
    <w:rsid w:val="00E12BF7"/>
    <w:rsid w:val="00E14BBD"/>
    <w:rsid w:val="00E163CF"/>
    <w:rsid w:val="00E16557"/>
    <w:rsid w:val="00E20A5B"/>
    <w:rsid w:val="00E23ED0"/>
    <w:rsid w:val="00E26191"/>
    <w:rsid w:val="00E329A3"/>
    <w:rsid w:val="00E438CA"/>
    <w:rsid w:val="00E44354"/>
    <w:rsid w:val="00E5036F"/>
    <w:rsid w:val="00E51B88"/>
    <w:rsid w:val="00E57696"/>
    <w:rsid w:val="00E66488"/>
    <w:rsid w:val="00E714BF"/>
    <w:rsid w:val="00E71E48"/>
    <w:rsid w:val="00E721EC"/>
    <w:rsid w:val="00E72C07"/>
    <w:rsid w:val="00E74302"/>
    <w:rsid w:val="00E7638D"/>
    <w:rsid w:val="00E77F5E"/>
    <w:rsid w:val="00E82901"/>
    <w:rsid w:val="00E83529"/>
    <w:rsid w:val="00E90030"/>
    <w:rsid w:val="00E903D5"/>
    <w:rsid w:val="00E90591"/>
    <w:rsid w:val="00E91C6E"/>
    <w:rsid w:val="00E91E79"/>
    <w:rsid w:val="00E9501D"/>
    <w:rsid w:val="00E97297"/>
    <w:rsid w:val="00EA0DCC"/>
    <w:rsid w:val="00EA1866"/>
    <w:rsid w:val="00EA1B89"/>
    <w:rsid w:val="00EA7C12"/>
    <w:rsid w:val="00EA7ED3"/>
    <w:rsid w:val="00EB2702"/>
    <w:rsid w:val="00EB635F"/>
    <w:rsid w:val="00EB6823"/>
    <w:rsid w:val="00EC27FB"/>
    <w:rsid w:val="00EC2D8A"/>
    <w:rsid w:val="00ED107F"/>
    <w:rsid w:val="00EE2225"/>
    <w:rsid w:val="00EE3238"/>
    <w:rsid w:val="00EE5995"/>
    <w:rsid w:val="00EE6475"/>
    <w:rsid w:val="00EF335B"/>
    <w:rsid w:val="00F03FE8"/>
    <w:rsid w:val="00F0443D"/>
    <w:rsid w:val="00F04ED3"/>
    <w:rsid w:val="00F14C9D"/>
    <w:rsid w:val="00F16A22"/>
    <w:rsid w:val="00F16E3D"/>
    <w:rsid w:val="00F1734D"/>
    <w:rsid w:val="00F207A3"/>
    <w:rsid w:val="00F220E9"/>
    <w:rsid w:val="00F23674"/>
    <w:rsid w:val="00F24694"/>
    <w:rsid w:val="00F250C3"/>
    <w:rsid w:val="00F25C34"/>
    <w:rsid w:val="00F25EC2"/>
    <w:rsid w:val="00F312F4"/>
    <w:rsid w:val="00F344A6"/>
    <w:rsid w:val="00F34849"/>
    <w:rsid w:val="00F351DE"/>
    <w:rsid w:val="00F362EC"/>
    <w:rsid w:val="00F45A48"/>
    <w:rsid w:val="00F45D39"/>
    <w:rsid w:val="00F46CCB"/>
    <w:rsid w:val="00F520AE"/>
    <w:rsid w:val="00F53A60"/>
    <w:rsid w:val="00F566E0"/>
    <w:rsid w:val="00F573EF"/>
    <w:rsid w:val="00F6142B"/>
    <w:rsid w:val="00F64538"/>
    <w:rsid w:val="00F6706E"/>
    <w:rsid w:val="00F67357"/>
    <w:rsid w:val="00F7046A"/>
    <w:rsid w:val="00F7084F"/>
    <w:rsid w:val="00F70C1B"/>
    <w:rsid w:val="00F72E5B"/>
    <w:rsid w:val="00F7358F"/>
    <w:rsid w:val="00F750A0"/>
    <w:rsid w:val="00F776CD"/>
    <w:rsid w:val="00F81C0E"/>
    <w:rsid w:val="00F8236F"/>
    <w:rsid w:val="00F824A5"/>
    <w:rsid w:val="00F83E3E"/>
    <w:rsid w:val="00F84032"/>
    <w:rsid w:val="00F85D5F"/>
    <w:rsid w:val="00F90377"/>
    <w:rsid w:val="00F91E04"/>
    <w:rsid w:val="00F9417A"/>
    <w:rsid w:val="00FA227C"/>
    <w:rsid w:val="00FA2AC6"/>
    <w:rsid w:val="00FA2E15"/>
    <w:rsid w:val="00FA3A72"/>
    <w:rsid w:val="00FA4124"/>
    <w:rsid w:val="00FA681E"/>
    <w:rsid w:val="00FB0A86"/>
    <w:rsid w:val="00FB177F"/>
    <w:rsid w:val="00FB30C1"/>
    <w:rsid w:val="00FB5627"/>
    <w:rsid w:val="00FB5AEC"/>
    <w:rsid w:val="00FC561A"/>
    <w:rsid w:val="00FC73DC"/>
    <w:rsid w:val="00FC7540"/>
    <w:rsid w:val="00FD55AB"/>
    <w:rsid w:val="00FF0AA3"/>
    <w:rsid w:val="02801C6F"/>
    <w:rsid w:val="0B0245F9"/>
    <w:rsid w:val="1F2F3097"/>
    <w:rsid w:val="5F0B6D86"/>
    <w:rsid w:val="6801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3"/>
    <w:next w:val="1"/>
    <w:link w:val="22"/>
    <w:autoRedefine/>
    <w:qFormat/>
    <w:uiPriority w:val="9"/>
    <w:pPr>
      <w:keepNext/>
      <w:keepLines/>
      <w:spacing w:before="340" w:after="330" w:line="579" w:lineRule="auto"/>
      <w:ind w:firstLine="600"/>
    </w:pPr>
    <w:rPr>
      <w:rFonts w:ascii="方正小标宋简体" w:hAnsi="宋体" w:eastAsia="黑体" w:cs="Times New Roman"/>
      <w:spacing w:val="-22"/>
      <w:kern w:val="44"/>
      <w:sz w:val="36"/>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Cs w:val="32"/>
    </w:rPr>
  </w:style>
  <w:style w:type="paragraph" w:styleId="6">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26"/>
    <w:autoRedefine/>
    <w:semiHidden/>
    <w:unhideWhenUsed/>
    <w:qFormat/>
    <w:uiPriority w:val="9"/>
    <w:pPr>
      <w:keepNext/>
      <w:keepLines/>
      <w:spacing w:before="280" w:after="290" w:line="376" w:lineRule="auto"/>
      <w:outlineLvl w:val="4"/>
    </w:pPr>
    <w:rPr>
      <w:b/>
      <w:bCs/>
      <w:szCs w:val="28"/>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23"/>
    <w:autoRedefine/>
    <w:qFormat/>
    <w:uiPriority w:val="10"/>
    <w:pPr>
      <w:spacing w:before="240" w:after="60"/>
      <w:jc w:val="center"/>
      <w:outlineLvl w:val="0"/>
    </w:pPr>
    <w:rPr>
      <w:rFonts w:asciiTheme="majorHAnsi" w:hAnsiTheme="majorHAnsi" w:cstheme="majorBidi"/>
      <w:b/>
      <w:bCs/>
      <w:sz w:val="32"/>
      <w:szCs w:val="32"/>
    </w:rPr>
  </w:style>
  <w:style w:type="paragraph" w:styleId="8">
    <w:name w:val="toc 3"/>
    <w:basedOn w:val="1"/>
    <w:next w:val="1"/>
    <w:autoRedefine/>
    <w:unhideWhenUsed/>
    <w:qFormat/>
    <w:uiPriority w:val="39"/>
    <w:pPr>
      <w:ind w:left="840" w:leftChars="400"/>
    </w:pPr>
  </w:style>
  <w:style w:type="paragraph" w:styleId="9">
    <w:name w:val="Plain Text"/>
    <w:basedOn w:val="1"/>
    <w:link w:val="28"/>
    <w:qFormat/>
    <w:uiPriority w:val="99"/>
    <w:pPr>
      <w:ind w:firstLine="0" w:firstLineChars="0"/>
      <w:jc w:val="left"/>
    </w:pPr>
    <w:rPr>
      <w:rFonts w:ascii="宋体" w:hAnsi="宋体" w:cs="Courier New" w:eastAsiaTheme="minorEastAsia"/>
      <w:sz w:val="22"/>
      <w:szCs w:val="21"/>
    </w:rPr>
  </w:style>
  <w:style w:type="paragraph" w:styleId="10">
    <w:name w:val="Date"/>
    <w:basedOn w:val="1"/>
    <w:next w:val="1"/>
    <w:link w:val="21"/>
    <w:autoRedefine/>
    <w:semiHidden/>
    <w:unhideWhenUsed/>
    <w:qFormat/>
    <w:uiPriority w:val="99"/>
    <w:pPr>
      <w:ind w:left="100" w:leftChars="2500"/>
    </w:pPr>
  </w:style>
  <w:style w:type="paragraph" w:styleId="11">
    <w:name w:val="Balloon Text"/>
    <w:basedOn w:val="1"/>
    <w:link w:val="44"/>
    <w:autoRedefine/>
    <w:semiHidden/>
    <w:unhideWhenUsed/>
    <w:qFormat/>
    <w:uiPriority w:val="99"/>
    <w:rPr>
      <w:sz w:val="18"/>
      <w:szCs w:val="18"/>
    </w:rPr>
  </w:style>
  <w:style w:type="paragraph" w:styleId="12">
    <w:name w:val="footer"/>
    <w:basedOn w:val="1"/>
    <w:link w:val="51"/>
    <w:autoRedefine/>
    <w:unhideWhenUsed/>
    <w:qFormat/>
    <w:uiPriority w:val="99"/>
    <w:pPr>
      <w:tabs>
        <w:tab w:val="center" w:pos="4153"/>
        <w:tab w:val="right" w:pos="8306"/>
      </w:tabs>
      <w:snapToGrid w:val="0"/>
      <w:jc w:val="left"/>
    </w:pPr>
    <w:rPr>
      <w:sz w:val="18"/>
      <w:szCs w:val="18"/>
    </w:rPr>
  </w:style>
  <w:style w:type="paragraph" w:styleId="13">
    <w:name w:val="header"/>
    <w:basedOn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eastAsia="黑体"/>
      <w:b/>
    </w:rPr>
  </w:style>
  <w:style w:type="paragraph" w:styleId="15">
    <w:name w:val="toc 2"/>
    <w:basedOn w:val="1"/>
    <w:next w:val="1"/>
    <w:autoRedefine/>
    <w:unhideWhenUsed/>
    <w:qFormat/>
    <w:uiPriority w:val="39"/>
    <w:pPr>
      <w:ind w:left="420" w:leftChars="200"/>
    </w:pPr>
    <w:rPr>
      <w:rFonts w:eastAsia="楷体"/>
    </w:rPr>
  </w:style>
  <w:style w:type="paragraph" w:styleId="16">
    <w:name w:val="toc 9"/>
    <w:basedOn w:val="1"/>
    <w:next w:val="1"/>
    <w:semiHidden/>
    <w:unhideWhenUsed/>
    <w:qFormat/>
    <w:uiPriority w:val="39"/>
    <w:pPr>
      <w:ind w:left="3360" w:leftChars="1600"/>
    </w:pPr>
  </w:style>
  <w:style w:type="paragraph" w:styleId="17">
    <w:name w:val="Normal (Web)"/>
    <w:basedOn w:val="1"/>
    <w:link w:val="52"/>
    <w:autoRedefine/>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styleId="20">
    <w:name w:val="Hyperlink"/>
    <w:basedOn w:val="19"/>
    <w:autoRedefine/>
    <w:unhideWhenUsed/>
    <w:qFormat/>
    <w:uiPriority w:val="99"/>
    <w:rPr>
      <w:color w:val="0000FF" w:themeColor="hyperlink"/>
      <w:u w:val="single"/>
      <w14:textFill>
        <w14:solidFill>
          <w14:schemeClr w14:val="hlink"/>
        </w14:solidFill>
      </w14:textFill>
    </w:rPr>
  </w:style>
  <w:style w:type="character" w:customStyle="1" w:styleId="21">
    <w:name w:val="日期 Char"/>
    <w:basedOn w:val="19"/>
    <w:link w:val="10"/>
    <w:autoRedefine/>
    <w:semiHidden/>
    <w:qFormat/>
    <w:uiPriority w:val="99"/>
    <w:rPr>
      <w:rFonts w:ascii="Times New Roman" w:hAnsi="Times New Roman" w:eastAsia="宋体" w:cs="Times New Roman"/>
      <w:sz w:val="28"/>
    </w:rPr>
  </w:style>
  <w:style w:type="character" w:customStyle="1" w:styleId="22">
    <w:name w:val="标题 1 Char"/>
    <w:basedOn w:val="19"/>
    <w:link w:val="2"/>
    <w:autoRedefine/>
    <w:qFormat/>
    <w:uiPriority w:val="9"/>
    <w:rPr>
      <w:rFonts w:ascii="方正小标宋简体" w:hAnsi="宋体" w:eastAsia="黑体" w:cs="Times New Roman"/>
      <w:b/>
      <w:bCs/>
      <w:spacing w:val="-22"/>
      <w:kern w:val="44"/>
      <w:sz w:val="36"/>
      <w:szCs w:val="44"/>
    </w:rPr>
  </w:style>
  <w:style w:type="character" w:customStyle="1" w:styleId="23">
    <w:name w:val="标题 Char"/>
    <w:basedOn w:val="19"/>
    <w:link w:val="3"/>
    <w:qFormat/>
    <w:uiPriority w:val="10"/>
    <w:rPr>
      <w:rFonts w:eastAsia="宋体" w:asciiTheme="majorHAnsi" w:hAnsiTheme="majorHAnsi" w:cstheme="majorBidi"/>
      <w:b/>
      <w:bCs/>
      <w:sz w:val="32"/>
      <w:szCs w:val="32"/>
    </w:rPr>
  </w:style>
  <w:style w:type="character" w:customStyle="1" w:styleId="24">
    <w:name w:val="标题 2 Char"/>
    <w:basedOn w:val="19"/>
    <w:link w:val="4"/>
    <w:qFormat/>
    <w:uiPriority w:val="9"/>
    <w:rPr>
      <w:rFonts w:asciiTheme="majorHAnsi" w:hAnsiTheme="majorHAnsi" w:eastAsiaTheme="majorEastAsia" w:cstheme="majorBidi"/>
      <w:b/>
      <w:bCs/>
      <w:sz w:val="32"/>
      <w:szCs w:val="32"/>
    </w:rPr>
  </w:style>
  <w:style w:type="character" w:customStyle="1" w:styleId="25">
    <w:name w:val="标题 3 Char"/>
    <w:basedOn w:val="19"/>
    <w:link w:val="5"/>
    <w:qFormat/>
    <w:uiPriority w:val="9"/>
    <w:rPr>
      <w:rFonts w:ascii="Times New Roman" w:hAnsi="Times New Roman" w:eastAsia="宋体" w:cs="Times New Roman"/>
      <w:b/>
      <w:bCs/>
      <w:sz w:val="28"/>
      <w:szCs w:val="32"/>
    </w:rPr>
  </w:style>
  <w:style w:type="character" w:customStyle="1" w:styleId="26">
    <w:name w:val="标题 5 Char"/>
    <w:basedOn w:val="19"/>
    <w:link w:val="7"/>
    <w:semiHidden/>
    <w:qFormat/>
    <w:uiPriority w:val="9"/>
    <w:rPr>
      <w:rFonts w:ascii="Times New Roman" w:hAnsi="Times New Roman" w:eastAsia="宋体" w:cs="Times New Roman"/>
      <w:b/>
      <w:bCs/>
      <w:sz w:val="28"/>
      <w:szCs w:val="28"/>
    </w:rPr>
  </w:style>
  <w:style w:type="paragraph" w:styleId="27">
    <w:name w:val="List Paragraph"/>
    <w:basedOn w:val="1"/>
    <w:link w:val="42"/>
    <w:qFormat/>
    <w:uiPriority w:val="34"/>
    <w:pPr>
      <w:ind w:firstLine="420"/>
    </w:pPr>
  </w:style>
  <w:style w:type="character" w:customStyle="1" w:styleId="28">
    <w:name w:val="纯文本 Char"/>
    <w:link w:val="9"/>
    <w:autoRedefine/>
    <w:qFormat/>
    <w:uiPriority w:val="0"/>
    <w:rPr>
      <w:rFonts w:ascii="宋体" w:hAnsi="宋体" w:cs="Courier New"/>
      <w:sz w:val="22"/>
      <w:szCs w:val="21"/>
    </w:rPr>
  </w:style>
  <w:style w:type="character" w:customStyle="1" w:styleId="29">
    <w:name w:val="纯文本 Char1"/>
    <w:basedOn w:val="19"/>
    <w:autoRedefine/>
    <w:qFormat/>
    <w:uiPriority w:val="99"/>
    <w:rPr>
      <w:rFonts w:ascii="宋体" w:hAnsi="Courier New" w:eastAsia="宋体" w:cs="Courier New"/>
      <w:szCs w:val="21"/>
    </w:rPr>
  </w:style>
  <w:style w:type="paragraph" w:customStyle="1" w:styleId="30">
    <w:name w:val="正文new"/>
    <w:basedOn w:val="1"/>
    <w:autoRedefine/>
    <w:qFormat/>
    <w:uiPriority w:val="0"/>
    <w:pPr>
      <w:spacing w:line="360" w:lineRule="auto"/>
      <w:ind w:firstLine="560"/>
    </w:pPr>
  </w:style>
  <w:style w:type="paragraph" w:customStyle="1" w:styleId="31">
    <w:name w:val="Default"/>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 w:type="paragraph" w:customStyle="1" w:styleId="32">
    <w:name w:val="标题3"/>
    <w:basedOn w:val="1"/>
    <w:link w:val="33"/>
    <w:autoRedefine/>
    <w:qFormat/>
    <w:uiPriority w:val="0"/>
    <w:pPr>
      <w:spacing w:before="120" w:after="120" w:line="360" w:lineRule="auto"/>
      <w:ind w:firstLine="640"/>
      <w:outlineLvl w:val="0"/>
    </w:pPr>
    <w:rPr>
      <w:rFonts w:ascii="仿宋" w:hAnsi="仿宋" w:eastAsia="仿宋"/>
      <w:b/>
      <w:bCs/>
      <w:sz w:val="32"/>
      <w:szCs w:val="32"/>
    </w:rPr>
  </w:style>
  <w:style w:type="character" w:customStyle="1" w:styleId="33">
    <w:name w:val="标题3 Char"/>
    <w:basedOn w:val="19"/>
    <w:link w:val="32"/>
    <w:autoRedefine/>
    <w:qFormat/>
    <w:uiPriority w:val="0"/>
    <w:rPr>
      <w:rFonts w:ascii="仿宋" w:hAnsi="仿宋" w:eastAsia="仿宋" w:cs="Times New Roman"/>
      <w:b/>
      <w:bCs/>
      <w:sz w:val="32"/>
      <w:szCs w:val="32"/>
    </w:rPr>
  </w:style>
  <w:style w:type="paragraph" w:styleId="34">
    <w:name w:val="No Spacing"/>
    <w:basedOn w:val="1"/>
    <w:link w:val="35"/>
    <w:autoRedefine/>
    <w:qFormat/>
    <w:uiPriority w:val="1"/>
    <w:pPr>
      <w:ind w:firstLine="640"/>
    </w:pPr>
    <w:rPr>
      <w:rFonts w:ascii="仿宋_GB2312" w:eastAsia="仿宋_GB2312"/>
      <w:sz w:val="32"/>
      <w:szCs w:val="30"/>
    </w:rPr>
  </w:style>
  <w:style w:type="character" w:customStyle="1" w:styleId="35">
    <w:name w:val="无间隔 Char"/>
    <w:basedOn w:val="19"/>
    <w:link w:val="34"/>
    <w:autoRedefine/>
    <w:qFormat/>
    <w:uiPriority w:val="1"/>
    <w:rPr>
      <w:rFonts w:ascii="仿宋_GB2312" w:hAnsi="Times New Roman" w:eastAsia="仿宋_GB2312" w:cs="Times New Roman"/>
      <w:sz w:val="32"/>
      <w:szCs w:val="30"/>
    </w:rPr>
  </w:style>
  <w:style w:type="paragraph" w:customStyle="1" w:styleId="36">
    <w:name w:val="1标题"/>
    <w:basedOn w:val="27"/>
    <w:link w:val="38"/>
    <w:qFormat/>
    <w:uiPriority w:val="0"/>
    <w:pPr>
      <w:numPr>
        <w:ilvl w:val="0"/>
        <w:numId w:val="1"/>
      </w:numPr>
      <w:ind w:firstLine="0" w:firstLineChars="0"/>
    </w:pPr>
    <w:rPr>
      <w:rFonts w:ascii="仿宋_GB2312" w:hAnsi="仿宋" w:eastAsia="仿宋_GB2312"/>
      <w:sz w:val="32"/>
      <w:szCs w:val="32"/>
    </w:rPr>
  </w:style>
  <w:style w:type="paragraph" w:customStyle="1" w:styleId="37">
    <w:name w:val="2标题"/>
    <w:basedOn w:val="27"/>
    <w:link w:val="40"/>
    <w:autoRedefine/>
    <w:qFormat/>
    <w:uiPriority w:val="0"/>
    <w:pPr>
      <w:numPr>
        <w:ilvl w:val="0"/>
        <w:numId w:val="2"/>
      </w:numPr>
      <w:ind w:firstLine="0" w:firstLineChars="0"/>
    </w:pPr>
    <w:rPr>
      <w:rFonts w:ascii="仿宋_GB2312" w:hAnsi="仿宋" w:eastAsia="仿宋_GB2312"/>
      <w:sz w:val="32"/>
      <w:szCs w:val="32"/>
    </w:rPr>
  </w:style>
  <w:style w:type="character" w:customStyle="1" w:styleId="38">
    <w:name w:val="1标题 字符"/>
    <w:basedOn w:val="19"/>
    <w:link w:val="36"/>
    <w:qFormat/>
    <w:uiPriority w:val="0"/>
    <w:rPr>
      <w:rFonts w:ascii="仿宋_GB2312" w:hAnsi="仿宋" w:eastAsia="仿宋_GB2312" w:cs="Times New Roman"/>
      <w:sz w:val="32"/>
      <w:szCs w:val="32"/>
    </w:rPr>
  </w:style>
  <w:style w:type="paragraph" w:customStyle="1" w:styleId="39">
    <w:name w:val="3标题"/>
    <w:basedOn w:val="27"/>
    <w:link w:val="41"/>
    <w:qFormat/>
    <w:uiPriority w:val="0"/>
    <w:pPr>
      <w:numPr>
        <w:ilvl w:val="0"/>
        <w:numId w:val="3"/>
      </w:numPr>
      <w:ind w:firstLine="0" w:firstLineChars="0"/>
    </w:pPr>
    <w:rPr>
      <w:rFonts w:ascii="仿宋_GB2312" w:hAnsi="仿宋" w:eastAsia="仿宋_GB2312"/>
      <w:sz w:val="32"/>
      <w:szCs w:val="32"/>
    </w:rPr>
  </w:style>
  <w:style w:type="character" w:customStyle="1" w:styleId="40">
    <w:name w:val="2标题 字符"/>
    <w:basedOn w:val="19"/>
    <w:link w:val="37"/>
    <w:autoRedefine/>
    <w:qFormat/>
    <w:uiPriority w:val="0"/>
    <w:rPr>
      <w:rFonts w:ascii="仿宋_GB2312" w:hAnsi="仿宋" w:eastAsia="仿宋_GB2312" w:cs="Times New Roman"/>
      <w:sz w:val="32"/>
      <w:szCs w:val="32"/>
    </w:rPr>
  </w:style>
  <w:style w:type="character" w:customStyle="1" w:styleId="41">
    <w:name w:val="3标题 字符"/>
    <w:basedOn w:val="19"/>
    <w:link w:val="39"/>
    <w:autoRedefine/>
    <w:qFormat/>
    <w:uiPriority w:val="0"/>
    <w:rPr>
      <w:rFonts w:ascii="仿宋_GB2312" w:hAnsi="仿宋" w:eastAsia="仿宋_GB2312" w:cs="Times New Roman"/>
      <w:sz w:val="32"/>
      <w:szCs w:val="32"/>
    </w:rPr>
  </w:style>
  <w:style w:type="character" w:customStyle="1" w:styleId="42">
    <w:name w:val="列出段落 Char"/>
    <w:basedOn w:val="19"/>
    <w:link w:val="27"/>
    <w:autoRedefine/>
    <w:qFormat/>
    <w:uiPriority w:val="34"/>
    <w:rPr>
      <w:rFonts w:ascii="Times New Roman" w:hAnsi="Times New Roman" w:eastAsia="宋体" w:cs="Times New Roman"/>
      <w:sz w:val="28"/>
    </w:rPr>
  </w:style>
  <w:style w:type="paragraph" w:customStyle="1" w:styleId="43">
    <w:name w:val="无间隔1"/>
    <w:basedOn w:val="1"/>
    <w:autoRedefine/>
    <w:qFormat/>
    <w:uiPriority w:val="1"/>
    <w:pPr>
      <w:ind w:firstLine="640"/>
    </w:pPr>
    <w:rPr>
      <w:rFonts w:ascii="仿宋_GB2312" w:eastAsia="仿宋_GB2312"/>
      <w:sz w:val="32"/>
      <w:szCs w:val="30"/>
    </w:rPr>
  </w:style>
  <w:style w:type="character" w:customStyle="1" w:styleId="44">
    <w:name w:val="批注框文本 Char"/>
    <w:basedOn w:val="19"/>
    <w:link w:val="11"/>
    <w:autoRedefine/>
    <w:semiHidden/>
    <w:qFormat/>
    <w:uiPriority w:val="99"/>
    <w:rPr>
      <w:rFonts w:ascii="Times New Roman" w:hAnsi="Times New Roman" w:eastAsia="宋体" w:cs="Times New Roman"/>
      <w:sz w:val="18"/>
      <w:szCs w:val="18"/>
    </w:rPr>
  </w:style>
  <w:style w:type="character" w:customStyle="1" w:styleId="45">
    <w:name w:val="标题 4 Char"/>
    <w:basedOn w:val="19"/>
    <w:link w:val="6"/>
    <w:autoRedefine/>
    <w:qFormat/>
    <w:uiPriority w:val="9"/>
    <w:rPr>
      <w:rFonts w:asciiTheme="majorHAnsi" w:hAnsiTheme="majorHAnsi" w:eastAsiaTheme="majorEastAsia" w:cstheme="majorBidi"/>
      <w:b/>
      <w:bCs/>
      <w:sz w:val="28"/>
      <w:szCs w:val="28"/>
    </w:rPr>
  </w:style>
  <w:style w:type="paragraph" w:customStyle="1" w:styleId="46">
    <w:name w:val="表头"/>
    <w:basedOn w:val="34"/>
    <w:link w:val="47"/>
    <w:autoRedefine/>
    <w:qFormat/>
    <w:uiPriority w:val="0"/>
    <w:pPr>
      <w:ind w:firstLine="0" w:firstLineChars="0"/>
      <w:jc w:val="center"/>
    </w:pPr>
  </w:style>
  <w:style w:type="character" w:customStyle="1" w:styleId="47">
    <w:name w:val="表头 Char"/>
    <w:basedOn w:val="19"/>
    <w:link w:val="46"/>
    <w:autoRedefine/>
    <w:qFormat/>
    <w:uiPriority w:val="0"/>
    <w:rPr>
      <w:rFonts w:ascii="仿宋_GB2312" w:hAnsi="Times New Roman" w:eastAsia="仿宋_GB2312" w:cs="Times New Roman"/>
      <w:sz w:val="32"/>
      <w:szCs w:val="30"/>
    </w:rPr>
  </w:style>
  <w:style w:type="character" w:customStyle="1" w:styleId="48">
    <w:name w:val="论文正文 Char"/>
    <w:link w:val="49"/>
    <w:qFormat/>
    <w:locked/>
    <w:uiPriority w:val="0"/>
    <w:rPr>
      <w:rFonts w:ascii="Times New Roman" w:hAnsi="Times New Roman"/>
      <w:sz w:val="24"/>
      <w:szCs w:val="24"/>
    </w:rPr>
  </w:style>
  <w:style w:type="paragraph" w:customStyle="1" w:styleId="49">
    <w:name w:val="论文正文"/>
    <w:basedOn w:val="1"/>
    <w:link w:val="48"/>
    <w:qFormat/>
    <w:uiPriority w:val="0"/>
    <w:pPr>
      <w:widowControl/>
      <w:spacing w:line="360" w:lineRule="auto"/>
      <w:ind w:firstLine="200"/>
      <w:jc w:val="left"/>
    </w:pPr>
    <w:rPr>
      <w:rFonts w:eastAsiaTheme="minorEastAsia" w:cstheme="minorBidi"/>
      <w:sz w:val="24"/>
      <w:szCs w:val="24"/>
    </w:rPr>
  </w:style>
  <w:style w:type="character" w:customStyle="1" w:styleId="50">
    <w:name w:val="页眉 Char"/>
    <w:basedOn w:val="19"/>
    <w:link w:val="13"/>
    <w:autoRedefine/>
    <w:qFormat/>
    <w:uiPriority w:val="99"/>
    <w:rPr>
      <w:rFonts w:ascii="Times New Roman" w:hAnsi="Times New Roman" w:eastAsia="宋体" w:cs="Times New Roman"/>
      <w:sz w:val="18"/>
      <w:szCs w:val="18"/>
    </w:rPr>
  </w:style>
  <w:style w:type="character" w:customStyle="1" w:styleId="51">
    <w:name w:val="页脚 Char"/>
    <w:basedOn w:val="19"/>
    <w:link w:val="12"/>
    <w:autoRedefine/>
    <w:qFormat/>
    <w:uiPriority w:val="99"/>
    <w:rPr>
      <w:rFonts w:ascii="Times New Roman" w:hAnsi="Times New Roman" w:eastAsia="宋体" w:cs="Times New Roman"/>
      <w:sz w:val="18"/>
      <w:szCs w:val="18"/>
    </w:rPr>
  </w:style>
  <w:style w:type="character" w:customStyle="1" w:styleId="52">
    <w:name w:val="普通(网站) Char"/>
    <w:link w:val="17"/>
    <w:autoRedefine/>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客货运量预测!$B$1:$B$2</c:f>
              <c:strCache>
                <c:ptCount val="1"/>
                <c:pt idx="0">
                  <c:v>客运量 （万人）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客货运量预测!$A$9:$A$21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客货运量预测!$B$9:$B$21</c:f>
              <c:numCache>
                <c:formatCode>0_ </c:formatCode>
                <c:ptCount val="13"/>
                <c:pt idx="0">
                  <c:v>1347</c:v>
                </c:pt>
                <c:pt idx="1">
                  <c:v>1353</c:v>
                </c:pt>
                <c:pt idx="2">
                  <c:v>1590</c:v>
                </c:pt>
                <c:pt idx="3">
                  <c:v>1666</c:v>
                </c:pt>
                <c:pt idx="4">
                  <c:v>1698</c:v>
                </c:pt>
                <c:pt idx="5">
                  <c:v>1804</c:v>
                </c:pt>
                <c:pt idx="6">
                  <c:v>1631</c:v>
                </c:pt>
                <c:pt idx="7">
                  <c:v>1715.812</c:v>
                </c:pt>
                <c:pt idx="8">
                  <c:v>1805.034224</c:v>
                </c:pt>
                <c:pt idx="9">
                  <c:v>1898.896003648</c:v>
                </c:pt>
                <c:pt idx="10">
                  <c:v>1997.6385958377</c:v>
                </c:pt>
                <c:pt idx="11">
                  <c:v>2101.51580282126</c:v>
                </c:pt>
                <c:pt idx="12">
                  <c:v>2210.79462456796</c:v>
                </c:pt>
              </c:numCache>
            </c:numRef>
          </c:val>
        </c:ser>
        <c:dLbls>
          <c:showLegendKey val="0"/>
          <c:showVal val="0"/>
          <c:showCatName val="0"/>
          <c:showSerName val="0"/>
          <c:showPercent val="0"/>
          <c:showBubbleSize val="0"/>
        </c:dLbls>
        <c:gapWidth val="219"/>
        <c:overlap val="-27"/>
        <c:axId val="80993280"/>
        <c:axId val="81003264"/>
      </c:barChart>
      <c:catAx>
        <c:axId val="809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1003264"/>
        <c:crosses val="autoZero"/>
        <c:auto val="1"/>
        <c:lblAlgn val="ctr"/>
        <c:lblOffset val="100"/>
        <c:noMultiLvlLbl val="0"/>
      </c:catAx>
      <c:valAx>
        <c:axId val="81003264"/>
        <c:scaling>
          <c:orientation val="minMax"/>
          <c:max val="3000"/>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09932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2916b94-c50b-4f22-9cd9-6f32d8b2fde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Sheet6!$B$1:$B$2</c:f>
              <c:strCache>
                <c:ptCount val="1"/>
                <c:pt idx="0">
                  <c:v>货运量 （万吨）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Sheet6!$A$3:$A$15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Sheet6!$B$3:$B$15</c:f>
              <c:numCache>
                <c:formatCode>General</c:formatCode>
                <c:ptCount val="13"/>
                <c:pt idx="0">
                  <c:v>632</c:v>
                </c:pt>
                <c:pt idx="1">
                  <c:v>701</c:v>
                </c:pt>
                <c:pt idx="2">
                  <c:v>693</c:v>
                </c:pt>
                <c:pt idx="3">
                  <c:v>623</c:v>
                </c:pt>
                <c:pt idx="4">
                  <c:v>678</c:v>
                </c:pt>
                <c:pt idx="5">
                  <c:v>450</c:v>
                </c:pt>
                <c:pt idx="6">
                  <c:v>472</c:v>
                </c:pt>
                <c:pt idx="7" c:formatCode="0_ ">
                  <c:v>495.075555555556</c:v>
                </c:pt>
                <c:pt idx="8" c:formatCode="0_ ">
                  <c:v>519.279249382716</c:v>
                </c:pt>
                <c:pt idx="9" c:formatCode="0_ ">
                  <c:v>544.666234908093</c:v>
                </c:pt>
                <c:pt idx="10" c:formatCode="0_ ">
                  <c:v>571.294361948045</c:v>
                </c:pt>
                <c:pt idx="11" c:formatCode="0_ ">
                  <c:v>599.224308532171</c:v>
                </c:pt>
                <c:pt idx="12" c:formatCode="0_ ">
                  <c:v>628.519719171522</c:v>
                </c:pt>
              </c:numCache>
            </c:numRef>
          </c:val>
        </c:ser>
        <c:dLbls>
          <c:showLegendKey val="0"/>
          <c:showVal val="0"/>
          <c:showCatName val="0"/>
          <c:showSerName val="0"/>
          <c:showPercent val="0"/>
          <c:showBubbleSize val="0"/>
        </c:dLbls>
        <c:gapWidth val="219"/>
        <c:overlap val="-27"/>
        <c:axId val="81085184"/>
        <c:axId val="81087104"/>
      </c:barChart>
      <c:catAx>
        <c:axId val="8108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1087104"/>
        <c:crosses val="autoZero"/>
        <c:auto val="1"/>
        <c:lblAlgn val="ctr"/>
        <c:lblOffset val="100"/>
        <c:noMultiLvlLbl val="0"/>
      </c:catAx>
      <c:valAx>
        <c:axId val="81087104"/>
        <c:scaling>
          <c:orientation val="minMax"/>
          <c:max val="1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1085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legend>
    <c:plotVisOnly val="1"/>
    <c:dispBlanksAs val="gap"/>
    <c:showDLblsOverMax val="0"/>
    <c:extLst>
      <c:ext uri="{0b15fc19-7d7d-44ad-8c2d-2c3a37ce22c3}">
        <chartProps xmlns="https://web.wps.cn/et/2018/main" chartId="{b0f0f5df-b257-4162-9ef0-dd301c3d72d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02B5-3FE3-41D4-B554-4EDE6EBE9662}">
  <ds:schemaRefs/>
</ds:datastoreItem>
</file>

<file path=docProps/app.xml><?xml version="1.0" encoding="utf-8"?>
<Properties xmlns="http://schemas.openxmlformats.org/officeDocument/2006/extended-properties" xmlns:vt="http://schemas.openxmlformats.org/officeDocument/2006/docPropsVTypes">
  <Template>Normal</Template>
  <Pages>59</Pages>
  <Words>1268</Words>
  <Characters>1323</Characters>
  <Lines>210</Lines>
  <Paragraphs>59</Paragraphs>
  <TotalTime>9</TotalTime>
  <ScaleCrop>false</ScaleCrop>
  <LinksUpToDate>false</LinksUpToDate>
  <CharactersWithSpaces>1357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2020-07-23T09:33:00Z</dcterms:created>
  <dc:creator>Administrator</dc:creator>
  <cp:lastModifiedBy>丹</cp:lastModifiedBy>
  <dcterms:modified xsi:type="dcterms:W3CDTF">2025-04-30T07:54:01Z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4D5EA7AEA39148E9AE5C30B408EB7380</vt:lpwstr>
  </property>
  <property fmtid="{D5CDD505-2E9C-101B-9397-08002B2CF9AE}" pid="4" name="KSOTemplateDocerSaveRecord">
    <vt:lpwstr>eyJoZGlkIjoiMmQ1YTY2ZjI4ZjMzMTRiNzU5MDY3OTQ1YTNhYTM4YTIiLCJ1c2VySWQiOiIyOTEyMzcxMDUifQ==</vt:lpwstr>
  </property>
</Properties>
</file>