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东阳市偏远山区异地搬迁工作实施方案（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》的起草说明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lang w:bidi="ar-SA"/>
        </w:rPr>
      </w:pP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lang w:bidi="ar-SA"/>
        </w:rPr>
        <w:t>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为有效改善全市偏远山区农民的生产生活条件，缩小城乡差距、优化人口布局，推动山区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农民共同富裕，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提升城市承载能力，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助力我市共同富裕先行市建设。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根据《浙江省人民政府关于规范异地搬迁工作的通知》（浙政发〔2019〕28号）、《浙江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乡村振兴局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部门关于印发浙江省异地搬迁项目管理办法的通知》（浙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乡振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号）等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精神，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了《东阳市偏远山区异地搬迁工作实施方案（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征求意见稿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</w:pP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二、</w:t>
      </w: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  <w:t>制定文件的必要性和可行性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Style w:val="7"/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偏远山区交通不便、经济落后，农民生产生活条件较差。为了切实提高山区人民群众的生活水平，不断缩小城乡差距，结合山区实际制定了本方案。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</w:pP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三、</w:t>
      </w: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  <w:t>解决的主要问题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为了使东阳市偏远山区异地搬迁工作能够顺利实施，提高山区人民群众的搬迁意愿，我局牵头对山区群众居住情况、搬迁意向等进行了走访调研以及多轮摸底排查，开展项目风险评估，牵头召集各机关乡镇和城投集团进行了多次协商，充分征求各方意见，参照《东阳市农村村民住宅重置价格》，结合城投集团测算的综合成本价、本市的房地产市场价和山区人民群众的现实情况确定实施范围、基本原则、安置对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可安置宅基地面积的确定、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安置方式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、奖补政策、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实施程序、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后续帮扶等。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textAlignment w:val="auto"/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</w:pP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-SA"/>
        </w:rPr>
        <w:t>四、</w:t>
      </w: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  <w:t>主要内容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实施范围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全市基础条件较差的偏远山区村，特别是未通公路居住点。搬迁点原则上实施整体搬迁，即居住点内农户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100%实施异地搬迁。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基本原则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按照“政府引导、农户自愿，整体规划、分类实施，灵活安置、有序推进”的原则，有计划、有步骤地组织实施异地搬迁，确保农民“搬得出、稳得住、富得起”。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安置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对象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偏远山区异地搬迁以村级集体经济组织为单位，安置对象包括：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在居住点有房屋的房屋所有权人；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在居住点符合农村宅基地建房审批的无房户、缺房户。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 xml:space="preserve">可安置宅基地面积的确定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合法宅基地面积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</w:rPr>
        <w:t>按权属证书或登记簿记载的所有权人确认（权属证书与登记簿记载不一致的，原则上以登记簿记载为准）。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安置对象以户为单位确定基数面积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，其中集体经济组织成员以合法住宅建筑占地面积为基数面积，住宅面积不足限额的，按可批准面积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定基数面积；非集体经济组织成员以合法住宅建筑占地面积为基数面积，超过最高限额的扣至最高限额。对于拆除建筑占地面积和可审批面积均不足一个规划间的、超“一户一宅”宅基地限额部分、平面式安置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剩余权益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面积，原则上以货币回购方式进行安置。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立户年龄为19虚岁（按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《东阳市偏远山区异地搬迁工作实施方案》印发之年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宅基地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安置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的规划间按村庄规划执行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，其他安置方式安置的以36平方米每间执行。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其它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未尽事宜，按照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现行宅基地建房审批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规定执行。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default" w:ascii="Times New Roman" w:hAnsi="Times New Roman" w:eastAsia="楷体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安置方式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安置方式分为宅基地安置、平面式安置、调剂置换和货币回购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、房票安置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奖补政策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搬迁补助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；2.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房屋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补助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；3.对于低收入农户或经济收入薄弱的家庭困难户等，由本人申请，经乡镇审核通过后，可申请小户型住房；4.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选择房票安置的农户，搬迁补助及房屋补助均以房票形式予以发放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实施程序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意向排摸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；2.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项目申请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；3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现场调研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；4.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审核公示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；5.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签订协议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；6.房屋腾空；7.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房屋拆除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；8.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资金拨付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；9.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禁止事项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lang w:bidi="ar-SA"/>
        </w:rPr>
      </w:pP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highlight w:val="none"/>
          <w:lang w:bidi="ar-SA"/>
        </w:rPr>
        <w:t>五、评估论证、公平竞争审查、征求意见及协调处理</w:t>
      </w:r>
      <w:r>
        <w:rPr>
          <w:rStyle w:val="7"/>
          <w:rFonts w:hint="eastAsia" w:ascii="黑体" w:eastAsia="黑体" w:cs="黑体"/>
          <w:b w:val="0"/>
          <w:bCs/>
          <w:color w:val="000000"/>
          <w:sz w:val="32"/>
          <w:szCs w:val="32"/>
          <w:lang w:bidi="ar-SA"/>
        </w:rPr>
        <w:t>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2023年组织了多次摸底调查和协商会，并多次向相关部门和镇乡征求意见，对实施方案修改完善并基本达成一致。2023年8月30日《东阳市偏远山区异地搬工作实施方案（征求意见稿）》在市政府信息公开网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站上进行网上公开征求意见。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bookmarkStart w:id="0" w:name="_GoBack"/>
      <w:bookmarkEnd w:id="0"/>
      <w:r>
        <w:rPr>
          <w:rStyle w:val="7"/>
          <w:rFonts w:hint="eastAsia" w:ascii="黑体" w:eastAsia="黑体" w:cs="黑体" w:hAnsiTheme="minorHAnsi"/>
          <w:b w:val="0"/>
          <w:bCs/>
          <w:color w:val="000000"/>
          <w:sz w:val="32"/>
          <w:szCs w:val="32"/>
          <w:lang w:bidi="ar-SA"/>
        </w:rPr>
        <w:t>六、其他需要说明的情况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本方案适用于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湖溪镇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蛟塘坑头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蛟塘青山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蛟塘下马岭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马宅镇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kern w:val="2"/>
          <w:sz w:val="32"/>
          <w:szCs w:val="32"/>
          <w:lang w:eastAsia="zh-CN"/>
        </w:rPr>
        <w:t>宅溪东坑（自然村）、宅溪岩坞口镜岩脚下、宅溪柏里村高头坪，</w:t>
      </w:r>
      <w:r>
        <w:rPr>
          <w:rFonts w:hint="eastAsia" w:ascii="仿宋_GB2312" w:hAnsi="仿宋_GB2312" w:eastAsia="仿宋_GB2312" w:cs="仿宋_GB2312"/>
          <w:b w:val="0"/>
          <w:bCs w:val="0"/>
          <w:vanish w:val="0"/>
          <w:color w:val="auto"/>
          <w:kern w:val="2"/>
          <w:sz w:val="32"/>
          <w:szCs w:val="32"/>
          <w:lang w:val="en-US" w:eastAsia="zh-CN"/>
        </w:rPr>
        <w:t>佐村镇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桑梓镜岩自然村西山、桑梓镜岩自然村山岗头、桑梓镜岩自然村朱坑、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厦城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岱溪自然村老鸦窝、宅口新南坑、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俞家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国道坑、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赵楼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野猪岭、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赵楼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三望岭头、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大蟠溪甘竹山、大蟠溪敏坑、华孙王大山、华孙朝六尖、华孙上孙、华孙金树坞、玉溪葛滕坞、玉溪龙潭背、玉溪考坑、玉溪高丘六十、华阳下阳自然村桐树岭、华阳时华自然村岭外、阁溪黄粟沟岭、阁溪庙后自然村竹园岭等四个镇乡共计28个点位。</w:t>
      </w:r>
    </w:p>
    <w:p>
      <w:pPr>
        <w:pStyle w:val="2"/>
        <w:ind w:left="0" w:leftChars="0" w:firstLine="0" w:firstLineChars="0"/>
        <w:rPr>
          <w:color w:val="auto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320206-2C2D-42F6-AAEC-4C866DD9C2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912AE7-2A78-4E75-9FF5-D03FE966DABF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0E2027D5-E91E-4931-A382-DA8D9E624F5C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EBAA5951-1666-4E68-877F-D80BFD03487C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1E82EC85-4F18-492C-8D1F-281BAF0C927B}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8FA2"/>
    <w:multiLevelType w:val="singleLevel"/>
    <w:tmpl w:val="2C7A8F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314A6B"/>
    <w:multiLevelType w:val="singleLevel"/>
    <w:tmpl w:val="47314A6B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NTg0NzEwOThhZmM2Mjk2NTVjNGY4ZTRlYzQ5MDQifQ=="/>
  </w:docVars>
  <w:rsids>
    <w:rsidRoot w:val="00000000"/>
    <w:rsid w:val="02B10BEB"/>
    <w:rsid w:val="03FB1392"/>
    <w:rsid w:val="0874698D"/>
    <w:rsid w:val="0BD60E8B"/>
    <w:rsid w:val="0C6A6101"/>
    <w:rsid w:val="10497B06"/>
    <w:rsid w:val="16FF7CDA"/>
    <w:rsid w:val="1CD51073"/>
    <w:rsid w:val="1CED1D88"/>
    <w:rsid w:val="1F59095F"/>
    <w:rsid w:val="240E5F29"/>
    <w:rsid w:val="25DB0662"/>
    <w:rsid w:val="27540CBF"/>
    <w:rsid w:val="2CD42515"/>
    <w:rsid w:val="30742094"/>
    <w:rsid w:val="31F12C79"/>
    <w:rsid w:val="35366BF5"/>
    <w:rsid w:val="35AD6EB7"/>
    <w:rsid w:val="395A443E"/>
    <w:rsid w:val="395E4478"/>
    <w:rsid w:val="39914BB0"/>
    <w:rsid w:val="3E7859A5"/>
    <w:rsid w:val="3EDB6A78"/>
    <w:rsid w:val="402736E0"/>
    <w:rsid w:val="45AE474D"/>
    <w:rsid w:val="4C0C5435"/>
    <w:rsid w:val="4EE214C2"/>
    <w:rsid w:val="500E6D14"/>
    <w:rsid w:val="539A4AC7"/>
    <w:rsid w:val="53C80F2B"/>
    <w:rsid w:val="550F7D3E"/>
    <w:rsid w:val="551E7032"/>
    <w:rsid w:val="5A765615"/>
    <w:rsid w:val="5C1C78AC"/>
    <w:rsid w:val="630518FE"/>
    <w:rsid w:val="63CF256B"/>
    <w:rsid w:val="6A9F2A09"/>
    <w:rsid w:val="6B8B3945"/>
    <w:rsid w:val="71344279"/>
    <w:rsid w:val="79584959"/>
    <w:rsid w:val="7BCE6322"/>
    <w:rsid w:val="7BDE671B"/>
    <w:rsid w:val="7E165051"/>
    <w:rsid w:val="7FA4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1247</Characters>
  <Lines>0</Lines>
  <Paragraphs>0</Paragraphs>
  <TotalTime>1</TotalTime>
  <ScaleCrop>false</ScaleCrop>
  <LinksUpToDate>false</LinksUpToDate>
  <CharactersWithSpaces>1247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2023-02-16T01:37:00Z</dcterms:created>
  <dc:creator>Administrator</dc:creator>
  <cp:lastModifiedBy>陈沫沫</cp:lastModifiedBy>
  <cp:lastPrinted>2023-08-01T01:52:00Z</cp:lastPrinted>
  <dcterms:modified xsi:type="dcterms:W3CDTF">2023-08-30T07:36:06Z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8F0C53E35D144F9EBC47CA51749CF995_13</vt:lpwstr>
  </property>
</Properties>
</file>