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91.140.01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0" w:name="CSDN"/>
            <w:r>
              <w:rPr>
                <w:rFonts w:ascii="黑体" w:hAnsi="黑体" w:eastAsia="黑体"/>
                <w:sz w:val="21"/>
                <w:szCs w:val="21"/>
              </w:rPr>
              <w:fldChar w:fldCharType="begin">
                <w:ffData>
                  <w:name w:val="CSDN"/>
                  <w:enabled/>
                  <w:calcOnExit w:val="0"/>
                  <w:textInput>
                    <w:default w:val="P33"/>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P33</w:t>
            </w:r>
            <w:r>
              <w:rPr>
                <w:rFonts w:ascii="黑体" w:hAnsi="黑体" w:eastAsia="黑体"/>
                <w:sz w:val="21"/>
                <w:szCs w:val="21"/>
              </w:rPr>
              <w:fldChar w:fldCharType="end"/>
            </w:r>
            <w:bookmarkEnd w:id="0"/>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765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rPr>
          <w:trHeight w:val="1357" w:hRule="atLeast"/>
        </w:trPr>
        <w:tc>
          <w:tcPr>
            <w:tcW w:w="7658" w:type="dxa"/>
          </w:tcPr>
          <w:p>
            <w:pPr>
              <w:pStyle w:val="50"/>
              <w:framePr w:w="0" w:hRule="auto" w:wrap="auto" w:vAnchor="margin" w:hAnchor="text" w:xAlign="left" w:yAlign="inline"/>
              <w:rPr>
                <w:rFonts w:ascii="宋体" w:hAnsi="宋体"/>
                <w:sz w:val="28"/>
                <w:szCs w:val="28"/>
              </w:rPr>
            </w:pPr>
            <w:bookmarkStart w:id="1" w:name="_Hlk26473981"/>
            <w:r>
              <w:rPr>
                <w:rFonts w:hint="eastAsia"/>
              </w:rPr>
              <w:t>DJG</w:t>
            </w:r>
            <w:r>
              <w:rPr>
                <w:sz w:val="21"/>
                <w:szCs w:val="21"/>
              </w:rPr>
              <w:t xml:space="preserve"> </w:t>
            </w:r>
            <w:r>
              <w:fldChar w:fldCharType="begin">
                <w:ffData>
                  <w:name w:val="c1"/>
                  <w:enabled/>
                  <w:calcOnExit w:val="0"/>
                  <w:textInput>
                    <w:default w:val="331102"/>
                    <w:maxLength w:val="8"/>
                  </w:textInput>
                </w:ffData>
              </w:fldChar>
            </w:r>
            <w:bookmarkStart w:id="2" w:name="c1"/>
            <w:r>
              <w:instrText xml:space="preserve"> FORMTEXT </w:instrText>
            </w:r>
            <w:r>
              <w:fldChar w:fldCharType="separate"/>
            </w:r>
            <w:r>
              <w:t>331102</w:t>
            </w:r>
            <w:r>
              <w:fldChar w:fldCharType="end"/>
            </w:r>
            <w:bookmarkEnd w:id="2"/>
          </w:p>
        </w:tc>
      </w:tr>
    </w:tbl>
    <w:p>
      <w:pPr>
        <w:pStyle w:val="51"/>
        <w:framePr w:w="9639" w:h="624" w:hRule="exact" w:hSpace="181" w:vSpace="181" w:hAnchor="page" w:x="1305" w:y="2269"/>
        <w:rPr>
          <w:rFonts w:ascii="黑体" w:hAnsi="黑体" w:eastAsia="黑体"/>
          <w:b w:val="0"/>
          <w:bCs w:val="0"/>
          <w:w w:val="100"/>
          <w:sz w:val="48"/>
          <w:szCs w:val="48"/>
        </w:rPr>
      </w:pPr>
      <w:bookmarkStart w:id="3" w:name="c2"/>
      <w:r>
        <w:rPr>
          <w:rFonts w:ascii="黑体" w:eastAsia="黑体"/>
          <w:b w:val="0"/>
          <w:w w:val="100"/>
          <w:sz w:val="48"/>
        </w:rPr>
        <w:fldChar w:fldCharType="begin">
          <w:ffData>
            <w:name w:val="c2"/>
            <w:enabled/>
            <w:calcOnExit w:val="0"/>
            <w:textInput>
              <w:default w:val="浙江省丽水市莲都区"/>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浙江省丽水市莲都区</w:t>
      </w:r>
      <w:r>
        <w:rPr>
          <w:rFonts w:ascii="黑体" w:eastAsia="黑体"/>
          <w:b w:val="0"/>
          <w:w w:val="100"/>
          <w:sz w:val="48"/>
        </w:rPr>
        <w:fldChar w:fldCharType="end"/>
      </w:r>
      <w:bookmarkEnd w:id="3"/>
      <w:r>
        <w:rPr>
          <w:rFonts w:hint="eastAsia" w:ascii="黑体" w:hAnsi="黑体" w:eastAsia="黑体"/>
          <w:b w:val="0"/>
          <w:bCs w:val="0"/>
          <w:w w:val="100"/>
          <w:sz w:val="48"/>
          <w:szCs w:val="48"/>
        </w:rPr>
        <w:t>地方技术性规范</w:t>
      </w:r>
    </w:p>
    <w:bookmarkEnd w:id="1"/>
    <w:p>
      <w:pPr>
        <w:pStyle w:val="196"/>
        <w:framePr/>
        <w:rPr>
          <w:lang w:val="fr-FR"/>
        </w:rPr>
      </w:pPr>
      <w:r>
        <w:rPr>
          <w:lang w:val="fr-FR"/>
        </w:rPr>
        <w:t>D</w:t>
      </w:r>
      <w:r>
        <w:rPr>
          <w:rFonts w:hint="eastAsia"/>
          <w:lang w:val="fr-FR"/>
        </w:rPr>
        <w:t>JG</w:t>
      </w:r>
      <w:r>
        <w:rPr>
          <w:sz w:val="15"/>
          <w:szCs w:val="15"/>
          <w:lang w:val="fr-FR"/>
        </w:rPr>
        <w:t xml:space="preserve"> </w:t>
      </w:r>
      <w:r>
        <w:fldChar w:fldCharType="begin">
          <w:ffData>
            <w:name w:val="文字1"/>
            <w:enabled/>
            <w:calcOnExit w:val="0"/>
            <w:textInput>
              <w:default w:val="331102/T"/>
            </w:textInput>
          </w:ffData>
        </w:fldChar>
      </w:r>
      <w:bookmarkStart w:id="4" w:name="文字1"/>
      <w:r>
        <w:instrText xml:space="preserve"> FORMTEXT </w:instrText>
      </w:r>
      <w:r>
        <w:fldChar w:fldCharType="separate"/>
      </w:r>
      <w:r>
        <w:t>331102/T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7"/>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bookmarkStart w:id="8" w:name="CSTD_NAME"/>
    </w:p>
    <w:bookmarkEnd w:id="8"/>
    <w:p>
      <w:pPr>
        <w:pStyle w:val="198"/>
        <w:framePr w:h="6974" w:hRule="exact" w:x="1419" w:anchorLock="1"/>
      </w:pPr>
      <w:r>
        <w:fldChar w:fldCharType="begin">
          <w:ffData>
            <w:enabled/>
            <w:calcOnExit w:val="0"/>
            <w:textInput>
              <w:default w:val="社区托育角设置规范"/>
            </w:textInput>
          </w:ffData>
        </w:fldChar>
      </w:r>
      <w:r>
        <w:instrText xml:space="preserve"> FORMTEXT </w:instrText>
      </w:r>
      <w:r>
        <w:fldChar w:fldCharType="separate"/>
      </w:r>
      <w:r>
        <w:t>社区托育角设置规范</w:t>
      </w:r>
      <w:r>
        <w:fldChar w:fldCharType="end"/>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点击此处添加标准名称的英文译名</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报批稿）"/>
              <w:listEntry w:val=" "/>
              <w:listEntry w:val="草案版次选择"/>
              <w:listEntry w:val="（送审稿）"/>
              <w:listEntry w:val="（工作组讨论稿）"/>
              <w:listEntry w:val="（征求意见稿）"/>
              <w:listEntry w:val="（送审讨论稿）"/>
              <w:listEntry w:val="（公示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2"/>
        <w:framePr w:h="584" w:hRule="exact" w:hSpace="181" w:vSpace="181" w:y="15027"/>
        <w:rPr>
          <w:rFonts w:hAnsi="黑体"/>
        </w:rPr>
      </w:pPr>
      <w:bookmarkStart w:id="19" w:name="fm"/>
      <w:r>
        <w:rPr>
          <w:rFonts w:hAnsi="黑体"/>
          <w:w w:val="100"/>
          <w:sz w:val="28"/>
        </w:rPr>
        <w:fldChar w:fldCharType="begin">
          <w:ffData>
            <w:name w:val="fm"/>
            <w:enabled/>
            <w:calcOnExit w:val="0"/>
            <w:textInput>
              <w:default w:val="丽水市莲都区市场监督管理局"/>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丽水市莲都区市场监督管理局</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468"/>
      </w:pPr>
      <w:bookmarkStart w:id="20"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rPr>
          <w:szCs w:val="22"/>
        </w:rPr>
      </w:pPr>
      <w:r>
        <w:rPr>
          <w:rFonts w:hint="eastAsia"/>
          <w:szCs w:val="22"/>
        </w:rPr>
        <w:t>本文件由丽水市莲都区卫生健康局提出、归口并组织实施。</w:t>
      </w:r>
    </w:p>
    <w:p>
      <w:pPr>
        <w:pStyle w:val="57"/>
        <w:ind w:firstLine="420"/>
      </w:pPr>
      <w:r>
        <w:rPr>
          <w:rFonts w:hint="eastAsia"/>
        </w:rPr>
        <w:t>本文件起草单位：丽水市莲都区卫生健康局、遂昌原创标准化事务所有限公司。</w:t>
      </w:r>
    </w:p>
    <w:p>
      <w:pPr>
        <w:pStyle w:val="57"/>
        <w:ind w:firstLine="420"/>
        <w:rPr>
          <w:color w:val="000000" w:themeColor="text1"/>
          <w:szCs w:val="22"/>
          <w14:textFill>
            <w14:solidFill>
              <w14:schemeClr w14:val="tx1"/>
            </w14:solidFill>
          </w14:textFill>
        </w:rPr>
      </w:pPr>
      <w:r>
        <w:rPr>
          <w:rFonts w:hint="eastAsia"/>
        </w:rPr>
        <w:t>本文件主要起草人</w:t>
      </w:r>
      <w:r>
        <w:rPr>
          <w:rFonts w:hint="eastAsia"/>
          <w:szCs w:val="22"/>
        </w:rPr>
        <w:t>：</w:t>
      </w:r>
      <w:bookmarkStart w:id="21" w:name="OLE_LINK1"/>
      <w:r>
        <w:rPr>
          <w:rFonts w:hint="eastAsia"/>
          <w:szCs w:val="22"/>
          <w:lang w:val="en-US" w:eastAsia="zh-CN"/>
        </w:rPr>
        <w:t>曾锋、</w:t>
      </w:r>
      <w:bookmarkStart w:id="45" w:name="_GoBack"/>
      <w:bookmarkEnd w:id="45"/>
      <w:r>
        <w:rPr>
          <w:rFonts w:hint="eastAsia"/>
          <w:szCs w:val="22"/>
        </w:rPr>
        <w:t>虞海勇、叶丽丽、沈益銮、吴宏英、</w:t>
      </w:r>
      <w:bookmarkEnd w:id="21"/>
      <w:r>
        <w:rPr>
          <w:rFonts w:hint="eastAsia"/>
          <w:szCs w:val="22"/>
        </w:rPr>
        <w:t>徐媛媛、魏莉莉、李佳译、袁蓉。</w:t>
      </w:r>
    </w:p>
    <w:p>
      <w:pPr>
        <w:pStyle w:val="57"/>
        <w:ind w:firstLine="420"/>
        <w:rPr>
          <w:szCs w:val="22"/>
        </w:rPr>
      </w:pPr>
      <w:r>
        <w:rPr>
          <w:rFonts w:hint="eastAsia"/>
          <w:szCs w:val="22"/>
        </w:rPr>
        <w:t>本文件为首次发布。</w:t>
      </w:r>
    </w:p>
    <w:p>
      <w:pPr>
        <w:pStyle w:val="57"/>
        <w:ind w:firstLine="420"/>
      </w:pPr>
    </w:p>
    <w:p>
      <w:pPr>
        <w:pStyle w:val="57"/>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6CD9EB2EFEAC4569821534CD5CB1B483"/>
        </w:placeholder>
      </w:sdtPr>
      <w:sdtContent>
        <w:p>
          <w:pPr>
            <w:pStyle w:val="178"/>
            <w:spacing w:before="312" w:beforeLines="100" w:after="686" w:afterLines="220"/>
          </w:pPr>
          <w:bookmarkStart w:id="23" w:name="NEW_STAND_NAME"/>
          <w:r>
            <w:rPr>
              <w:rFonts w:hint="eastAsia"/>
            </w:rPr>
            <w:t>社区托育角设置规范</w:t>
          </w:r>
        </w:p>
      </w:sdtContent>
    </w:sdt>
    <w:bookmarkEnd w:id="23"/>
    <w:p>
      <w:pPr>
        <w:pStyle w:val="105"/>
        <w:spacing w:before="312" w:after="312"/>
      </w:pPr>
      <w:bookmarkStart w:id="24" w:name="_Toc24884218"/>
      <w:bookmarkStart w:id="25" w:name="_Toc17233325"/>
      <w:bookmarkStart w:id="26" w:name="_Toc97191423"/>
      <w:bookmarkStart w:id="27" w:name="_Toc24884211"/>
      <w:bookmarkStart w:id="28" w:name="_Toc26986530"/>
      <w:bookmarkStart w:id="29" w:name="_Toc26648465"/>
      <w:bookmarkStart w:id="30" w:name="_Toc26986771"/>
      <w:bookmarkStart w:id="31" w:name="_Toc17233333"/>
      <w:bookmarkStart w:id="32" w:name="_Toc26718930"/>
      <w:r>
        <w:rPr>
          <w:rFonts w:hint="eastAsia"/>
        </w:rPr>
        <w:t>范围</w:t>
      </w:r>
      <w:bookmarkEnd w:id="24"/>
      <w:bookmarkEnd w:id="25"/>
      <w:bookmarkEnd w:id="26"/>
      <w:bookmarkEnd w:id="27"/>
      <w:bookmarkEnd w:id="28"/>
      <w:bookmarkEnd w:id="29"/>
      <w:bookmarkEnd w:id="30"/>
      <w:bookmarkEnd w:id="31"/>
      <w:bookmarkEnd w:id="32"/>
    </w:p>
    <w:p>
      <w:pPr>
        <w:pStyle w:val="57"/>
        <w:ind w:firstLine="420"/>
      </w:pPr>
      <w:bookmarkStart w:id="33" w:name="_Toc17233326"/>
      <w:bookmarkStart w:id="34" w:name="_Toc17233334"/>
      <w:bookmarkStart w:id="35" w:name="_Toc24884212"/>
      <w:bookmarkStart w:id="36" w:name="_Toc24884219"/>
      <w:bookmarkStart w:id="37" w:name="_Toc26648466"/>
      <w:r>
        <w:rPr>
          <w:rFonts w:hint="eastAsia"/>
        </w:rPr>
        <w:t>本文件规定了托育角设置的术语和定义、基本要求、选址、环境空间、装修装饰、设施配置、安全要求、标志标识的要求。</w:t>
      </w:r>
    </w:p>
    <w:p>
      <w:pPr>
        <w:pStyle w:val="57"/>
        <w:ind w:firstLine="420"/>
        <w:rPr>
          <w:szCs w:val="22"/>
        </w:rPr>
      </w:pPr>
      <w:r>
        <w:rPr>
          <w:rFonts w:hint="eastAsia"/>
        </w:rPr>
        <w:t>本文件适用于</w:t>
      </w:r>
      <w:r>
        <w:rPr>
          <w:rFonts w:hint="eastAsia"/>
          <w:szCs w:val="22"/>
        </w:rPr>
        <w:t>社区内为0～3岁婴幼儿活动、娱乐、憩息区域的设置。其他场所托育角的设置可参照执行。</w:t>
      </w:r>
    </w:p>
    <w:p>
      <w:pPr>
        <w:pStyle w:val="105"/>
        <w:spacing w:before="312" w:after="312"/>
      </w:pPr>
      <w:bookmarkStart w:id="38" w:name="_Toc26718931"/>
      <w:bookmarkStart w:id="39" w:name="_Toc26986772"/>
      <w:bookmarkStart w:id="40" w:name="_Toc97191424"/>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89602F7596634ADDBF48223880F278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 6675（所有部分） 玩具安全</w:t>
      </w:r>
    </w:p>
    <w:p>
      <w:pPr>
        <w:pStyle w:val="57"/>
        <w:ind w:firstLine="420"/>
      </w:pPr>
      <w:r>
        <w:rPr>
          <w:rFonts w:hint="eastAsia"/>
        </w:rPr>
        <w:t xml:space="preserve">GB/T 18883 室内空气质量标准 </w:t>
      </w:r>
    </w:p>
    <w:p>
      <w:pPr>
        <w:pStyle w:val="57"/>
        <w:ind w:firstLine="420"/>
      </w:pPr>
      <w:r>
        <w:rPr>
          <w:rFonts w:hint="eastAsia"/>
        </w:rPr>
        <w:t xml:space="preserve">GB 50016 建筑设计防火规范 </w:t>
      </w:r>
    </w:p>
    <w:p>
      <w:pPr>
        <w:pStyle w:val="57"/>
        <w:ind w:firstLine="420"/>
        <w:rPr>
          <w:szCs w:val="22"/>
        </w:rPr>
      </w:pPr>
      <w:r>
        <w:rPr>
          <w:rFonts w:hint="eastAsia"/>
        </w:rPr>
        <w:t xml:space="preserve">GB 50325 </w:t>
      </w:r>
      <w:r>
        <w:rPr>
          <w:rFonts w:hint="eastAsia"/>
          <w:szCs w:val="22"/>
        </w:rPr>
        <w:t>民用建筑工程室内环境污染限制规范</w:t>
      </w:r>
    </w:p>
    <w:p>
      <w:pPr>
        <w:pStyle w:val="57"/>
        <w:ind w:firstLine="420"/>
      </w:pPr>
      <w:r>
        <w:rPr>
          <w:rFonts w:hint="eastAsia"/>
        </w:rPr>
        <w:t xml:space="preserve">GB 55036 消防设施通用规范 </w:t>
      </w:r>
    </w:p>
    <w:p>
      <w:pPr>
        <w:pStyle w:val="57"/>
        <w:ind w:firstLine="420"/>
      </w:pPr>
      <w:r>
        <w:rPr>
          <w:rFonts w:hint="eastAsia"/>
        </w:rPr>
        <w:t xml:space="preserve">GB 55037 建筑防火通用规范 </w:t>
      </w:r>
    </w:p>
    <w:p>
      <w:pPr>
        <w:pStyle w:val="57"/>
        <w:ind w:firstLine="420"/>
      </w:pPr>
      <w:r>
        <w:rPr>
          <w:rFonts w:hint="eastAsia"/>
        </w:rPr>
        <w:t xml:space="preserve">GB 50140 建筑灭火器配置设计规范 </w:t>
      </w:r>
    </w:p>
    <w:p>
      <w:pPr>
        <w:pStyle w:val="57"/>
        <w:ind w:firstLine="420"/>
      </w:pPr>
      <w:r>
        <w:rPr>
          <w:rFonts w:hint="eastAsia"/>
        </w:rPr>
        <w:t>JGJ 39-2024 托儿所、幼儿园建筑设计规范</w:t>
      </w:r>
    </w:p>
    <w:p>
      <w:pPr>
        <w:pStyle w:val="105"/>
        <w:spacing w:before="312" w:after="312"/>
      </w:pPr>
      <w:bookmarkStart w:id="42" w:name="_Toc97191425"/>
      <w:r>
        <w:rPr>
          <w:rFonts w:hint="eastAsia"/>
          <w:szCs w:val="21"/>
        </w:rPr>
        <w:t>术语和定义</w:t>
      </w:r>
      <w:bookmarkEnd w:id="42"/>
    </w:p>
    <w:sdt>
      <w:sdtPr>
        <w:id w:val="-1909835108"/>
        <w:placeholder>
          <w:docPart w:val="609D487A51A84F378EBA222CE0DCF7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3" w:name="_Toc26986532"/>
          <w:bookmarkEnd w:id="43"/>
          <w: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托育角</w:t>
      </w:r>
    </w:p>
    <w:p>
      <w:pPr>
        <w:pStyle w:val="57"/>
        <w:ind w:firstLine="420"/>
      </w:pPr>
      <w:r>
        <w:rPr>
          <w:rFonts w:hint="eastAsia"/>
        </w:rPr>
        <w:t>在社区内，为有专人监护、陪护的婴幼儿提供活动、娱乐、憩息的专用场所。</w:t>
      </w:r>
    </w:p>
    <w:p>
      <w:pPr>
        <w:pStyle w:val="105"/>
        <w:spacing w:before="312" w:after="312"/>
        <w:rPr>
          <w:color w:val="FF0000"/>
        </w:rPr>
      </w:pPr>
      <w:r>
        <w:rPr>
          <w:rFonts w:hint="eastAsia"/>
        </w:rPr>
        <w:t>基本要求</w:t>
      </w:r>
    </w:p>
    <w:p>
      <w:pPr>
        <w:pStyle w:val="163"/>
        <w:ind w:left="0"/>
        <w:rPr>
          <w:rFonts w:ascii="Times New Roman" w:eastAsia="仿宋_GB2312"/>
          <w:sz w:val="24"/>
          <w:szCs w:val="28"/>
        </w:rPr>
      </w:pPr>
      <w:r>
        <w:rPr>
          <w:rFonts w:hint="eastAsia"/>
        </w:rPr>
        <w:t>应根据原有空间大小合理布局。</w:t>
      </w:r>
    </w:p>
    <w:p>
      <w:pPr>
        <w:pStyle w:val="163"/>
        <w:ind w:left="0"/>
        <w:rPr>
          <w:szCs w:val="22"/>
        </w:rPr>
      </w:pPr>
      <w:r>
        <w:rPr>
          <w:rFonts w:hint="eastAsia"/>
        </w:rPr>
        <w:t>装修装饰、功能设置符合婴幼儿活动</w:t>
      </w:r>
      <w:r>
        <w:rPr>
          <w:rFonts w:hint="eastAsia"/>
          <w:szCs w:val="22"/>
        </w:rPr>
        <w:t>要求。</w:t>
      </w:r>
    </w:p>
    <w:p>
      <w:pPr>
        <w:pStyle w:val="163"/>
        <w:ind w:left="0"/>
      </w:pPr>
      <w:r>
        <w:rPr>
          <w:rFonts w:hint="eastAsia"/>
        </w:rPr>
        <w:t>婴幼儿活动应有专人监护或陪护。</w:t>
      </w:r>
    </w:p>
    <w:p>
      <w:pPr>
        <w:pStyle w:val="163"/>
        <w:ind w:left="0"/>
      </w:pPr>
      <w:r>
        <w:rPr>
          <w:rFonts w:hint="eastAsia"/>
        </w:rPr>
        <w:t>应建立相应的管理制度，包含健康教育制度、卫生与消毒制度、意外伤害预防制度、日常管理制度等。</w:t>
      </w:r>
    </w:p>
    <w:p>
      <w:pPr>
        <w:pStyle w:val="105"/>
        <w:spacing w:before="312" w:after="312"/>
      </w:pPr>
      <w:r>
        <w:rPr>
          <w:rFonts w:hint="eastAsia"/>
        </w:rPr>
        <w:t>选址</w:t>
      </w:r>
    </w:p>
    <w:p>
      <w:pPr>
        <w:pStyle w:val="163"/>
        <w:ind w:left="0"/>
        <w:rPr>
          <w:color w:val="auto"/>
        </w:rPr>
      </w:pPr>
      <w:r>
        <w:rPr>
          <w:rFonts w:hint="eastAsia"/>
          <w:color w:val="auto"/>
          <w:szCs w:val="22"/>
        </w:rPr>
        <w:t>应选择交通便利，周边无污染，结合</w:t>
      </w:r>
      <w:r>
        <w:rPr>
          <w:rFonts w:hint="eastAsia"/>
          <w:color w:val="auto"/>
        </w:rPr>
        <w:t>现有</w:t>
      </w:r>
      <w:r>
        <w:rPr>
          <w:rFonts w:hint="eastAsia"/>
          <w:color w:val="auto"/>
          <w:szCs w:val="22"/>
        </w:rPr>
        <w:t>场所因地制宜。</w:t>
      </w:r>
    </w:p>
    <w:p>
      <w:pPr>
        <w:pStyle w:val="163"/>
        <w:ind w:left="0"/>
        <w:rPr>
          <w:rFonts w:ascii="Times New Roman" w:eastAsia="仿宋_GB2312"/>
          <w:color w:val="auto"/>
          <w:sz w:val="24"/>
          <w:szCs w:val="28"/>
        </w:rPr>
      </w:pPr>
      <w:r>
        <w:rPr>
          <w:rFonts w:hint="eastAsia"/>
          <w:color w:val="auto"/>
        </w:rPr>
        <w:t>应选择自然采光，通风良好，消防设施配置齐全的场所。</w:t>
      </w:r>
    </w:p>
    <w:p>
      <w:pPr>
        <w:pStyle w:val="163"/>
        <w:ind w:left="0"/>
        <w:rPr>
          <w:rFonts w:ascii="Times New Roman" w:eastAsia="仿宋_GB2312"/>
          <w:color w:val="auto"/>
          <w:sz w:val="24"/>
          <w:szCs w:val="28"/>
        </w:rPr>
      </w:pPr>
      <w:r>
        <w:rPr>
          <w:rFonts w:hint="eastAsia"/>
          <w:color w:val="auto"/>
        </w:rPr>
        <w:t>宜选地面层，面积应不少于10平方米，</w:t>
      </w:r>
      <w:r>
        <w:rPr>
          <w:rFonts w:hint="eastAsia"/>
          <w:color w:val="auto"/>
          <w:szCs w:val="22"/>
        </w:rPr>
        <w:t>不应设置在地下或半地下层。</w:t>
      </w:r>
    </w:p>
    <w:p>
      <w:pPr>
        <w:pStyle w:val="105"/>
        <w:spacing w:before="312" w:after="312"/>
        <w:rPr>
          <w:color w:val="auto"/>
        </w:rPr>
      </w:pPr>
      <w:r>
        <w:rPr>
          <w:rFonts w:hint="eastAsia"/>
          <w:color w:val="auto"/>
        </w:rPr>
        <w:t>环境空间</w:t>
      </w:r>
    </w:p>
    <w:p>
      <w:pPr>
        <w:pStyle w:val="163"/>
        <w:ind w:left="0"/>
        <w:rPr>
          <w:color w:val="auto"/>
        </w:rPr>
      </w:pPr>
      <w:r>
        <w:rPr>
          <w:rFonts w:hint="eastAsia"/>
          <w:color w:val="auto"/>
          <w:szCs w:val="22"/>
        </w:rPr>
        <w:t>可设置独立成间或</w:t>
      </w:r>
      <w:r>
        <w:rPr>
          <w:rFonts w:hint="eastAsia"/>
          <w:color w:val="auto"/>
        </w:rPr>
        <w:t>敞开式</w:t>
      </w:r>
      <w:r>
        <w:rPr>
          <w:rFonts w:hint="eastAsia"/>
          <w:color w:val="auto"/>
          <w:szCs w:val="22"/>
        </w:rPr>
        <w:t>区域。</w:t>
      </w:r>
    </w:p>
    <w:p>
      <w:pPr>
        <w:pStyle w:val="163"/>
        <w:ind w:left="0"/>
        <w:rPr>
          <w:color w:val="auto"/>
        </w:rPr>
      </w:pPr>
      <w:r>
        <w:rPr>
          <w:rFonts w:hint="eastAsia"/>
          <w:color w:val="auto"/>
          <w:szCs w:val="22"/>
        </w:rPr>
        <w:t>可设置活动区、游乐区、阅读区等。</w:t>
      </w:r>
    </w:p>
    <w:p>
      <w:pPr>
        <w:pStyle w:val="163"/>
        <w:ind w:left="0"/>
        <w:rPr>
          <w:color w:val="auto"/>
        </w:rPr>
      </w:pPr>
      <w:r>
        <w:rPr>
          <w:rFonts w:hint="eastAsia"/>
          <w:color w:val="auto"/>
        </w:rPr>
        <w:t>室内空气质量应符合GB/T 18883的规定。</w:t>
      </w:r>
    </w:p>
    <w:p>
      <w:pPr>
        <w:pStyle w:val="163"/>
        <w:ind w:left="0"/>
        <w:rPr>
          <w:color w:val="auto"/>
        </w:rPr>
      </w:pPr>
      <w:r>
        <w:rPr>
          <w:rFonts w:hint="eastAsia"/>
          <w:color w:val="auto"/>
        </w:rPr>
        <w:t>应有自然采光，</w:t>
      </w:r>
      <w:r>
        <w:rPr>
          <w:rFonts w:hint="eastAsia"/>
          <w:color w:val="auto"/>
          <w:szCs w:val="22"/>
        </w:rPr>
        <w:t>其</w:t>
      </w:r>
      <w:r>
        <w:rPr>
          <w:rFonts w:hint="eastAsia"/>
          <w:color w:val="auto"/>
        </w:rPr>
        <w:t>采光应符合JGJ 39-2024中5.1的规定。</w:t>
      </w:r>
    </w:p>
    <w:p>
      <w:pPr>
        <w:pStyle w:val="163"/>
        <w:ind w:left="0"/>
        <w:rPr>
          <w:rFonts w:ascii="Times New Roman" w:eastAsia="仿宋_GB2312"/>
          <w:color w:val="auto"/>
          <w:sz w:val="24"/>
          <w:szCs w:val="28"/>
        </w:rPr>
      </w:pPr>
      <w:r>
        <w:rPr>
          <w:rFonts w:hint="eastAsia"/>
          <w:color w:val="auto"/>
        </w:rPr>
        <w:t>室内宜采用自然通风设施；无自然通风设施时，应符合JGJ 39-2024中6.2.11-1、6.2.11-2的规定。</w:t>
      </w:r>
    </w:p>
    <w:p>
      <w:pPr>
        <w:pStyle w:val="163"/>
        <w:ind w:left="0"/>
        <w:rPr>
          <w:color w:val="auto"/>
        </w:rPr>
      </w:pPr>
      <w:r>
        <w:rPr>
          <w:rFonts w:hint="eastAsia"/>
          <w:color w:val="auto"/>
        </w:rPr>
        <w:t>应配置消防设施、器材，消防设施、器材的配置应符合GB 50016、GB 55036、GB 55037、GB 50140等要求。</w:t>
      </w:r>
    </w:p>
    <w:p>
      <w:pPr>
        <w:pStyle w:val="163"/>
        <w:ind w:left="0"/>
        <w:rPr>
          <w:color w:val="auto"/>
          <w:szCs w:val="22"/>
        </w:rPr>
      </w:pPr>
      <w:r>
        <w:rPr>
          <w:rFonts w:hint="eastAsia"/>
          <w:color w:val="auto"/>
        </w:rPr>
        <w:t>新建的托育角室内的窗户、门、防护栏等设施应符合JGJ 39-2024中4.1.5、4.1.8、4.1.9的规定，改建的应</w:t>
      </w:r>
      <w:r>
        <w:rPr>
          <w:rFonts w:hint="eastAsia"/>
          <w:color w:val="auto"/>
          <w:szCs w:val="22"/>
        </w:rPr>
        <w:t>合理利用原有资源。</w:t>
      </w:r>
    </w:p>
    <w:p>
      <w:pPr>
        <w:pStyle w:val="105"/>
        <w:spacing w:before="312" w:after="312"/>
        <w:rPr>
          <w:color w:val="auto"/>
        </w:rPr>
      </w:pPr>
      <w:r>
        <w:rPr>
          <w:rFonts w:hint="eastAsia"/>
          <w:color w:val="auto"/>
        </w:rPr>
        <w:t>装修装饰</w:t>
      </w:r>
    </w:p>
    <w:p>
      <w:pPr>
        <w:pStyle w:val="163"/>
        <w:ind w:left="0"/>
        <w:rPr>
          <w:color w:val="auto"/>
        </w:rPr>
      </w:pPr>
      <w:r>
        <w:rPr>
          <w:rFonts w:hint="eastAsia"/>
          <w:color w:val="auto"/>
          <w:szCs w:val="22"/>
        </w:rPr>
        <w:t>应选择绿色、环保、</w:t>
      </w:r>
      <w:r>
        <w:rPr>
          <w:rFonts w:hint="eastAsia"/>
          <w:color w:val="auto"/>
        </w:rPr>
        <w:t>防火</w:t>
      </w:r>
      <w:r>
        <w:rPr>
          <w:rFonts w:hint="eastAsia"/>
          <w:color w:val="auto"/>
          <w:szCs w:val="22"/>
        </w:rPr>
        <w:t>的装修材料，</w:t>
      </w:r>
      <w:r>
        <w:rPr>
          <w:rFonts w:hint="eastAsia"/>
          <w:color w:val="auto"/>
        </w:rPr>
        <w:t xml:space="preserve">装修材料应符合GB 50325的规定。 </w:t>
      </w:r>
    </w:p>
    <w:p>
      <w:pPr>
        <w:pStyle w:val="163"/>
        <w:ind w:left="0"/>
        <w:rPr>
          <w:color w:val="auto"/>
        </w:rPr>
      </w:pPr>
      <w:r>
        <w:rPr>
          <w:rFonts w:hint="eastAsia"/>
          <w:color w:val="auto"/>
        </w:rPr>
        <w:t>内部装饰色调应柔和温馨，与</w:t>
      </w:r>
      <w:r>
        <w:rPr>
          <w:rFonts w:hint="eastAsia"/>
          <w:color w:val="auto"/>
          <w:szCs w:val="22"/>
        </w:rPr>
        <w:t>色彩搭配、图案设计等相协调，体现童趣。</w:t>
      </w:r>
    </w:p>
    <w:p>
      <w:pPr>
        <w:pStyle w:val="163"/>
        <w:ind w:left="0"/>
        <w:rPr>
          <w:color w:val="auto"/>
        </w:rPr>
      </w:pPr>
      <w:r>
        <w:rPr>
          <w:rFonts w:ascii="Arial" w:hAnsi="Arial" w:eastAsia="Arial" w:cs="Arial"/>
          <w:color w:val="auto"/>
          <w:sz w:val="14"/>
          <w:szCs w:val="14"/>
          <w:shd w:val="clear" w:color="auto" w:fill="FFFFFF"/>
        </w:rPr>
        <w:t>‌</w:t>
      </w:r>
      <w:r>
        <w:rPr>
          <w:rFonts w:hint="eastAsia"/>
          <w:color w:val="auto"/>
        </w:rPr>
        <w:t>地面应使用防滑材料并铺设软垫，柱子、窗台、内墙阳角宜做成小圆角。</w:t>
      </w:r>
    </w:p>
    <w:p>
      <w:pPr>
        <w:pStyle w:val="163"/>
        <w:ind w:left="0"/>
        <w:rPr>
          <w:color w:val="auto"/>
        </w:rPr>
      </w:pPr>
      <w:r>
        <w:rPr>
          <w:rFonts w:hint="eastAsia"/>
          <w:color w:val="auto"/>
        </w:rPr>
        <w:t>距离地面1.3m以下幼儿经常接触的墙面，应采用光滑易清洁的材料软包。</w:t>
      </w:r>
    </w:p>
    <w:p>
      <w:pPr>
        <w:pStyle w:val="163"/>
        <w:ind w:left="0"/>
        <w:rPr>
          <w:color w:val="auto"/>
        </w:rPr>
      </w:pPr>
      <w:r>
        <w:rPr>
          <w:rFonts w:hint="eastAsia"/>
          <w:color w:val="auto"/>
          <w:szCs w:val="22"/>
        </w:rPr>
        <w:t>线路及插座等通电</w:t>
      </w:r>
      <w:r>
        <w:rPr>
          <w:rFonts w:hint="eastAsia"/>
          <w:color w:val="auto"/>
        </w:rPr>
        <w:t>设置</w:t>
      </w:r>
      <w:r>
        <w:rPr>
          <w:rFonts w:hint="eastAsia"/>
          <w:color w:val="auto"/>
          <w:szCs w:val="22"/>
        </w:rPr>
        <w:t>应安装在孩子不易接触到的位置，</w:t>
      </w:r>
      <w:r>
        <w:rPr>
          <w:rFonts w:hint="eastAsia"/>
          <w:color w:val="auto"/>
        </w:rPr>
        <w:t>管道和尖角应有包裹处理。</w:t>
      </w:r>
    </w:p>
    <w:p>
      <w:pPr>
        <w:pStyle w:val="105"/>
        <w:spacing w:before="312" w:after="312"/>
        <w:rPr>
          <w:color w:val="auto"/>
        </w:rPr>
      </w:pPr>
      <w:r>
        <w:rPr>
          <w:rFonts w:hint="eastAsia"/>
          <w:color w:val="auto"/>
        </w:rPr>
        <w:t>设施配置</w:t>
      </w:r>
    </w:p>
    <w:p>
      <w:pPr>
        <w:pStyle w:val="163"/>
        <w:ind w:left="0"/>
        <w:rPr>
          <w:color w:val="auto"/>
        </w:rPr>
      </w:pPr>
      <w:r>
        <w:rPr>
          <w:rFonts w:hint="eastAsia"/>
          <w:color w:val="auto"/>
        </w:rPr>
        <w:t>应配置符合婴幼儿年龄特点的生活设施，柜、桌、椅等设施设置应光滑无锐角。</w:t>
      </w:r>
    </w:p>
    <w:p>
      <w:pPr>
        <w:pStyle w:val="163"/>
        <w:ind w:left="0"/>
        <w:rPr>
          <w:color w:val="auto"/>
        </w:rPr>
      </w:pPr>
      <w:r>
        <w:rPr>
          <w:rFonts w:hint="eastAsia"/>
          <w:color w:val="auto"/>
        </w:rPr>
        <w:t>应配备符合不同月龄婴幼儿特点的玩具，质量符合GB 6675的规定，数量充足，满足婴幼儿活动需求。</w:t>
      </w:r>
    </w:p>
    <w:p>
      <w:pPr>
        <w:pStyle w:val="163"/>
        <w:ind w:left="0"/>
        <w:rPr>
          <w:color w:val="auto"/>
        </w:rPr>
      </w:pPr>
      <w:r>
        <w:rPr>
          <w:rFonts w:hint="eastAsia"/>
          <w:color w:val="auto"/>
        </w:rPr>
        <w:t>应配备符合不同月龄婴幼儿认知的图书，使用开放性书架摆放。</w:t>
      </w:r>
    </w:p>
    <w:p>
      <w:pPr>
        <w:pStyle w:val="163"/>
        <w:ind w:left="0"/>
        <w:rPr>
          <w:color w:val="auto"/>
        </w:rPr>
      </w:pPr>
      <w:r>
        <w:rPr>
          <w:rFonts w:hint="eastAsia"/>
          <w:color w:val="auto"/>
        </w:rPr>
        <w:t>应配置应急处置箱，内置物品至少包括：碘伏、棉签、创口贴等。</w:t>
      </w:r>
    </w:p>
    <w:p>
      <w:pPr>
        <w:pStyle w:val="163"/>
        <w:ind w:left="0"/>
        <w:rPr>
          <w:color w:val="auto"/>
          <w:szCs w:val="22"/>
        </w:rPr>
      </w:pPr>
      <w:r>
        <w:rPr>
          <w:rFonts w:hint="eastAsia"/>
          <w:color w:val="auto"/>
        </w:rPr>
        <w:t>应配置防蚊蝇灯、带盖垃圾桶等设施。</w:t>
      </w:r>
    </w:p>
    <w:p>
      <w:pPr>
        <w:pStyle w:val="163"/>
        <w:ind w:left="0"/>
        <w:rPr>
          <w:color w:val="auto"/>
          <w:szCs w:val="22"/>
        </w:rPr>
      </w:pPr>
      <w:r>
        <w:rPr>
          <w:rFonts w:hint="eastAsia"/>
          <w:color w:val="auto"/>
        </w:rPr>
        <w:t>应配备消毒剂、紫外线消毒灯（柜）或其他空气消毒装置。</w:t>
      </w:r>
    </w:p>
    <w:p>
      <w:pPr>
        <w:pStyle w:val="105"/>
        <w:spacing w:before="312" w:after="312"/>
        <w:rPr>
          <w:color w:val="auto"/>
        </w:rPr>
      </w:pPr>
      <w:r>
        <w:rPr>
          <w:rFonts w:hint="eastAsia"/>
          <w:color w:val="auto"/>
        </w:rPr>
        <w:t>安全要求</w:t>
      </w:r>
    </w:p>
    <w:p>
      <w:pPr>
        <w:pStyle w:val="163"/>
        <w:ind w:left="0"/>
        <w:rPr>
          <w:color w:val="auto"/>
        </w:rPr>
      </w:pPr>
      <w:r>
        <w:rPr>
          <w:rFonts w:hint="eastAsia"/>
          <w:color w:val="auto"/>
        </w:rPr>
        <w:t>应设置视频安防监控。</w:t>
      </w:r>
    </w:p>
    <w:p>
      <w:pPr>
        <w:pStyle w:val="163"/>
        <w:ind w:left="0"/>
        <w:rPr>
          <w:color w:val="auto"/>
        </w:rPr>
      </w:pPr>
      <w:r>
        <w:rPr>
          <w:rFonts w:hint="eastAsia"/>
          <w:color w:val="auto"/>
        </w:rPr>
        <w:t>应有明显安全教育提示、安全监护</w:t>
      </w:r>
      <w:r>
        <w:rPr>
          <w:rFonts w:hint="eastAsia"/>
          <w:color w:val="auto"/>
          <w:szCs w:val="22"/>
        </w:rPr>
        <w:t>措施等。</w:t>
      </w:r>
    </w:p>
    <w:p>
      <w:pPr>
        <w:pStyle w:val="163"/>
        <w:ind w:left="0"/>
        <w:rPr>
          <w:color w:val="auto"/>
        </w:rPr>
      </w:pPr>
      <w:r>
        <w:rPr>
          <w:rFonts w:hint="eastAsia"/>
          <w:color w:val="auto"/>
          <w:szCs w:val="22"/>
        </w:rPr>
        <w:t>应定期维护、</w:t>
      </w:r>
      <w:r>
        <w:rPr>
          <w:rFonts w:hint="eastAsia"/>
          <w:color w:val="auto"/>
        </w:rPr>
        <w:t>更换</w:t>
      </w:r>
      <w:r>
        <w:rPr>
          <w:rFonts w:hint="eastAsia"/>
          <w:color w:val="auto"/>
          <w:szCs w:val="22"/>
        </w:rPr>
        <w:t>损坏的玩具，确保安全。</w:t>
      </w:r>
    </w:p>
    <w:p>
      <w:pPr>
        <w:pStyle w:val="105"/>
        <w:spacing w:before="312" w:after="312"/>
        <w:rPr>
          <w:color w:val="auto"/>
        </w:rPr>
      </w:pPr>
      <w:r>
        <w:rPr>
          <w:rFonts w:hint="eastAsia"/>
          <w:color w:val="auto"/>
        </w:rPr>
        <w:t>标志标识</w:t>
      </w:r>
    </w:p>
    <w:p>
      <w:pPr>
        <w:pStyle w:val="163"/>
        <w:ind w:left="0"/>
        <w:rPr>
          <w:color w:val="auto"/>
        </w:rPr>
      </w:pPr>
      <w:r>
        <w:rPr>
          <w:rFonts w:hint="eastAsia"/>
          <w:color w:val="auto"/>
        </w:rPr>
        <w:t>应设置统一规范的“小莲宝乐园”标志，样式见图1。</w:t>
      </w:r>
    </w:p>
    <w:p>
      <w:pPr>
        <w:pStyle w:val="105"/>
        <w:numPr>
          <w:ilvl w:val="0"/>
          <w:numId w:val="0"/>
        </w:numPr>
        <w:spacing w:before="312" w:after="312"/>
      </w:pPr>
      <w:r>
        <w:drawing>
          <wp:anchor distT="0" distB="0" distL="114300" distR="114300" simplePos="0" relativeHeight="251663360" behindDoc="1" locked="0" layoutInCell="1" allowOverlap="1">
            <wp:simplePos x="0" y="0"/>
            <wp:positionH relativeFrom="column">
              <wp:posOffset>1837690</wp:posOffset>
            </wp:positionH>
            <wp:positionV relativeFrom="paragraph">
              <wp:posOffset>144780</wp:posOffset>
            </wp:positionV>
            <wp:extent cx="2084070" cy="1979930"/>
            <wp:effectExtent l="0" t="0" r="0" b="1270"/>
            <wp:wrapThrough wrapText="bothSides">
              <wp:wrapPolygon>
                <wp:start x="0" y="0"/>
                <wp:lineTo x="0" y="21406"/>
                <wp:lineTo x="21324" y="21406"/>
                <wp:lineTo x="21324"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84070" cy="1979930"/>
                    </a:xfrm>
                    <a:prstGeom prst="rect">
                      <a:avLst/>
                    </a:prstGeom>
                    <a:noFill/>
                  </pic:spPr>
                </pic:pic>
              </a:graphicData>
            </a:graphic>
          </wp:anchor>
        </w:drawing>
      </w:r>
    </w:p>
    <w:p>
      <w:pPr>
        <w:pStyle w:val="57"/>
        <w:ind w:firstLine="420"/>
      </w:pPr>
    </w:p>
    <w:p>
      <w:pPr>
        <w:pStyle w:val="57"/>
        <w:ind w:firstLine="0" w:firstLineChars="0"/>
      </w:pPr>
    </w:p>
    <w:p>
      <w:pPr>
        <w:pStyle w:val="57"/>
        <w:ind w:firstLine="420"/>
      </w:pPr>
    </w:p>
    <w:p>
      <w:pPr>
        <w:pStyle w:val="57"/>
        <w:ind w:firstLine="420"/>
      </w:pPr>
    </w:p>
    <w:p>
      <w:pPr>
        <w:pStyle w:val="57"/>
        <w:ind w:firstLine="420"/>
      </w:pPr>
    </w:p>
    <w:p>
      <w:pPr>
        <w:pStyle w:val="57"/>
        <w:ind w:firstLine="420"/>
      </w:pPr>
    </w:p>
    <w:p>
      <w:pPr>
        <w:pStyle w:val="57"/>
        <w:ind w:firstLine="0" w:firstLineChars="0"/>
      </w:pPr>
    </w:p>
    <w:p>
      <w:pPr>
        <w:pStyle w:val="57"/>
        <w:ind w:firstLine="0" w:firstLineChars="0"/>
      </w:pPr>
    </w:p>
    <w:p>
      <w:pPr>
        <w:pStyle w:val="115"/>
        <w:spacing w:before="156" w:after="156"/>
      </w:pPr>
      <w:r>
        <w:rPr>
          <w:rFonts w:hint="eastAsia"/>
        </w:rPr>
        <w:t>“小莲宝乐园”标志</w:t>
      </w:r>
    </w:p>
    <w:p>
      <w:pPr>
        <w:pStyle w:val="163"/>
        <w:ind w:left="0"/>
      </w:pPr>
      <w:r>
        <w:rPr>
          <w:rFonts w:hint="eastAsia"/>
        </w:rPr>
        <w:t>应在醒目位置设置《托育角使用温馨提示》，样式见图2。</w:t>
      </w:r>
    </w:p>
    <w:p>
      <w:pPr>
        <w:pStyle w:val="163"/>
        <w:numPr>
          <w:ilvl w:val="2"/>
          <w:numId w:val="0"/>
        </w:numPr>
      </w:pPr>
    </w:p>
    <w:p>
      <w:pPr>
        <w:pStyle w:val="163"/>
        <w:numPr>
          <w:ilvl w:val="2"/>
          <w:numId w:val="0"/>
        </w:numPr>
      </w:pPr>
      <w:r>
        <w:rPr>
          <w:rFonts w:hint="eastAsia"/>
        </w:rPr>
        <w:drawing>
          <wp:anchor distT="0" distB="0" distL="114300" distR="114300" simplePos="0" relativeHeight="251662336" behindDoc="1" locked="0" layoutInCell="1" allowOverlap="1">
            <wp:simplePos x="0" y="0"/>
            <wp:positionH relativeFrom="margin">
              <wp:posOffset>1346200</wp:posOffset>
            </wp:positionH>
            <wp:positionV relativeFrom="paragraph">
              <wp:posOffset>64770</wp:posOffset>
            </wp:positionV>
            <wp:extent cx="3067685" cy="2162810"/>
            <wp:effectExtent l="0" t="0" r="0" b="8890"/>
            <wp:wrapTight wrapText="bothSides">
              <wp:wrapPolygon>
                <wp:start x="0" y="0"/>
                <wp:lineTo x="0" y="21499"/>
                <wp:lineTo x="21461" y="21499"/>
                <wp:lineTo x="21461" y="0"/>
                <wp:lineTo x="0" y="0"/>
              </wp:wrapPolygon>
            </wp:wrapTight>
            <wp:docPr id="2" name="图片 2" descr="9b03a921e5c383c6fe264c5048341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03a921e5c383c6fe264c50483411e"/>
                    <pic:cNvPicPr>
                      <a:picLocks noChangeAspect="1"/>
                    </pic:cNvPicPr>
                  </pic:nvPicPr>
                  <pic:blipFill>
                    <a:blip r:embed="rId14"/>
                    <a:stretch>
                      <a:fillRect/>
                    </a:stretch>
                  </pic:blipFill>
                  <pic:spPr>
                    <a:xfrm>
                      <a:off x="0" y="0"/>
                      <a:ext cx="3067685" cy="2162810"/>
                    </a:xfrm>
                    <a:prstGeom prst="rect">
                      <a:avLst/>
                    </a:prstGeom>
                  </pic:spPr>
                </pic:pic>
              </a:graphicData>
            </a:graphic>
          </wp:anchor>
        </w:drawing>
      </w: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15"/>
        <w:spacing w:before="156" w:after="156"/>
      </w:pPr>
      <w:r>
        <w:rPr>
          <w:rFonts w:hint="eastAsia"/>
        </w:rPr>
        <w:t xml:space="preserve"> “温馨提示”样式</w:t>
      </w:r>
    </w:p>
    <w:bookmarkEnd w:id="22"/>
    <w:p>
      <w:pPr>
        <w:pStyle w:val="57"/>
        <w:ind w:firstLine="0" w:firstLineChars="0"/>
        <w:jc w:val="center"/>
      </w:pPr>
      <w:bookmarkStart w:id="44"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stretch>
                      <a:fillRect/>
                    </a:stretch>
                  </pic:blipFill>
                  <pic:spPr>
                    <a:xfrm>
                      <a:off x="0" y="0"/>
                      <a:ext cx="1485900" cy="317500"/>
                    </a:xfrm>
                    <a:prstGeom prst="rect">
                      <a:avLst/>
                    </a:prstGeom>
                  </pic:spPr>
                </pic:pic>
              </a:graphicData>
            </a:graphic>
          </wp:inline>
        </w:drawing>
      </w:r>
      <w:bookmarkEnd w:id="44"/>
    </w:p>
    <w:sectPr>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DJG 331102/T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DJG 331102/T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color w:val="auto"/>
        <w:sz w:val="21"/>
      </w:rPr>
    </w:lvl>
    <w:lvl w:ilvl="2" w:tentative="0">
      <w:start w:val="1"/>
      <w:numFmt w:val="decimal"/>
      <w:pStyle w:val="106"/>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568"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EF"/>
    <w:rsid w:val="0000040A"/>
    <w:rsid w:val="00000A94"/>
    <w:rsid w:val="00001972"/>
    <w:rsid w:val="00001D9A"/>
    <w:rsid w:val="00007B3A"/>
    <w:rsid w:val="00007BE5"/>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3D3E"/>
    <w:rsid w:val="00086AA1"/>
    <w:rsid w:val="00087A77"/>
    <w:rsid w:val="00090CA6"/>
    <w:rsid w:val="00092B8A"/>
    <w:rsid w:val="00092FB0"/>
    <w:rsid w:val="000934C5"/>
    <w:rsid w:val="00093D25"/>
    <w:rsid w:val="00093DAB"/>
    <w:rsid w:val="00094D73"/>
    <w:rsid w:val="00096D63"/>
    <w:rsid w:val="000976EA"/>
    <w:rsid w:val="000A0B60"/>
    <w:rsid w:val="000A0EB8"/>
    <w:rsid w:val="000A12B3"/>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4E94"/>
    <w:rsid w:val="001260B7"/>
    <w:rsid w:val="001262EF"/>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62D"/>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141"/>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61E"/>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76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F8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168"/>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C1D"/>
    <w:rsid w:val="003B09AD"/>
    <w:rsid w:val="003B1F18"/>
    <w:rsid w:val="003B5BF0"/>
    <w:rsid w:val="003B60BF"/>
    <w:rsid w:val="003B6BE3"/>
    <w:rsid w:val="003C010C"/>
    <w:rsid w:val="003C0A6C"/>
    <w:rsid w:val="003C14F8"/>
    <w:rsid w:val="003C5A43"/>
    <w:rsid w:val="003D0519"/>
    <w:rsid w:val="003D0FF6"/>
    <w:rsid w:val="003D262C"/>
    <w:rsid w:val="003D4FF4"/>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74B"/>
    <w:rsid w:val="00400E72"/>
    <w:rsid w:val="00401400"/>
    <w:rsid w:val="00404869"/>
    <w:rsid w:val="00405884"/>
    <w:rsid w:val="00407D39"/>
    <w:rsid w:val="0041301E"/>
    <w:rsid w:val="0041477A"/>
    <w:rsid w:val="004167A3"/>
    <w:rsid w:val="00432DAA"/>
    <w:rsid w:val="00434305"/>
    <w:rsid w:val="00435DF7"/>
    <w:rsid w:val="0044083F"/>
    <w:rsid w:val="00441AE7"/>
    <w:rsid w:val="00441BFB"/>
    <w:rsid w:val="00445574"/>
    <w:rsid w:val="004467FB"/>
    <w:rsid w:val="00452D6B"/>
    <w:rsid w:val="00454484"/>
    <w:rsid w:val="0045517B"/>
    <w:rsid w:val="00463B77"/>
    <w:rsid w:val="00463C7B"/>
    <w:rsid w:val="004644A6"/>
    <w:rsid w:val="004659BD"/>
    <w:rsid w:val="00470775"/>
    <w:rsid w:val="004746B1"/>
    <w:rsid w:val="0047583F"/>
    <w:rsid w:val="00475DE8"/>
    <w:rsid w:val="00477A97"/>
    <w:rsid w:val="00481C44"/>
    <w:rsid w:val="00484936"/>
    <w:rsid w:val="00485C89"/>
    <w:rsid w:val="00486BE3"/>
    <w:rsid w:val="004905E4"/>
    <w:rsid w:val="00490A89"/>
    <w:rsid w:val="00490AB4"/>
    <w:rsid w:val="00492F02"/>
    <w:rsid w:val="004939AE"/>
    <w:rsid w:val="004A12DF"/>
    <w:rsid w:val="004A17E6"/>
    <w:rsid w:val="004A1BA8"/>
    <w:rsid w:val="004A4B57"/>
    <w:rsid w:val="004A5FB9"/>
    <w:rsid w:val="004A63FA"/>
    <w:rsid w:val="004B0272"/>
    <w:rsid w:val="004B1000"/>
    <w:rsid w:val="004B2701"/>
    <w:rsid w:val="004B2E1B"/>
    <w:rsid w:val="004B3AA8"/>
    <w:rsid w:val="004B3E93"/>
    <w:rsid w:val="004B6F88"/>
    <w:rsid w:val="004C1F31"/>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4EB8"/>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1CC"/>
    <w:rsid w:val="005602FB"/>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4E4A"/>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D2B"/>
    <w:rsid w:val="006640E5"/>
    <w:rsid w:val="0066465B"/>
    <w:rsid w:val="006646F1"/>
    <w:rsid w:val="0066489D"/>
    <w:rsid w:val="00664929"/>
    <w:rsid w:val="00664F62"/>
    <w:rsid w:val="006655E1"/>
    <w:rsid w:val="00672060"/>
    <w:rsid w:val="00672BFD"/>
    <w:rsid w:val="006770F4"/>
    <w:rsid w:val="00677A84"/>
    <w:rsid w:val="0068026D"/>
    <w:rsid w:val="00680A27"/>
    <w:rsid w:val="006816A4"/>
    <w:rsid w:val="006819B8"/>
    <w:rsid w:val="00682521"/>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24FA"/>
    <w:rsid w:val="006D3E96"/>
    <w:rsid w:val="006D4515"/>
    <w:rsid w:val="006D4BB1"/>
    <w:rsid w:val="006D6593"/>
    <w:rsid w:val="006E23EA"/>
    <w:rsid w:val="006F03A8"/>
    <w:rsid w:val="006F2ACA"/>
    <w:rsid w:val="006F2ADC"/>
    <w:rsid w:val="006F2BFE"/>
    <w:rsid w:val="006F31E9"/>
    <w:rsid w:val="006F6284"/>
    <w:rsid w:val="006F7EC4"/>
    <w:rsid w:val="007002C5"/>
    <w:rsid w:val="00704387"/>
    <w:rsid w:val="00707669"/>
    <w:rsid w:val="00711CBA"/>
    <w:rsid w:val="00711FB5"/>
    <w:rsid w:val="00712A01"/>
    <w:rsid w:val="00713389"/>
    <w:rsid w:val="00714F58"/>
    <w:rsid w:val="00722FBF"/>
    <w:rsid w:val="00722FC2"/>
    <w:rsid w:val="007230A7"/>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5F0"/>
    <w:rsid w:val="007959E8"/>
    <w:rsid w:val="00795E9C"/>
    <w:rsid w:val="007A0521"/>
    <w:rsid w:val="007A0B20"/>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756"/>
    <w:rsid w:val="007D06C4"/>
    <w:rsid w:val="007D1352"/>
    <w:rsid w:val="007D1D27"/>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FAB"/>
    <w:rsid w:val="0083348C"/>
    <w:rsid w:val="00833C17"/>
    <w:rsid w:val="008373D3"/>
    <w:rsid w:val="00840617"/>
    <w:rsid w:val="00840F84"/>
    <w:rsid w:val="00842A47"/>
    <w:rsid w:val="00843C13"/>
    <w:rsid w:val="008454F8"/>
    <w:rsid w:val="00850885"/>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6BE"/>
    <w:rsid w:val="0089049D"/>
    <w:rsid w:val="00890D33"/>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D5A"/>
    <w:rsid w:val="008E2319"/>
    <w:rsid w:val="008E4BB6"/>
    <w:rsid w:val="008E5518"/>
    <w:rsid w:val="008E6A84"/>
    <w:rsid w:val="008F0CDC"/>
    <w:rsid w:val="008F17A3"/>
    <w:rsid w:val="008F1ED3"/>
    <w:rsid w:val="008F23A5"/>
    <w:rsid w:val="008F4C29"/>
    <w:rsid w:val="008F53E3"/>
    <w:rsid w:val="008F70BD"/>
    <w:rsid w:val="008F788F"/>
    <w:rsid w:val="008F7EA2"/>
    <w:rsid w:val="00902722"/>
    <w:rsid w:val="009027BC"/>
    <w:rsid w:val="00903E6C"/>
    <w:rsid w:val="009062E6"/>
    <w:rsid w:val="00911BE5"/>
    <w:rsid w:val="00913CA9"/>
    <w:rsid w:val="009145AE"/>
    <w:rsid w:val="009146CE"/>
    <w:rsid w:val="00914CA7"/>
    <w:rsid w:val="00915C3E"/>
    <w:rsid w:val="009161A8"/>
    <w:rsid w:val="009245F5"/>
    <w:rsid w:val="009249EC"/>
    <w:rsid w:val="009273B3"/>
    <w:rsid w:val="009305B5"/>
    <w:rsid w:val="00932FD1"/>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B0A"/>
    <w:rsid w:val="009B46F9"/>
    <w:rsid w:val="009B6029"/>
    <w:rsid w:val="009B6971"/>
    <w:rsid w:val="009C27F1"/>
    <w:rsid w:val="009C3152"/>
    <w:rsid w:val="009C4CFA"/>
    <w:rsid w:val="009C5070"/>
    <w:rsid w:val="009D112C"/>
    <w:rsid w:val="009D350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4A2"/>
    <w:rsid w:val="00A648CD"/>
    <w:rsid w:val="00A6537A"/>
    <w:rsid w:val="00A67866"/>
    <w:rsid w:val="00A70B07"/>
    <w:rsid w:val="00A70C3B"/>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5EF"/>
    <w:rsid w:val="00B049AF"/>
    <w:rsid w:val="00B07242"/>
    <w:rsid w:val="00B10534"/>
    <w:rsid w:val="00B113DB"/>
    <w:rsid w:val="00B11D8A"/>
    <w:rsid w:val="00B12981"/>
    <w:rsid w:val="00B147DD"/>
    <w:rsid w:val="00B156FD"/>
    <w:rsid w:val="00B21F61"/>
    <w:rsid w:val="00B261F1"/>
    <w:rsid w:val="00B265BC"/>
    <w:rsid w:val="00B27D9E"/>
    <w:rsid w:val="00B31CA2"/>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0E1"/>
    <w:rsid w:val="00BB5A0E"/>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334"/>
    <w:rsid w:val="00C22997"/>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3D84"/>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96F"/>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4FE"/>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982"/>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3CE"/>
    <w:rsid w:val="00E9311F"/>
    <w:rsid w:val="00E934D1"/>
    <w:rsid w:val="00E94AF0"/>
    <w:rsid w:val="00E94DB1"/>
    <w:rsid w:val="00E95D13"/>
    <w:rsid w:val="00E95DD3"/>
    <w:rsid w:val="00E969D5"/>
    <w:rsid w:val="00EA58D1"/>
    <w:rsid w:val="00EA61BC"/>
    <w:rsid w:val="00EA681A"/>
    <w:rsid w:val="00EA735B"/>
    <w:rsid w:val="00EB17DE"/>
    <w:rsid w:val="00EB1E69"/>
    <w:rsid w:val="00EB2086"/>
    <w:rsid w:val="00EB29CA"/>
    <w:rsid w:val="00EB5EDF"/>
    <w:rsid w:val="00EB60FE"/>
    <w:rsid w:val="00EB74DB"/>
    <w:rsid w:val="00EC5359"/>
    <w:rsid w:val="00EC562A"/>
    <w:rsid w:val="00ED067A"/>
    <w:rsid w:val="00ED2B50"/>
    <w:rsid w:val="00EE0350"/>
    <w:rsid w:val="00EE0719"/>
    <w:rsid w:val="00EE0E80"/>
    <w:rsid w:val="00EE15C2"/>
    <w:rsid w:val="00EE54A6"/>
    <w:rsid w:val="00EE613F"/>
    <w:rsid w:val="00EE7295"/>
    <w:rsid w:val="00EE7869"/>
    <w:rsid w:val="00EF054A"/>
    <w:rsid w:val="00EF2EF1"/>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BEE"/>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CF6"/>
    <w:rsid w:val="00FD7299"/>
    <w:rsid w:val="00FE1FBE"/>
    <w:rsid w:val="00FE3901"/>
    <w:rsid w:val="00FE39D3"/>
    <w:rsid w:val="00FE4BCE"/>
    <w:rsid w:val="00FE54AE"/>
    <w:rsid w:val="00FE576A"/>
    <w:rsid w:val="00FE7E79"/>
    <w:rsid w:val="00FF3E7D"/>
    <w:rsid w:val="00FF5B99"/>
    <w:rsid w:val="00FF730C"/>
    <w:rsid w:val="00FF73F4"/>
    <w:rsid w:val="00FF7CE4"/>
    <w:rsid w:val="00FF7E39"/>
    <w:rsid w:val="053066A7"/>
    <w:rsid w:val="0B7B31C6"/>
    <w:rsid w:val="0C7264E8"/>
    <w:rsid w:val="0E276739"/>
    <w:rsid w:val="18C21275"/>
    <w:rsid w:val="1C3C61AD"/>
    <w:rsid w:val="208035FC"/>
    <w:rsid w:val="28691E34"/>
    <w:rsid w:val="31D50A76"/>
    <w:rsid w:val="31F34F8E"/>
    <w:rsid w:val="34A675AC"/>
    <w:rsid w:val="381239C3"/>
    <w:rsid w:val="3AFF4961"/>
    <w:rsid w:val="40D437CD"/>
    <w:rsid w:val="45565F01"/>
    <w:rsid w:val="4CE000F5"/>
    <w:rsid w:val="4F7511E5"/>
    <w:rsid w:val="51FC1B3B"/>
    <w:rsid w:val="59EA033C"/>
    <w:rsid w:val="5FAB4A8E"/>
    <w:rsid w:val="615D1386"/>
    <w:rsid w:val="66106ECE"/>
    <w:rsid w:val="668E7A2F"/>
    <w:rsid w:val="67B75A4A"/>
    <w:rsid w:val="6E91668F"/>
    <w:rsid w:val="6EA41E9B"/>
    <w:rsid w:val="6EAA0BA7"/>
    <w:rsid w:val="6FF904AA"/>
    <w:rsid w:val="7C2E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spacing w:beforeAutospacing="1" w:afterAutospacing="1"/>
      <w:jc w:val="left"/>
    </w:pPr>
    <w:rPr>
      <w:rFonts w:ascii="Times New Roman" w:hAnsi="Times New Roman" w:eastAsia="仿宋_GB2312"/>
      <w:kern w:val="0"/>
      <w:sz w:val="24"/>
      <w:szCs w:val="28"/>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ind w:left="284"/>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D9EB2EFEAC4569821534CD5CB1B483"/>
        <w:style w:val=""/>
        <w:category>
          <w:name w:val="常规"/>
          <w:gallery w:val="placeholder"/>
        </w:category>
        <w:types>
          <w:type w:val="bbPlcHdr"/>
        </w:types>
        <w:behaviors>
          <w:behavior w:val="content"/>
        </w:behaviors>
        <w:description w:val=""/>
        <w:guid w:val="{7F4DA3CA-94D9-45BB-8E91-1A6E64F99DEB}"/>
      </w:docPartPr>
      <w:docPartBody>
        <w:p>
          <w:pPr>
            <w:pStyle w:val="5"/>
          </w:pPr>
          <w:r>
            <w:rPr>
              <w:rStyle w:val="4"/>
              <w:rFonts w:hint="eastAsia"/>
            </w:rPr>
            <w:t>单击或点击此处输入文字。</w:t>
          </w:r>
        </w:p>
      </w:docPartBody>
    </w:docPart>
    <w:docPart>
      <w:docPartPr>
        <w:name w:val="89602F7596634ADDBF48223880F278D9"/>
        <w:style w:val=""/>
        <w:category>
          <w:name w:val="常规"/>
          <w:gallery w:val="placeholder"/>
        </w:category>
        <w:types>
          <w:type w:val="bbPlcHdr"/>
        </w:types>
        <w:behaviors>
          <w:behavior w:val="content"/>
        </w:behaviors>
        <w:description w:val=""/>
        <w:guid w:val="{AE4EEE9A-2EE8-431C-AE1E-8F0C760D7F42}"/>
      </w:docPartPr>
      <w:docPartBody>
        <w:p>
          <w:pPr>
            <w:pStyle w:val="6"/>
          </w:pPr>
          <w:r>
            <w:rPr>
              <w:rStyle w:val="4"/>
              <w:rFonts w:hint="eastAsia"/>
            </w:rPr>
            <w:t>选择一项。</w:t>
          </w:r>
        </w:p>
      </w:docPartBody>
    </w:docPart>
    <w:docPart>
      <w:docPartPr>
        <w:name w:val="609D487A51A84F378EBA222CE0DCF7A7"/>
        <w:style w:val=""/>
        <w:category>
          <w:name w:val="常规"/>
          <w:gallery w:val="placeholder"/>
        </w:category>
        <w:types>
          <w:type w:val="bbPlcHdr"/>
        </w:types>
        <w:behaviors>
          <w:behavior w:val="content"/>
        </w:behaviors>
        <w:description w:val=""/>
        <w:guid w:val="{EF19241D-0ED9-4C00-BD10-5BE3575DD7A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51"/>
    <w:rsid w:val="00330C58"/>
    <w:rsid w:val="004247BA"/>
    <w:rsid w:val="00451251"/>
    <w:rsid w:val="0045420A"/>
    <w:rsid w:val="00457CA5"/>
    <w:rsid w:val="00473E67"/>
    <w:rsid w:val="00474DD1"/>
    <w:rsid w:val="0051647F"/>
    <w:rsid w:val="00525D97"/>
    <w:rsid w:val="00554CE8"/>
    <w:rsid w:val="006B25FC"/>
    <w:rsid w:val="008E01A0"/>
    <w:rsid w:val="00A938ED"/>
    <w:rsid w:val="00B94DA5"/>
    <w:rsid w:val="00C74BC2"/>
    <w:rsid w:val="00C83C2E"/>
    <w:rsid w:val="00D64877"/>
    <w:rsid w:val="00DA5644"/>
    <w:rsid w:val="00E21480"/>
    <w:rsid w:val="00E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CD9EB2EFEAC4569821534CD5CB1B4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9602F7596634ADDBF48223880F278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09D487A51A84F378EBA222CE0DCF7A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54095-C38C-4260-9A42-AF0E9E383A3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Pages>
  <Words>318</Words>
  <Characters>1814</Characters>
  <Lines>15</Lines>
  <Paragraphs>4</Paragraphs>
  <TotalTime>18</TotalTime>
  <ScaleCrop>false</ScaleCrop>
  <LinksUpToDate>false</LinksUpToDate>
  <CharactersWithSpaces>2128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2024-11-29T03:50:00Z</dcterms:created>
  <dc:creator>lenovo</dc:creator>
  <dc:description>&lt;config cover="true" show_menu="true" version="1.0.0" doctype="SDKXY"&gt;_x000d_
&lt;/config&gt;</dc:description>
  <cp:lastModifiedBy>Eo Heom</cp:lastModifiedBy>
  <cp:lastPrinted>2020-08-30T10:00:00Z</cp:lastPrinted>
  <dcterms:modified xsi:type="dcterms:W3CDTF">2024-12-04T03:42:47Z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