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textAlignment w:val="top"/>
        <w:rPr>
          <w:rFonts w:hint="eastAsia" w:ascii="方正小标宋简体" w:hAnsi="方正小标宋简体" w:eastAsia="方正小标宋简体" w:cs="方正小标宋简体"/>
          <w:b w:val="0"/>
          <w:bCs w:val="0"/>
          <w:color w:val="auto"/>
          <w:kern w:val="0"/>
          <w:sz w:val="28"/>
          <w:szCs w:val="28"/>
          <w:highlight w:val="none"/>
          <w:lang w:val="en-US" w:eastAsia="zh-CN"/>
        </w:rPr>
      </w:pPr>
      <w:r>
        <w:rPr>
          <w:rFonts w:hint="eastAsia" w:ascii="方正小标宋简体" w:hAnsi="方正小标宋简体" w:eastAsia="方正小标宋简体" w:cs="方正小标宋简体"/>
          <w:b w:val="0"/>
          <w:bCs w:val="0"/>
          <w:color w:val="auto"/>
          <w:kern w:val="0"/>
          <w:sz w:val="28"/>
          <w:szCs w:val="28"/>
          <w:highlight w:val="none"/>
          <w:lang w:val="en-US" w:eastAsia="zh-CN"/>
        </w:rPr>
        <w:t>浙江省体育领域行政处罚裁量基准</w:t>
      </w:r>
      <w:r>
        <w:rPr>
          <w:rFonts w:hint="eastAsia" w:ascii="方正小标宋简体" w:hAnsi="方正小标宋简体" w:eastAsia="方正小标宋简体" w:cs="方正小标宋简体"/>
          <w:b w:val="0"/>
          <w:bCs w:val="0"/>
          <w:color w:val="auto"/>
          <w:kern w:val="0"/>
          <w:sz w:val="28"/>
          <w:szCs w:val="28"/>
          <w:highlight w:val="none"/>
          <w:lang w:val="en-US" w:eastAsia="zh-CN"/>
        </w:rPr>
        <w:t>实施细则（征求意见稿）</w:t>
      </w:r>
      <w:bookmarkStart w:id="0" w:name="_GoBack"/>
      <w:bookmarkEnd w:id="0"/>
    </w:p>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一、经营</w:t>
      </w:r>
      <w:r>
        <w:rPr>
          <w:rFonts w:hint="eastAsia" w:ascii="黑体" w:hAnsi="黑体" w:eastAsia="黑体" w:cs="黑体"/>
          <w:b w:val="0"/>
          <w:bCs w:val="0"/>
          <w:color w:val="auto"/>
          <w:kern w:val="0"/>
          <w:sz w:val="21"/>
          <w:szCs w:val="21"/>
          <w:highlight w:val="none"/>
        </w:rPr>
        <w:t>体育项目</w:t>
      </w:r>
      <w:r>
        <w:rPr>
          <w:rFonts w:hint="eastAsia" w:ascii="黑体" w:hAnsi="黑体" w:eastAsia="黑体" w:cs="黑体"/>
          <w:b w:val="0"/>
          <w:bCs w:val="0"/>
          <w:color w:val="auto"/>
          <w:kern w:val="0"/>
          <w:sz w:val="21"/>
          <w:szCs w:val="21"/>
          <w:highlight w:val="none"/>
          <w:lang w:val="en-US" w:eastAsia="zh-CN"/>
        </w:rPr>
        <w:t>类（8项）</w:t>
      </w:r>
    </w:p>
    <w:p>
      <w:pPr>
        <w:numPr>
          <w:ilvl w:val="0"/>
          <w:numId w:val="0"/>
        </w:numPr>
        <w:spacing w:line="240" w:lineRule="auto"/>
        <w:rPr>
          <w:rFonts w:hint="eastAsia" w:ascii="宋体" w:hAnsi="宋体" w:eastAsia="宋体" w:cs="宋体"/>
          <w:b/>
          <w:bCs/>
          <w:color w:val="auto"/>
          <w:kern w:val="0"/>
          <w:sz w:val="21"/>
          <w:szCs w:val="21"/>
          <w:highlight w:val="none"/>
          <w:lang w:val="en-US" w:eastAsia="zh-CN"/>
        </w:rPr>
      </w:pPr>
    </w:p>
    <w:tbl>
      <w:tblPr>
        <w:tblStyle w:val="4"/>
        <w:tblpPr w:leftFromText="180" w:rightFromText="180" w:vertAnchor="text" w:horzAnchor="page" w:tblpX="696" w:tblpY="1"/>
        <w:tblOverlap w:val="never"/>
        <w:tblW w:w="4999" w:type="pct"/>
        <w:tblInd w:w="0" w:type="dxa"/>
        <w:tblLayout w:type="autofit"/>
        <w:tblCellMar>
          <w:top w:w="15" w:type="dxa"/>
          <w:left w:w="15" w:type="dxa"/>
          <w:bottom w:w="15" w:type="dxa"/>
          <w:right w:w="15" w:type="dxa"/>
        </w:tblCellMar>
      </w:tblPr>
      <w:tblGrid>
        <w:gridCol w:w="241"/>
        <w:gridCol w:w="1305"/>
        <w:gridCol w:w="3799"/>
        <w:gridCol w:w="2805"/>
        <w:gridCol w:w="731"/>
        <w:gridCol w:w="3772"/>
        <w:gridCol w:w="2772"/>
      </w:tblGrid>
      <w:tr>
        <w:tblPrEx>
          <w:tblCellMar>
            <w:top w:w="15" w:type="dxa"/>
            <w:left w:w="15" w:type="dxa"/>
            <w:bottom w:w="15" w:type="dxa"/>
            <w:right w:w="15" w:type="dxa"/>
          </w:tblCellMar>
        </w:tblPrEx>
        <w:trPr>
          <w:trHeight w:val="419" w:hRule="atLeast"/>
        </w:trPr>
        <w:tc>
          <w:tcPr>
            <w:tcW w:w="78"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序号</w:t>
            </w:r>
          </w:p>
        </w:tc>
        <w:tc>
          <w:tcPr>
            <w:tcW w:w="423"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事项名称</w:t>
            </w:r>
          </w:p>
        </w:tc>
        <w:tc>
          <w:tcPr>
            <w:tcW w:w="2140" w:type="pct"/>
            <w:gridSpan w:val="2"/>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法律依据</w:t>
            </w:r>
          </w:p>
        </w:tc>
        <w:tc>
          <w:tcPr>
            <w:tcW w:w="237"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裁量</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阶次</w:t>
            </w:r>
          </w:p>
        </w:tc>
        <w:tc>
          <w:tcPr>
            <w:tcW w:w="1222"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适用条件</w:t>
            </w:r>
          </w:p>
        </w:tc>
        <w:tc>
          <w:tcPr>
            <w:tcW w:w="898"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处罚标准</w:t>
            </w:r>
          </w:p>
        </w:tc>
      </w:tr>
      <w:tr>
        <w:tblPrEx>
          <w:tblCellMar>
            <w:top w:w="15" w:type="dxa"/>
            <w:left w:w="15" w:type="dxa"/>
            <w:bottom w:w="15" w:type="dxa"/>
            <w:right w:w="15" w:type="dxa"/>
          </w:tblCellMar>
        </w:tblPrEx>
        <w:trPr>
          <w:trHeight w:val="448" w:hRule="atLeast"/>
        </w:trPr>
        <w:tc>
          <w:tcPr>
            <w:tcW w:w="78"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tcBorders>
              <w:top w:val="single" w:color="auto" w:sz="4" w:space="0"/>
              <w:left w:val="single" w:color="auto" w:sz="4" w:space="0"/>
              <w:right w:val="single" w:color="auto" w:sz="4" w:space="0"/>
            </w:tcBorders>
            <w:shd w:val="clear" w:color="auto" w:fill="D7D7D7" w:themeFill="background1" w:themeFillShade="D8"/>
            <w:noWrap w:val="0"/>
            <w:vAlign w:val="center"/>
          </w:tcPr>
          <w:p>
            <w:pPr>
              <w:spacing w:line="24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违法依据</w:t>
            </w:r>
          </w:p>
        </w:tc>
        <w:tc>
          <w:tcPr>
            <w:tcW w:w="908" w:type="pct"/>
            <w:tcBorders>
              <w:top w:val="single" w:color="auto" w:sz="4" w:space="0"/>
              <w:left w:val="single" w:color="auto" w:sz="4" w:space="0"/>
              <w:right w:val="single" w:color="auto" w:sz="4" w:space="0"/>
            </w:tcBorders>
            <w:shd w:val="clear" w:color="auto" w:fill="D7D7D7" w:themeFill="background1" w:themeFillShade="D8"/>
            <w:noWrap w:val="0"/>
            <w:vAlign w:val="center"/>
          </w:tcPr>
          <w:p>
            <w:pPr>
              <w:spacing w:line="240" w:lineRule="auto"/>
              <w:ind w:firstLine="210" w:firstLineChars="10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处罚依据</w:t>
            </w:r>
          </w:p>
        </w:tc>
        <w:tc>
          <w:tcPr>
            <w:tcW w:w="237"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1222" w:type="pct"/>
            <w:vMerge w:val="continue"/>
            <w:tcBorders>
              <w:left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p>
        </w:tc>
        <w:tc>
          <w:tcPr>
            <w:tcW w:w="89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1608"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1</w:t>
            </w:r>
          </w:p>
        </w:tc>
        <w:tc>
          <w:tcPr>
            <w:tcW w:w="423"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对未经批准擅自经营高危险性体育项目的行政处罚</w:t>
            </w:r>
          </w:p>
        </w:tc>
        <w:tc>
          <w:tcPr>
            <w:tcW w:w="1231"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第一百零五条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经营高危险性体育项目，应当符合下列条件，并向县级以上地方人民政府体育行政部门提出申请：</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（一）相关体育设施符合国家标准；</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（二）具有达到规定数量的取得相应国家职业资格证书或者职业技能等级证书的社会体育指导人员和救助人员；</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（三）具有相应的安全保障、应急救援制度和措施。</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县级以上地方人民政府体育行政部门应当自收到申请之日起三十日内进行实地核查，并作出批准或者不予批准的决定。予以批准的，应当发给许可证；不予批准的，应当书面通知申请人并说明理由。</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　国务院体育行政部门会同有关部门制定、调整高危险性体育项目目录并予以公布。</w:t>
            </w:r>
          </w:p>
        </w:tc>
        <w:tc>
          <w:tcPr>
            <w:tcW w:w="90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第一百一十六条　</w:t>
            </w:r>
            <w:r>
              <w:rPr>
                <w:rFonts w:hint="eastAsia" w:ascii="宋体" w:hAnsi="宋体" w:eastAsia="宋体" w:cs="宋体"/>
                <w:color w:val="auto"/>
                <w:sz w:val="21"/>
                <w:szCs w:val="21"/>
                <w:highlight w:val="none"/>
                <w:vertAlign w:val="baseline"/>
                <w:lang w:val="en-US" w:eastAsia="zh-CN"/>
              </w:rPr>
              <w:t>第一款</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未经许可经营高危险性体育项目的，由县级以上地方人民政府体育行政部门会同有关部门责令限期关闭；逾期未关闭的，处十万元以上五十万元以下的罚款；有违法所得的，没收违法所得。</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逾期3日（含）内关闭的</w:t>
            </w:r>
            <w:r>
              <w:rPr>
                <w:rFonts w:hint="eastAsia" w:ascii="宋体" w:hAnsi="宋体" w:eastAsia="宋体" w:cs="宋体"/>
                <w:color w:val="auto"/>
                <w:kern w:val="0"/>
                <w:sz w:val="21"/>
                <w:szCs w:val="21"/>
                <w:highlight w:val="none"/>
                <w:lang w:eastAsia="zh-CN"/>
              </w:rPr>
              <w:t>。</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并处10万元至22万元（含）的罚款</w:t>
            </w:r>
            <w:r>
              <w:rPr>
                <w:rFonts w:hint="eastAsia" w:ascii="宋体" w:hAnsi="宋体" w:eastAsia="宋体" w:cs="宋体"/>
                <w:color w:val="auto"/>
                <w:kern w:val="0"/>
                <w:sz w:val="21"/>
                <w:szCs w:val="21"/>
                <w:highlight w:val="none"/>
              </w:rPr>
              <w:t>。</w:t>
            </w:r>
          </w:p>
        </w:tc>
      </w:tr>
      <w:tr>
        <w:tblPrEx>
          <w:tblCellMar>
            <w:top w:w="15" w:type="dxa"/>
            <w:left w:w="15" w:type="dxa"/>
            <w:bottom w:w="15" w:type="dxa"/>
            <w:right w:w="15" w:type="dxa"/>
          </w:tblCellMar>
        </w:tblPrEx>
        <w:trPr>
          <w:trHeight w:val="2188" w:hRule="atLeast"/>
        </w:trPr>
        <w:tc>
          <w:tcPr>
            <w:tcW w:w="78"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08" w:type="pct"/>
            <w:vMerge w:val="continue"/>
            <w:tcBorders>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关闭</w:t>
            </w:r>
            <w:r>
              <w:rPr>
                <w:rFonts w:hint="eastAsia" w:ascii="宋体" w:hAnsi="宋体" w:eastAsia="宋体" w:cs="宋体"/>
                <w:color w:val="auto"/>
                <w:kern w:val="0"/>
                <w:sz w:val="21"/>
                <w:szCs w:val="21"/>
                <w:highlight w:val="none"/>
                <w:lang w:val="en-US" w:eastAsia="zh-CN"/>
              </w:rPr>
              <w:t>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没收违法所得，并处</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（不含）至38</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3011"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08"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①拒不改正，或逾期超过7日未关闭的；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②实施同一违法行为3次及以上的；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③违法所得10万元及以上的；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④造成人身财产损害的；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⑤造成严重后果或恶劣影响的其他情形。</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有违法所得的，没收违法所得，并处</w:t>
            </w:r>
            <w:r>
              <w:rPr>
                <w:rFonts w:hint="eastAsia" w:ascii="宋体" w:hAnsi="宋体" w:eastAsia="宋体" w:cs="宋体"/>
                <w:color w:val="auto"/>
                <w:kern w:val="0"/>
                <w:sz w:val="21"/>
                <w:szCs w:val="21"/>
                <w:highlight w:val="none"/>
                <w:lang w:val="en-US" w:eastAsia="zh-CN"/>
              </w:rPr>
              <w:t>38</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（含）至50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1332"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2</w:t>
            </w:r>
          </w:p>
        </w:tc>
        <w:tc>
          <w:tcPr>
            <w:tcW w:w="423"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b w:val="0"/>
                <w:bCs w:val="0"/>
                <w:color w:val="auto"/>
                <w:sz w:val="21"/>
                <w:szCs w:val="21"/>
                <w:highlight w:val="none"/>
                <w:vertAlign w:val="baseline"/>
              </w:rPr>
              <w:t>违法经营高危险性体育项目的</w:t>
            </w:r>
            <w:r>
              <w:rPr>
                <w:rFonts w:hint="eastAsia" w:ascii="宋体" w:hAnsi="宋体" w:eastAsia="宋体" w:cs="宋体"/>
                <w:b w:val="0"/>
                <w:bCs w:val="0"/>
                <w:color w:val="auto"/>
                <w:sz w:val="21"/>
                <w:szCs w:val="21"/>
                <w:highlight w:val="none"/>
                <w:vertAlign w:val="baseline"/>
                <w:lang w:val="en-US" w:eastAsia="zh-CN"/>
              </w:rPr>
              <w:t>行政处罚</w:t>
            </w:r>
          </w:p>
        </w:tc>
        <w:tc>
          <w:tcPr>
            <w:tcW w:w="1231"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第一百零五条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经营高危险性体育项目，应当符合下列条件，并向县级以上地方人民政府体育行政部门提出申请：</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（一）相关体育设施符合国家标准；</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（二）具有达到规定数量的取得相应国家职业资格证书或者职业技能等级证书的社会体育指导人员和救助人员；</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（三）具有相应的安全保障、应急救援制度和措施。</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县级以上地方人民政府体育行政部门应当自收到申请之日起三十日内进行实地核查，并作出批准或者不予批准的决定。予以批准的，应当发给许可证；不予批准的，应当书面通知申请人并说明理由。</w:t>
            </w:r>
          </w:p>
          <w:p>
            <w:pPr>
              <w:widowControl/>
              <w:spacing w:line="240" w:lineRule="auto"/>
              <w:jc w:val="both"/>
              <w:textAlignment w:val="top"/>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国务院体育行政部门会同有关部门制定、调整高危险性体育项目目录并予以公布。</w:t>
            </w:r>
          </w:p>
        </w:tc>
        <w:tc>
          <w:tcPr>
            <w:tcW w:w="90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体育法 </w:t>
            </w: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第一百一十六条　</w:t>
            </w:r>
            <w:r>
              <w:rPr>
                <w:rFonts w:hint="eastAsia" w:ascii="宋体" w:hAnsi="宋体" w:eastAsia="宋体" w:cs="宋体"/>
                <w:color w:val="auto"/>
                <w:sz w:val="21"/>
                <w:szCs w:val="21"/>
                <w:highlight w:val="none"/>
                <w:vertAlign w:val="baseline"/>
                <w:lang w:val="en-US" w:eastAsia="zh-CN"/>
              </w:rPr>
              <w:t>第二款</w:t>
            </w:r>
          </w:p>
          <w:p>
            <w:pPr>
              <w:widowControl/>
              <w:spacing w:line="240" w:lineRule="auto"/>
              <w:ind w:firstLine="210" w:firstLineChars="100"/>
              <w:jc w:val="both"/>
              <w:textAlignment w:val="top"/>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逾期3日（含）内改正的。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并处5万元至18.5万元（含）的罚款</w:t>
            </w:r>
            <w:r>
              <w:rPr>
                <w:rFonts w:hint="eastAsia" w:ascii="宋体" w:hAnsi="宋体" w:eastAsia="宋体" w:cs="宋体"/>
                <w:color w:val="auto"/>
                <w:kern w:val="0"/>
                <w:sz w:val="21"/>
                <w:szCs w:val="21"/>
                <w:highlight w:val="none"/>
              </w:rPr>
              <w:t>。</w:t>
            </w:r>
          </w:p>
        </w:tc>
      </w:tr>
      <w:tr>
        <w:tblPrEx>
          <w:tblCellMar>
            <w:top w:w="15" w:type="dxa"/>
            <w:left w:w="15" w:type="dxa"/>
            <w:bottom w:w="15" w:type="dxa"/>
            <w:right w:w="15" w:type="dxa"/>
          </w:tblCellMar>
        </w:tblPrEx>
        <w:trPr>
          <w:trHeight w:val="1780"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231"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tc>
        <w:tc>
          <w:tcPr>
            <w:tcW w:w="90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逾期3日（不含）至7日（含）内改正的。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没收违法所得，并处</w:t>
            </w:r>
            <w:r>
              <w:rPr>
                <w:rFonts w:hint="eastAsia" w:ascii="宋体" w:hAnsi="宋体" w:eastAsia="宋体" w:cs="宋体"/>
                <w:color w:val="auto"/>
                <w:kern w:val="0"/>
                <w:sz w:val="21"/>
                <w:szCs w:val="21"/>
                <w:highlight w:val="none"/>
                <w:lang w:val="en-US" w:eastAsia="zh-CN"/>
              </w:rPr>
              <w:t>18.5</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（不含）至36.5</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3084"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231"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tc>
        <w:tc>
          <w:tcPr>
            <w:tcW w:w="90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①拒不改正，或逾期超过7日未改正的；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②实施同一违法行为3次及以上的；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③违法所得10万元及以上的；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④造成人身财产损害的；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⑤造成严重后果或恶劣影响的其他情形。</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责令关闭，吊销许可证照，五年内不得再从事该项目经营活动</w:t>
            </w:r>
            <w:r>
              <w:rPr>
                <w:rFonts w:hint="eastAsia" w:ascii="宋体" w:hAnsi="宋体" w:eastAsia="宋体" w:cs="宋体"/>
                <w:color w:val="auto"/>
                <w:kern w:val="0"/>
                <w:sz w:val="21"/>
                <w:szCs w:val="21"/>
                <w:highlight w:val="none"/>
              </w:rPr>
              <w:t>；有违法所得的，没收违法所得，并处</w:t>
            </w:r>
            <w:r>
              <w:rPr>
                <w:rFonts w:hint="eastAsia" w:ascii="宋体" w:hAnsi="宋体" w:eastAsia="宋体" w:cs="宋体"/>
                <w:color w:val="auto"/>
                <w:kern w:val="0"/>
                <w:sz w:val="21"/>
                <w:szCs w:val="21"/>
                <w:highlight w:val="none"/>
                <w:lang w:val="en-US" w:eastAsia="zh-CN"/>
              </w:rPr>
              <w:t>36.5</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（含）至50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1526"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w:t>
            </w:r>
          </w:p>
        </w:tc>
        <w:tc>
          <w:tcPr>
            <w:tcW w:w="423"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对高危险性体育项目经营者拒绝阻挠体育执法的行政处罚</w:t>
            </w:r>
          </w:p>
        </w:tc>
        <w:tc>
          <w:tcPr>
            <w:tcW w:w="1231"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经营高危险性体育项目许可管理办法 </w:t>
            </w: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第二十四条</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　经营者对体育执法人员依法履行监督检查职责，应当予以配合，不得拒绝、阻挠。</w:t>
            </w:r>
          </w:p>
        </w:tc>
        <w:tc>
          <w:tcPr>
            <w:tcW w:w="90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经营高危险性体育项目许可管理办法 第二十九条</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　违反本办法第二十四条规定，由县级以上地方人民政府体育主管部门责令改正，处3万元以下的罚款。</w:t>
            </w: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经批评教育，</w:t>
            </w:r>
            <w:r>
              <w:rPr>
                <w:rFonts w:hint="eastAsia" w:ascii="宋体" w:hAnsi="宋体" w:eastAsia="宋体" w:cs="宋体"/>
                <w:color w:val="auto"/>
                <w:sz w:val="21"/>
                <w:szCs w:val="21"/>
                <w:highlight w:val="none"/>
                <w:lang w:val="en-US" w:eastAsia="zh-CN"/>
              </w:rPr>
              <w:t>仍</w:t>
            </w:r>
            <w:r>
              <w:rPr>
                <w:rFonts w:hint="eastAsia" w:ascii="宋体" w:hAnsi="宋体" w:eastAsia="宋体" w:cs="宋体"/>
                <w:color w:val="auto"/>
                <w:kern w:val="0"/>
                <w:sz w:val="21"/>
                <w:szCs w:val="21"/>
                <w:highlight w:val="none"/>
                <w:lang w:val="en-US" w:eastAsia="zh-CN"/>
              </w:rPr>
              <w:t>拒绝、阻挠</w:t>
            </w:r>
            <w:r>
              <w:rPr>
                <w:rFonts w:hint="eastAsia" w:ascii="宋体" w:hAnsi="宋体" w:eastAsia="宋体" w:cs="宋体"/>
                <w:color w:val="auto"/>
                <w:kern w:val="0"/>
                <w:sz w:val="21"/>
                <w:szCs w:val="21"/>
                <w:highlight w:val="none"/>
              </w:rPr>
              <w:t>执法</w:t>
            </w:r>
            <w:r>
              <w:rPr>
                <w:rFonts w:hint="eastAsia" w:ascii="宋体" w:hAnsi="宋体" w:eastAsia="宋体" w:cs="宋体"/>
                <w:color w:val="auto"/>
                <w:kern w:val="0"/>
                <w:sz w:val="21"/>
                <w:szCs w:val="21"/>
                <w:highlight w:val="none"/>
                <w:lang w:val="en-US" w:eastAsia="zh-CN"/>
              </w:rPr>
              <w:t>工作的</w:t>
            </w:r>
            <w:r>
              <w:rPr>
                <w:rFonts w:hint="eastAsia" w:ascii="宋体" w:hAnsi="宋体" w:eastAsia="宋体" w:cs="宋体"/>
                <w:color w:val="auto"/>
                <w:kern w:val="0"/>
                <w:sz w:val="21"/>
                <w:szCs w:val="21"/>
                <w:highlight w:val="none"/>
              </w:rPr>
              <w:t>。</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处21000元</w:t>
            </w:r>
            <w:r>
              <w:rPr>
                <w:rFonts w:hint="eastAsia" w:ascii="宋体" w:hAnsi="宋体" w:eastAsia="宋体" w:cs="宋体"/>
                <w:color w:val="auto"/>
                <w:kern w:val="0"/>
                <w:sz w:val="21"/>
                <w:szCs w:val="21"/>
                <w:highlight w:val="none"/>
                <w:lang w:val="en-US" w:eastAsia="zh-CN"/>
              </w:rPr>
              <w:t>（不含）以下</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586"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用</w:t>
            </w:r>
            <w:r>
              <w:rPr>
                <w:rFonts w:hint="eastAsia" w:ascii="宋体" w:hAnsi="宋体" w:eastAsia="宋体" w:cs="宋体"/>
                <w:color w:val="auto"/>
                <w:sz w:val="21"/>
                <w:szCs w:val="21"/>
                <w:highlight w:val="none"/>
                <w:lang w:val="en-US" w:eastAsia="zh-CN"/>
              </w:rPr>
              <w:t>言语攻击、肢体冲突等</w:t>
            </w:r>
            <w:r>
              <w:rPr>
                <w:rFonts w:hint="eastAsia" w:ascii="宋体" w:hAnsi="宋体" w:eastAsia="宋体" w:cs="宋体"/>
                <w:color w:val="auto"/>
                <w:sz w:val="21"/>
                <w:szCs w:val="21"/>
                <w:highlight w:val="none"/>
              </w:rPr>
              <w:t>暴力手段</w:t>
            </w:r>
            <w:r>
              <w:rPr>
                <w:rFonts w:hint="eastAsia" w:ascii="宋体" w:hAnsi="宋体" w:eastAsia="宋体" w:cs="宋体"/>
                <w:color w:val="auto"/>
                <w:sz w:val="21"/>
                <w:szCs w:val="21"/>
                <w:highlight w:val="none"/>
                <w:lang w:val="en-US" w:eastAsia="zh-CN"/>
              </w:rPr>
              <w:t>拒绝、</w:t>
            </w:r>
            <w:r>
              <w:rPr>
                <w:rFonts w:hint="eastAsia" w:ascii="宋体" w:hAnsi="宋体" w:eastAsia="宋体" w:cs="宋体"/>
                <w:color w:val="auto"/>
                <w:sz w:val="21"/>
                <w:szCs w:val="21"/>
                <w:highlight w:val="none"/>
              </w:rPr>
              <w:t>阻挠执法</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kern w:val="0"/>
                <w:sz w:val="21"/>
                <w:szCs w:val="21"/>
                <w:highlight w:val="none"/>
              </w:rPr>
              <w:t>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处21000元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至30000元的罚款。</w:t>
            </w:r>
          </w:p>
        </w:tc>
      </w:tr>
      <w:tr>
        <w:tblPrEx>
          <w:tblCellMar>
            <w:top w:w="15" w:type="dxa"/>
            <w:left w:w="15" w:type="dxa"/>
            <w:bottom w:w="15" w:type="dxa"/>
            <w:right w:w="15" w:type="dxa"/>
          </w:tblCellMar>
        </w:tblPrEx>
        <w:trPr>
          <w:trHeight w:val="2047"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w:t>
            </w:r>
          </w:p>
        </w:tc>
        <w:tc>
          <w:tcPr>
            <w:tcW w:w="423" w:type="pct"/>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对高危险性体育项目经营者未尽到安全管理和配备指导救护人员义务的行政处罚</w:t>
            </w:r>
          </w:p>
        </w:tc>
        <w:tc>
          <w:tcPr>
            <w:tcW w:w="1231" w:type="pct"/>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经营高危险性体育项目许可管理办法 </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第二十条</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经营者应当将许可证、安全生产岗位责任制、安全操作规程、体育设施、设备、器材的使用说明及安全检查等制度、社会体育指导人员和救助人员名录及照片张贴于经营场所的醒目位置。</w:t>
            </w:r>
          </w:p>
          <w:p>
            <w:pPr>
              <w:spacing w:line="240" w:lineRule="auto"/>
              <w:jc w:val="left"/>
              <w:rPr>
                <w:rFonts w:hint="eastAsia" w:ascii="宋体" w:hAnsi="宋体" w:eastAsia="宋体" w:cs="宋体"/>
                <w:color w:val="auto"/>
                <w:sz w:val="21"/>
                <w:szCs w:val="21"/>
                <w:highlight w:val="none"/>
                <w:vertAlign w:val="baseline"/>
                <w:lang w:val="en-US" w:eastAsia="zh-CN"/>
              </w:rPr>
            </w:pP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经营高危险性体育项目许可管理办法 </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第二十一条</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经营者应当就高危险性体育项目可能危及消费者安全的事项和对参与者年龄、身体、技术的特殊要求，在经营场所中做出真实说明和明确警示，并采取措施防止危害发生。</w:t>
            </w:r>
          </w:p>
          <w:p>
            <w:pPr>
              <w:spacing w:line="240" w:lineRule="auto"/>
              <w:jc w:val="left"/>
              <w:rPr>
                <w:rFonts w:hint="eastAsia" w:ascii="宋体" w:hAnsi="宋体" w:eastAsia="宋体" w:cs="宋体"/>
                <w:color w:val="auto"/>
                <w:sz w:val="21"/>
                <w:szCs w:val="21"/>
                <w:highlight w:val="none"/>
                <w:vertAlign w:val="baseline"/>
                <w:lang w:val="en-US" w:eastAsia="zh-CN"/>
              </w:rPr>
            </w:pP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经营高危险性体育项目许可管理办法 </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第二十二条</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经营者应当按照相关规定做好体育设施、设备、器材的维护保养及定期检测，保证其能够安全、正常使用。</w:t>
            </w:r>
          </w:p>
          <w:p>
            <w:pPr>
              <w:spacing w:line="240" w:lineRule="auto"/>
              <w:jc w:val="left"/>
              <w:rPr>
                <w:rFonts w:hint="eastAsia" w:ascii="宋体" w:hAnsi="宋体" w:eastAsia="宋体" w:cs="宋体"/>
                <w:color w:val="auto"/>
                <w:sz w:val="21"/>
                <w:szCs w:val="21"/>
                <w:highlight w:val="none"/>
                <w:vertAlign w:val="baseline"/>
                <w:lang w:val="en-US" w:eastAsia="zh-CN"/>
              </w:rPr>
            </w:pP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经营高危险性体育项目许可管理办法 </w:t>
            </w:r>
          </w:p>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第二十三条</w:t>
            </w:r>
          </w:p>
          <w:p>
            <w:pPr>
              <w:spacing w:line="240" w:lineRule="auto"/>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经营者应当保证经营期间具有不低于规定数量的社会体育指导人员和救助人员。社会体育指导人员和救助人员应当持证上岗，并佩戴能标明其身份的醒目标识。</w:t>
            </w:r>
          </w:p>
        </w:tc>
        <w:tc>
          <w:tcPr>
            <w:tcW w:w="908" w:type="pct"/>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经营高危险性体育项目许可管理办法 第二十八条</w:t>
            </w:r>
          </w:p>
          <w:p>
            <w:pPr>
              <w:spacing w:line="240" w:lineRule="auto"/>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违反本办法第二十条、第二十一条、第二十二条、第二十三条规定，由县级以上地方人民政府体育主管部门责令限期改正，逾期未改正的，处2万元以下的罚款。</w:t>
            </w: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逾期3日（含）内改正的。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vertAlign w:val="baseline"/>
              </w:rPr>
              <w:t>处</w:t>
            </w:r>
            <w:r>
              <w:rPr>
                <w:rFonts w:hint="eastAsia" w:ascii="宋体" w:hAnsi="宋体" w:eastAsia="宋体" w:cs="宋体"/>
                <w:color w:val="auto"/>
                <w:sz w:val="21"/>
                <w:szCs w:val="21"/>
                <w:highlight w:val="none"/>
                <w:vertAlign w:val="baseline"/>
                <w:lang w:val="en-US" w:eastAsia="zh-CN"/>
              </w:rPr>
              <w:t>6000</w:t>
            </w:r>
            <w:r>
              <w:rPr>
                <w:rFonts w:hint="eastAsia" w:ascii="宋体" w:hAnsi="宋体" w:eastAsia="宋体" w:cs="宋体"/>
                <w:color w:val="auto"/>
                <w:sz w:val="21"/>
                <w:szCs w:val="21"/>
                <w:highlight w:val="none"/>
                <w:vertAlign w:val="baseline"/>
              </w:rPr>
              <w:t>元以下</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vertAlign w:val="baseline"/>
              </w:rPr>
              <w:t>的罚款</w:t>
            </w:r>
            <w:r>
              <w:rPr>
                <w:rFonts w:hint="eastAsia" w:ascii="宋体" w:hAnsi="宋体" w:eastAsia="宋体" w:cs="宋体"/>
                <w:color w:val="auto"/>
                <w:sz w:val="21"/>
                <w:szCs w:val="21"/>
                <w:highlight w:val="none"/>
                <w:vertAlign w:val="baseline"/>
                <w:lang w:eastAsia="zh-CN"/>
              </w:rPr>
              <w:t>。</w:t>
            </w:r>
          </w:p>
        </w:tc>
      </w:tr>
      <w:tr>
        <w:tblPrEx>
          <w:tblCellMar>
            <w:top w:w="15" w:type="dxa"/>
            <w:left w:w="15" w:type="dxa"/>
            <w:bottom w:w="15" w:type="dxa"/>
            <w:right w:w="15" w:type="dxa"/>
          </w:tblCellMar>
        </w:tblPrEx>
        <w:trPr>
          <w:trHeight w:val="2295" w:hRule="atLeast"/>
        </w:trPr>
        <w:tc>
          <w:tcPr>
            <w:tcW w:w="78"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left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逾期3日（不含）至7日（含）内改正的。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vertAlign w:val="baseline"/>
              </w:rPr>
              <w:t>处</w:t>
            </w:r>
            <w:r>
              <w:rPr>
                <w:rFonts w:hint="eastAsia" w:ascii="宋体" w:hAnsi="宋体" w:eastAsia="宋体" w:cs="宋体"/>
                <w:color w:val="auto"/>
                <w:sz w:val="21"/>
                <w:szCs w:val="21"/>
                <w:highlight w:val="none"/>
                <w:vertAlign w:val="baseline"/>
                <w:lang w:val="en-US" w:eastAsia="zh-CN"/>
              </w:rPr>
              <w:t>6000</w:t>
            </w:r>
            <w:r>
              <w:rPr>
                <w:rFonts w:hint="eastAsia" w:ascii="宋体" w:hAnsi="宋体" w:eastAsia="宋体" w:cs="宋体"/>
                <w:color w:val="auto"/>
                <w:sz w:val="21"/>
                <w:szCs w:val="21"/>
                <w:highlight w:val="none"/>
                <w:vertAlign w:val="baseline"/>
              </w:rPr>
              <w:t>元</w:t>
            </w:r>
            <w:r>
              <w:rPr>
                <w:rFonts w:hint="eastAsia" w:ascii="宋体" w:hAnsi="宋体" w:eastAsia="宋体" w:cs="宋体"/>
                <w:color w:val="auto"/>
                <w:kern w:val="0"/>
                <w:sz w:val="21"/>
                <w:szCs w:val="21"/>
                <w:highlight w:val="none"/>
                <w:lang w:val="en-US" w:eastAsia="zh-CN"/>
              </w:rPr>
              <w:t>（不含）至140</w:t>
            </w:r>
            <w:r>
              <w:rPr>
                <w:rFonts w:hint="eastAsia" w:ascii="宋体" w:hAnsi="宋体" w:eastAsia="宋体" w:cs="宋体"/>
                <w:color w:val="auto"/>
                <w:sz w:val="21"/>
                <w:szCs w:val="21"/>
                <w:highlight w:val="none"/>
                <w:vertAlign w:val="baseline"/>
                <w:lang w:val="en-US" w:eastAsia="zh-CN"/>
              </w:rPr>
              <w:t>00</w:t>
            </w:r>
            <w:r>
              <w:rPr>
                <w:rFonts w:hint="eastAsia" w:ascii="宋体" w:hAnsi="宋体" w:eastAsia="宋体" w:cs="宋体"/>
                <w:color w:val="auto"/>
                <w:sz w:val="21"/>
                <w:szCs w:val="21"/>
                <w:highlight w:val="none"/>
                <w:vertAlign w:val="baseline"/>
              </w:rPr>
              <w:t>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sz w:val="21"/>
                <w:szCs w:val="21"/>
                <w:highlight w:val="none"/>
                <w:vertAlign w:val="baseline"/>
              </w:rPr>
              <w:t>的罚款</w:t>
            </w:r>
            <w:r>
              <w:rPr>
                <w:rFonts w:hint="eastAsia" w:ascii="宋体" w:hAnsi="宋体" w:eastAsia="宋体" w:cs="宋体"/>
                <w:color w:val="auto"/>
                <w:sz w:val="21"/>
                <w:szCs w:val="21"/>
                <w:highlight w:val="none"/>
                <w:vertAlign w:val="baseline"/>
                <w:lang w:eastAsia="zh-CN"/>
              </w:rPr>
              <w:t>。</w:t>
            </w:r>
          </w:p>
        </w:tc>
      </w:tr>
      <w:tr>
        <w:tblPrEx>
          <w:tblCellMar>
            <w:top w:w="15" w:type="dxa"/>
            <w:left w:w="15" w:type="dxa"/>
            <w:bottom w:w="15" w:type="dxa"/>
            <w:right w:w="15" w:type="dxa"/>
          </w:tblCellMar>
        </w:tblPrEx>
        <w:trPr>
          <w:trHeight w:val="4664"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lang w:val="en-US" w:eastAsia="zh-CN"/>
              </w:rPr>
              <w:t>拒不改正，或逾期超过7日未改正的；</w:t>
            </w:r>
          </w:p>
          <w:p>
            <w:pPr>
              <w:widowControl/>
              <w:spacing w:line="240" w:lineRule="auto"/>
              <w:jc w:val="both"/>
              <w:textAlignment w:val="top"/>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②造成人身财产损害的；</w:t>
            </w:r>
          </w:p>
          <w:p>
            <w:pPr>
              <w:widowControl/>
              <w:spacing w:line="240" w:lineRule="auto"/>
              <w:jc w:val="both"/>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③实施</w:t>
            </w:r>
            <w:r>
              <w:rPr>
                <w:rFonts w:hint="eastAsia" w:ascii="宋体" w:hAnsi="宋体" w:cs="宋体"/>
                <w:color w:val="auto"/>
                <w:kern w:val="0"/>
                <w:sz w:val="21"/>
                <w:szCs w:val="21"/>
                <w:highlight w:val="none"/>
                <w:lang w:val="en-US" w:eastAsia="zh-CN"/>
              </w:rPr>
              <w:t>同一</w:t>
            </w:r>
            <w:r>
              <w:rPr>
                <w:rFonts w:hint="eastAsia" w:ascii="宋体" w:hAnsi="宋体" w:eastAsia="宋体" w:cs="宋体"/>
                <w:color w:val="auto"/>
                <w:kern w:val="0"/>
                <w:sz w:val="21"/>
                <w:szCs w:val="21"/>
                <w:highlight w:val="none"/>
                <w:lang w:val="en-US" w:eastAsia="zh-CN"/>
              </w:rPr>
              <w:t>违法行为3次及以上的；</w:t>
            </w:r>
          </w:p>
          <w:p>
            <w:pPr>
              <w:widowControl/>
              <w:spacing w:line="240" w:lineRule="auto"/>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④</w:t>
            </w:r>
            <w:r>
              <w:rPr>
                <w:rFonts w:hint="eastAsia" w:ascii="宋体" w:hAnsi="宋体" w:eastAsia="宋体" w:cs="宋体"/>
                <w:color w:val="auto"/>
                <w:kern w:val="0"/>
                <w:sz w:val="21"/>
                <w:szCs w:val="21"/>
                <w:highlight w:val="none"/>
                <w:lang w:val="en-US" w:eastAsia="zh-CN"/>
              </w:rPr>
              <w:t>造成严重后果与恶劣影响的其他情形</w:t>
            </w:r>
            <w:r>
              <w:rPr>
                <w:rFonts w:hint="eastAsia" w:ascii="宋体" w:hAnsi="宋体" w:eastAsia="宋体" w:cs="宋体"/>
                <w:color w:val="auto"/>
                <w:kern w:val="0"/>
                <w:sz w:val="21"/>
                <w:szCs w:val="21"/>
                <w:highlight w:val="none"/>
              </w:rPr>
              <w:t>。</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vertAlign w:val="baseline"/>
              </w:rPr>
              <w:t>处</w:t>
            </w:r>
            <w:r>
              <w:rPr>
                <w:rFonts w:hint="eastAsia" w:ascii="宋体" w:hAnsi="宋体" w:eastAsia="宋体" w:cs="宋体"/>
                <w:color w:val="auto"/>
                <w:sz w:val="21"/>
                <w:szCs w:val="21"/>
                <w:highlight w:val="none"/>
                <w:vertAlign w:val="baseline"/>
                <w:lang w:val="en-US" w:eastAsia="zh-CN"/>
              </w:rPr>
              <w:t>14000</w:t>
            </w:r>
            <w:r>
              <w:rPr>
                <w:rFonts w:hint="eastAsia" w:ascii="宋体" w:hAnsi="宋体" w:eastAsia="宋体" w:cs="宋体"/>
                <w:color w:val="auto"/>
                <w:sz w:val="21"/>
                <w:szCs w:val="21"/>
                <w:highlight w:val="none"/>
                <w:vertAlign w:val="baseline"/>
              </w:rPr>
              <w:t>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vertAlign w:val="baseline"/>
                <w:lang w:val="en-US" w:eastAsia="zh-CN"/>
              </w:rPr>
              <w:t>至20000</w:t>
            </w:r>
            <w:r>
              <w:rPr>
                <w:rFonts w:hint="eastAsia" w:ascii="宋体" w:hAnsi="宋体" w:eastAsia="宋体" w:cs="宋体"/>
                <w:color w:val="auto"/>
                <w:sz w:val="21"/>
                <w:szCs w:val="21"/>
                <w:highlight w:val="none"/>
                <w:vertAlign w:val="baseline"/>
              </w:rPr>
              <w:t>元的罚款</w:t>
            </w:r>
            <w:r>
              <w:rPr>
                <w:rFonts w:hint="eastAsia" w:ascii="宋体" w:hAnsi="宋体" w:eastAsia="宋体" w:cs="宋体"/>
                <w:color w:val="auto"/>
                <w:sz w:val="21"/>
                <w:szCs w:val="21"/>
                <w:highlight w:val="none"/>
                <w:vertAlign w:val="baseline"/>
                <w:lang w:eastAsia="zh-CN"/>
              </w:rPr>
              <w:t>。</w:t>
            </w:r>
          </w:p>
        </w:tc>
      </w:tr>
      <w:tr>
        <w:tblPrEx>
          <w:tblCellMar>
            <w:top w:w="15" w:type="dxa"/>
            <w:left w:w="15" w:type="dxa"/>
            <w:bottom w:w="15" w:type="dxa"/>
            <w:right w:w="15" w:type="dxa"/>
          </w:tblCellMar>
        </w:tblPrEx>
        <w:trPr>
          <w:trHeight w:val="1414"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w:t>
            </w:r>
          </w:p>
        </w:tc>
        <w:tc>
          <w:tcPr>
            <w:tcW w:w="423" w:type="pct"/>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对可能危及消费者安全的体育经营项目，经营者未作出明确警示和真实说明，未采取措施防止危害的发生的行政处罚</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231" w:type="pct"/>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浙江省实施&lt;中华人民共和国体育法&gt;办法  第三十七条　第二款</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　对可能危及消费者安全的体育经营项目，经营者应当向消费者作出明确警示和真实说明，并采取措施防止危害的发生。</w:t>
            </w:r>
          </w:p>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908" w:type="pct"/>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浙江省实施&lt;中华人民共和国体育法&gt;办法 第四十一条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违反本办法第三十七条第二款规定的，由体育行政部门责令限期改正，并处以二千元以上五千元以下罚款。</w:t>
            </w:r>
          </w:p>
          <w:p>
            <w:pPr>
              <w:spacing w:line="240" w:lineRule="auto"/>
              <w:ind w:firstLine="210" w:firstLineChars="100"/>
              <w:jc w:val="both"/>
              <w:rPr>
                <w:rFonts w:hint="eastAsia" w:ascii="宋体" w:hAnsi="宋体" w:eastAsia="宋体" w:cs="宋体"/>
                <w:color w:val="auto"/>
                <w:sz w:val="21"/>
                <w:szCs w:val="21"/>
                <w:highlight w:val="none"/>
              </w:rPr>
            </w:pPr>
          </w:p>
        </w:tc>
        <w:tc>
          <w:tcPr>
            <w:tcW w:w="237" w:type="pc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未作出明确警示和真实说明，或未采取措施防止危害的发生，但</w:t>
            </w:r>
            <w:r>
              <w:rPr>
                <w:rFonts w:hint="eastAsia" w:ascii="宋体" w:hAnsi="宋体" w:eastAsia="宋体" w:cs="宋体"/>
                <w:color w:val="auto"/>
                <w:sz w:val="21"/>
                <w:szCs w:val="21"/>
                <w:highlight w:val="none"/>
                <w:vertAlign w:val="baseline"/>
                <w:lang w:val="en-US" w:eastAsia="zh-CN"/>
              </w:rPr>
              <w:t>未达到从重处罚的情形</w:t>
            </w:r>
            <w:r>
              <w:rPr>
                <w:rFonts w:hint="eastAsia" w:ascii="宋体" w:hAnsi="宋体" w:eastAsia="宋体" w:cs="宋体"/>
                <w:color w:val="auto"/>
                <w:sz w:val="21"/>
                <w:szCs w:val="21"/>
                <w:highlight w:val="none"/>
                <w:vertAlign w:val="baseline"/>
              </w:rPr>
              <w:t>的</w:t>
            </w:r>
            <w:r>
              <w:rPr>
                <w:rFonts w:hint="eastAsia" w:ascii="宋体" w:hAnsi="宋体" w:eastAsia="宋体" w:cs="宋体"/>
                <w:color w:val="auto"/>
                <w:kern w:val="0"/>
                <w:sz w:val="21"/>
                <w:szCs w:val="21"/>
                <w:highlight w:val="none"/>
                <w:lang w:val="en-US" w:eastAsia="zh-CN"/>
              </w:rPr>
              <w:t>。</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2000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至4100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2759"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231"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rPr>
            </w:pPr>
          </w:p>
        </w:tc>
        <w:tc>
          <w:tcPr>
            <w:tcW w:w="237" w:type="pc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rPr>
              <w:t>未作出明确警示和真实说明，或未采取措施防止危害的发生，且</w:t>
            </w: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bidi="ar"/>
              </w:rPr>
              <w:t>拒不改正的；</w:t>
            </w:r>
          </w:p>
          <w:p>
            <w:pPr>
              <w:widowControl/>
              <w:spacing w:line="240" w:lineRule="auto"/>
              <w:jc w:val="both"/>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②造成人身</w:t>
            </w:r>
            <w:r>
              <w:rPr>
                <w:rFonts w:hint="eastAsia" w:ascii="宋体" w:hAnsi="宋体" w:eastAsia="宋体" w:cs="宋体"/>
                <w:color w:val="auto"/>
                <w:kern w:val="0"/>
                <w:sz w:val="21"/>
                <w:szCs w:val="21"/>
                <w:highlight w:val="none"/>
                <w:lang w:val="en-US" w:eastAsia="zh-CN" w:bidi="ar"/>
              </w:rPr>
              <w:t>财产损害的；</w:t>
            </w:r>
          </w:p>
          <w:p>
            <w:pPr>
              <w:widowControl/>
              <w:spacing w:line="240" w:lineRule="auto"/>
              <w:jc w:val="both"/>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kern w:val="0"/>
                <w:sz w:val="21"/>
                <w:szCs w:val="21"/>
                <w:highlight w:val="none"/>
                <w:lang w:val="en-US" w:eastAsia="zh-CN" w:bidi="ar"/>
              </w:rPr>
              <w:t>造成严重结果或恶劣影响的其他情形。</w:t>
            </w:r>
          </w:p>
        </w:tc>
        <w:tc>
          <w:tcPr>
            <w:tcW w:w="8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4100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（含）至5000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1315" w:hRule="atLeast"/>
        </w:trPr>
        <w:tc>
          <w:tcPr>
            <w:tcW w:w="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p>
        </w:tc>
        <w:tc>
          <w:tcPr>
            <w:tcW w:w="42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lang w:val="en-US" w:eastAsia="zh-CN"/>
              </w:rPr>
              <w:t>乡村旅游经营者从事具有一定危险性的体育经营活动未制定运行安全方案</w:t>
            </w:r>
            <w:r>
              <w:rPr>
                <w:rFonts w:hint="eastAsia" w:ascii="宋体" w:hAnsi="宋体" w:cs="宋体"/>
                <w:b w:val="0"/>
                <w:bCs w:val="0"/>
                <w:color w:val="auto"/>
                <w:kern w:val="0"/>
                <w:sz w:val="21"/>
                <w:szCs w:val="21"/>
                <w:highlight w:val="none"/>
                <w:lang w:val="en-US" w:eastAsia="zh-CN"/>
              </w:rPr>
              <w:t>的行政处罚</w:t>
            </w:r>
          </w:p>
        </w:tc>
        <w:tc>
          <w:tcPr>
            <w:tcW w:w="123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浙江省乡村旅游促进办法</w:t>
            </w: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第二十二条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乡村旅游经营者从事热气球（不含系留式气球）、水上滑板、滑翔伞、射箭等具有一定危险性的体育经营活动，应当按照国家和省有关标准、经营规范制定相应的运行安全方案，明确所采取的安全防护措施、应急救援措施、暂停营业的情形等内容。</w:t>
            </w:r>
          </w:p>
        </w:tc>
        <w:tc>
          <w:tcPr>
            <w:tcW w:w="90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浙江省乡村旅游促进办法</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第四十三条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违反本办法规定，乡村旅游经营者从事具有一定危险性的体育经营活动，未制定相应的运行安全方案的，由县级以上人民政府体育部门责令改正；逾期不改正的，可以处五千元以上一万元以下罚款；情节严重的，可以处一万元以上三万元以下罚款。</w:t>
            </w: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逾期7日（含）内改正的。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可以处5000元至6500元（含）的罚款</w:t>
            </w:r>
            <w:r>
              <w:rPr>
                <w:rFonts w:hint="eastAsia" w:ascii="宋体" w:hAnsi="宋体" w:eastAsia="宋体" w:cs="宋体"/>
                <w:color w:val="auto"/>
                <w:kern w:val="0"/>
                <w:sz w:val="21"/>
                <w:szCs w:val="21"/>
                <w:highlight w:val="none"/>
              </w:rPr>
              <w:t>。</w:t>
            </w:r>
          </w:p>
        </w:tc>
      </w:tr>
      <w:tr>
        <w:tblPrEx>
          <w:tblCellMar>
            <w:top w:w="15" w:type="dxa"/>
            <w:left w:w="15" w:type="dxa"/>
            <w:bottom w:w="15" w:type="dxa"/>
            <w:right w:w="15" w:type="dxa"/>
          </w:tblCellMar>
        </w:tblPrEx>
        <w:trPr>
          <w:trHeight w:val="1182" w:hRule="atLeast"/>
        </w:trPr>
        <w:tc>
          <w:tcPr>
            <w:tcW w:w="78"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逾期7日（不含）至15日（含）内改正的。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可以处6500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（不含）至10000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2410"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①拒不改正，或逾期超过15日未改正的；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②实施同一违法行为3次及以上的；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③造成人身财产损害的；</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可以</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10000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（含）至30000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p>
        </w:tc>
      </w:tr>
      <w:tr>
        <w:tblPrEx>
          <w:tblCellMar>
            <w:top w:w="15" w:type="dxa"/>
            <w:left w:w="15" w:type="dxa"/>
            <w:bottom w:w="15" w:type="dxa"/>
            <w:right w:w="15" w:type="dxa"/>
          </w:tblCellMar>
        </w:tblPrEx>
        <w:trPr>
          <w:trHeight w:val="886"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w:t>
            </w:r>
          </w:p>
        </w:tc>
        <w:tc>
          <w:tcPr>
            <w:tcW w:w="423"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对游泳场所违法经营的行政处罚</w:t>
            </w:r>
          </w:p>
        </w:tc>
        <w:tc>
          <w:tcPr>
            <w:tcW w:w="123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浙江省游泳场所管理办法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第六条　</w:t>
            </w:r>
            <w:r>
              <w:rPr>
                <w:rFonts w:hint="eastAsia" w:ascii="宋体" w:hAnsi="宋体" w:eastAsia="宋体" w:cs="宋体"/>
                <w:color w:val="auto"/>
                <w:sz w:val="21"/>
                <w:szCs w:val="21"/>
                <w:highlight w:val="none"/>
                <w:vertAlign w:val="baseline"/>
                <w:lang w:val="en-US" w:eastAsia="zh-CN"/>
              </w:rPr>
              <w:t>第四项</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游泳场所经营者应当遵守下列管理规定：</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四）</w:t>
            </w:r>
            <w:r>
              <w:rPr>
                <w:rFonts w:hint="eastAsia" w:ascii="宋体" w:hAnsi="宋体" w:eastAsia="宋体" w:cs="宋体"/>
                <w:color w:val="auto"/>
                <w:sz w:val="21"/>
                <w:szCs w:val="21"/>
                <w:highlight w:val="none"/>
                <w:vertAlign w:val="baseline"/>
              </w:rPr>
              <w:t>工作人员应当持有健康合格证明，水上救生员还应当持有上岗证。</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浙江省游泳场所管理办法 </w:t>
            </w:r>
            <w:r>
              <w:rPr>
                <w:rFonts w:hint="eastAsia" w:ascii="宋体" w:hAnsi="宋体" w:eastAsia="宋体" w:cs="宋体"/>
                <w:color w:val="auto"/>
                <w:sz w:val="21"/>
                <w:szCs w:val="21"/>
                <w:highlight w:val="none"/>
                <w:vertAlign w:val="baseline"/>
              </w:rPr>
              <w:t>第十条</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海滨浴场等天然游泳场和室外人工游泳池在气象、水文等环境条件有可能出现危及游泳者安全情况时，应当采取预警措施，必要时应当临时关闭，确保游泳者安全。</w:t>
            </w:r>
          </w:p>
        </w:tc>
        <w:tc>
          <w:tcPr>
            <w:tcW w:w="90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浙江省游泳场所管理办法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第十七条　</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有下列情形之一的，由体育部门对游泳场所经营者处1000元以上5000元以下罚款，并责令限期改正：</w:t>
            </w:r>
          </w:p>
          <w:p>
            <w:pPr>
              <w:numPr>
                <w:ilvl w:val="0"/>
                <w:numId w:val="0"/>
              </w:num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一）</w:t>
            </w:r>
            <w:r>
              <w:rPr>
                <w:rFonts w:hint="eastAsia" w:ascii="宋体" w:hAnsi="宋体" w:eastAsia="宋体" w:cs="宋体"/>
                <w:color w:val="auto"/>
                <w:sz w:val="21"/>
                <w:szCs w:val="21"/>
                <w:highlight w:val="none"/>
                <w:vertAlign w:val="baseline"/>
              </w:rPr>
              <w:t>水上救生员冒名顶替的；</w:t>
            </w:r>
          </w:p>
          <w:p>
            <w:pPr>
              <w:numPr>
                <w:ilvl w:val="0"/>
                <w:numId w:val="0"/>
              </w:num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（二）救生设备未按规定配备齐全的；</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（三）违反本办法第十条规定，未采取预警、临时关闭等安全措施的。</w:t>
            </w: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①涉及1名冒名顶替的水上救生员的；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②涉及1项救生设备</w:t>
            </w:r>
            <w:r>
              <w:rPr>
                <w:rFonts w:hint="eastAsia" w:ascii="宋体" w:hAnsi="宋体" w:eastAsia="宋体" w:cs="宋体"/>
                <w:color w:val="auto"/>
                <w:sz w:val="21"/>
                <w:szCs w:val="21"/>
                <w:highlight w:val="none"/>
                <w:vertAlign w:val="baseline"/>
              </w:rPr>
              <w:t>未按规定配备齐全</w:t>
            </w:r>
            <w:r>
              <w:rPr>
                <w:rFonts w:hint="eastAsia" w:ascii="宋体" w:hAnsi="宋体" w:eastAsia="宋体" w:cs="宋体"/>
                <w:color w:val="auto"/>
                <w:sz w:val="21"/>
                <w:szCs w:val="21"/>
                <w:highlight w:val="none"/>
                <w:vertAlign w:val="baseline"/>
                <w:lang w:val="en-US" w:eastAsia="zh-CN"/>
              </w:rPr>
              <w:t>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③未及时采取预警、临时关闭等安全措施，但及时采取补救措施的。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处1000元至2200元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90"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ind w:left="210" w:leftChars="0"/>
              <w:jc w:val="both"/>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①涉及2名冒名顶替的水上救生员的；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②涉及2项救生设备</w:t>
            </w:r>
            <w:r>
              <w:rPr>
                <w:rFonts w:hint="eastAsia" w:ascii="宋体" w:hAnsi="宋体" w:eastAsia="宋体" w:cs="宋体"/>
                <w:color w:val="auto"/>
                <w:sz w:val="21"/>
                <w:szCs w:val="21"/>
                <w:highlight w:val="none"/>
                <w:vertAlign w:val="baseline"/>
              </w:rPr>
              <w:t>未按规定配备齐全</w:t>
            </w:r>
            <w:r>
              <w:rPr>
                <w:rFonts w:hint="eastAsia" w:ascii="宋体" w:hAnsi="宋体" w:eastAsia="宋体" w:cs="宋体"/>
                <w:color w:val="auto"/>
                <w:sz w:val="21"/>
                <w:szCs w:val="21"/>
                <w:highlight w:val="none"/>
                <w:vertAlign w:val="baseline"/>
                <w:lang w:val="en-US" w:eastAsia="zh-CN"/>
              </w:rPr>
              <w:t>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③未及时采取预警、临时关闭等安全措施，且未采取补救措施的。</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处2200元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b w:val="0"/>
                <w:bCs w:val="0"/>
                <w:color w:val="auto"/>
                <w:kern w:val="0"/>
                <w:sz w:val="21"/>
                <w:szCs w:val="21"/>
                <w:highlight w:val="none"/>
                <w:lang w:val="en-US" w:eastAsia="zh-CN"/>
              </w:rPr>
              <w:t>3800元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90"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908" w:type="pct"/>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ind w:left="210" w:leftChars="0"/>
              <w:jc w:val="both"/>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①拒不改正的；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②涉及3名及以上冒名顶替的水上救生员的；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③涉及3项救生设备</w:t>
            </w:r>
            <w:r>
              <w:rPr>
                <w:rFonts w:hint="eastAsia" w:ascii="宋体" w:hAnsi="宋体" w:eastAsia="宋体" w:cs="宋体"/>
                <w:color w:val="auto"/>
                <w:sz w:val="21"/>
                <w:szCs w:val="21"/>
                <w:highlight w:val="none"/>
                <w:vertAlign w:val="baseline"/>
              </w:rPr>
              <w:t>未按规定配备齐全</w:t>
            </w:r>
            <w:r>
              <w:rPr>
                <w:rFonts w:hint="eastAsia" w:ascii="宋体" w:hAnsi="宋体" w:eastAsia="宋体" w:cs="宋体"/>
                <w:color w:val="auto"/>
                <w:sz w:val="21"/>
                <w:szCs w:val="21"/>
                <w:highlight w:val="none"/>
                <w:vertAlign w:val="baseline"/>
                <w:lang w:val="en-US" w:eastAsia="zh-CN"/>
              </w:rPr>
              <w:t>的；</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④</w:t>
            </w:r>
            <w:r>
              <w:rPr>
                <w:rFonts w:hint="eastAsia" w:ascii="宋体" w:hAnsi="宋体" w:eastAsia="宋体" w:cs="宋体"/>
                <w:color w:val="auto"/>
                <w:kern w:val="0"/>
                <w:sz w:val="21"/>
                <w:szCs w:val="21"/>
                <w:highlight w:val="none"/>
                <w:lang w:val="en-US" w:eastAsia="zh-CN"/>
              </w:rPr>
              <w:t>实施本条违法行为3次及以上的；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⑤造成人身财产损失的；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⑥造成严重后果或恶劣影响的其他情形。</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处3800元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至5000元的罚款。</w:t>
            </w:r>
          </w:p>
        </w:tc>
      </w:tr>
      <w:tr>
        <w:tblPrEx>
          <w:tblCellMar>
            <w:top w:w="15" w:type="dxa"/>
            <w:left w:w="15" w:type="dxa"/>
            <w:bottom w:w="15" w:type="dxa"/>
            <w:right w:w="15" w:type="dxa"/>
          </w:tblCellMar>
        </w:tblPrEx>
        <w:trPr>
          <w:trHeight w:val="976"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w:t>
            </w:r>
          </w:p>
        </w:tc>
        <w:tc>
          <w:tcPr>
            <w:tcW w:w="423"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对游泳场所出售含酒精饮料的行政处罚</w:t>
            </w:r>
          </w:p>
        </w:tc>
        <w:tc>
          <w:tcPr>
            <w:tcW w:w="123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浙江省游泳场所管理办法 第十一条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游泳场所经营者应当组织维护游泳现场正常秩序，劝阻、制止违法违规行为，防止发生治安事件和安全事故。</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　禁止向游泳者出售含酒精饮料；禁止醉酒人员进入游泳场所。</w:t>
            </w:r>
          </w:p>
        </w:tc>
        <w:tc>
          <w:tcPr>
            <w:tcW w:w="90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浙江省游泳场所管理办法 </w:t>
            </w: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第十八条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游泳场所经营者在游泳场所出售含酒精饮料的，由体育部门处1000元以上2000元以下罚款，并责令改正。</w:t>
            </w:r>
          </w:p>
        </w:tc>
        <w:tc>
          <w:tcPr>
            <w:tcW w:w="237" w:type="pc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color w:val="auto"/>
                <w:sz w:val="21"/>
                <w:szCs w:val="21"/>
                <w:highlight w:val="none"/>
                <w:vertAlign w:val="baseline"/>
              </w:rPr>
              <w:t>在游泳场所出售含酒精饮料</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且未达到从重处罚的情形</w:t>
            </w:r>
            <w:r>
              <w:rPr>
                <w:rFonts w:hint="eastAsia" w:ascii="宋体" w:hAnsi="宋体" w:eastAsia="宋体" w:cs="宋体"/>
                <w:color w:val="auto"/>
                <w:sz w:val="21"/>
                <w:szCs w:val="21"/>
                <w:highlight w:val="none"/>
                <w:vertAlign w:val="baseline"/>
              </w:rPr>
              <w:t>的</w:t>
            </w:r>
            <w:r>
              <w:rPr>
                <w:rFonts w:hint="eastAsia" w:ascii="宋体" w:hAnsi="宋体" w:eastAsia="宋体" w:cs="宋体"/>
                <w:color w:val="auto"/>
                <w:kern w:val="0"/>
                <w:sz w:val="21"/>
                <w:szCs w:val="21"/>
                <w:highlight w:val="none"/>
                <w:lang w:val="en-US" w:eastAsia="zh-CN"/>
              </w:rPr>
              <w:t>。</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处1000元至1700元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2172"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42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231" w:type="pct"/>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color w:val="auto"/>
                <w:sz w:val="21"/>
                <w:szCs w:val="21"/>
                <w:highlight w:val="none"/>
                <w:vertAlign w:val="baseline"/>
                <w:lang w:val="en-US" w:eastAsia="zh-CN"/>
              </w:rPr>
            </w:pPr>
          </w:p>
        </w:tc>
        <w:tc>
          <w:tcPr>
            <w:tcW w:w="908" w:type="pct"/>
            <w:vMerge w:val="continue"/>
            <w:tcBorders>
              <w:left w:val="single" w:color="auto" w:sz="4" w:space="0"/>
              <w:bottom w:val="single" w:color="auto" w:sz="4" w:space="0"/>
              <w:right w:val="single" w:color="auto" w:sz="4" w:space="0"/>
            </w:tcBorders>
            <w:noWrap w:val="0"/>
            <w:vAlign w:val="top"/>
          </w:tcPr>
          <w:p>
            <w:pPr>
              <w:spacing w:line="240" w:lineRule="auto"/>
              <w:ind w:firstLine="210" w:firstLineChars="100"/>
              <w:rPr>
                <w:rFonts w:hint="eastAsia" w:ascii="宋体" w:hAnsi="宋体" w:eastAsia="宋体" w:cs="宋体"/>
                <w:color w:val="auto"/>
                <w:sz w:val="21"/>
                <w:szCs w:val="21"/>
                <w:highlight w:val="none"/>
                <w:vertAlign w:val="baseline"/>
              </w:rPr>
            </w:pPr>
          </w:p>
        </w:tc>
        <w:tc>
          <w:tcPr>
            <w:tcW w:w="23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2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①拒不改正的；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sz w:val="21"/>
                <w:szCs w:val="21"/>
                <w:highlight w:val="none"/>
                <w:vertAlign w:val="baseline"/>
                <w:lang w:val="en-US" w:eastAsia="zh-CN"/>
              </w:rPr>
              <w:t>因酒精饮料造成人身财产损失的；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③向未成年人出售酒精饮料的；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④实施同一违法行为3次及以上的；</w:t>
            </w:r>
          </w:p>
          <w:p>
            <w:pPr>
              <w:spacing w:line="240" w:lineRule="auto"/>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⑤造成严重后果与恶劣影响的其他情形。</w:t>
            </w:r>
          </w:p>
        </w:tc>
        <w:tc>
          <w:tcPr>
            <w:tcW w:w="89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处1700元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至2000元的罚款。</w:t>
            </w:r>
          </w:p>
        </w:tc>
      </w:tr>
    </w:tbl>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二、公共体育场地设施类（3项）</w:t>
      </w:r>
    </w:p>
    <w:p>
      <w:pPr>
        <w:numPr>
          <w:ilvl w:val="0"/>
          <w:numId w:val="0"/>
        </w:numPr>
        <w:spacing w:line="240" w:lineRule="auto"/>
        <w:rPr>
          <w:rFonts w:hint="eastAsia" w:ascii="宋体" w:hAnsi="宋体" w:eastAsia="宋体" w:cs="宋体"/>
          <w:b/>
          <w:bCs/>
          <w:color w:val="auto"/>
          <w:sz w:val="21"/>
          <w:szCs w:val="21"/>
          <w:highlight w:val="none"/>
          <w:lang w:val="en-US" w:eastAsia="zh-CN"/>
        </w:rPr>
      </w:pPr>
    </w:p>
    <w:tbl>
      <w:tblPr>
        <w:tblStyle w:val="4"/>
        <w:tblpPr w:leftFromText="180" w:rightFromText="180" w:vertAnchor="text" w:horzAnchor="page" w:tblpX="735"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
        <w:gridCol w:w="1225"/>
        <w:gridCol w:w="2508"/>
        <w:gridCol w:w="2602"/>
        <w:gridCol w:w="478"/>
        <w:gridCol w:w="389"/>
        <w:gridCol w:w="4761"/>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rPr>
        <w:tc>
          <w:tcPr>
            <w:tcW w:w="78"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序号</w:t>
            </w:r>
          </w:p>
        </w:tc>
        <w:tc>
          <w:tcPr>
            <w:tcW w:w="397"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事项名称</w:t>
            </w:r>
          </w:p>
        </w:tc>
        <w:tc>
          <w:tcPr>
            <w:tcW w:w="1656" w:type="pct"/>
            <w:gridSpan w:val="2"/>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法律依据</w:t>
            </w:r>
          </w:p>
        </w:tc>
        <w:tc>
          <w:tcPr>
            <w:tcW w:w="281" w:type="pct"/>
            <w:gridSpan w:val="2"/>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裁量</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阶次</w:t>
            </w:r>
          </w:p>
        </w:tc>
        <w:tc>
          <w:tcPr>
            <w:tcW w:w="1543"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适用条件</w:t>
            </w:r>
          </w:p>
        </w:tc>
        <w:tc>
          <w:tcPr>
            <w:tcW w:w="1044"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812" w:type="pct"/>
            <w:shd w:val="clear" w:color="auto" w:fill="D7D7D7" w:themeFill="background1" w:themeFillShade="D8"/>
            <w:noWrap w:val="0"/>
            <w:vAlign w:val="center"/>
          </w:tcPr>
          <w:p>
            <w:pPr>
              <w:spacing w:line="24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违法依据</w:t>
            </w:r>
          </w:p>
        </w:tc>
        <w:tc>
          <w:tcPr>
            <w:tcW w:w="843" w:type="pct"/>
            <w:shd w:val="clear" w:color="auto" w:fill="D7D7D7" w:themeFill="background1" w:themeFillShade="D8"/>
            <w:noWrap w:val="0"/>
            <w:vAlign w:val="center"/>
          </w:tcPr>
          <w:p>
            <w:pPr>
              <w:spacing w:line="240" w:lineRule="auto"/>
              <w:ind w:firstLine="210" w:firstLineChars="10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处罚依据</w:t>
            </w:r>
          </w:p>
        </w:tc>
        <w:tc>
          <w:tcPr>
            <w:tcW w:w="281" w:type="pct"/>
            <w:gridSpan w:val="2"/>
            <w:vMerge w:val="continue"/>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p>
        </w:tc>
        <w:tc>
          <w:tcPr>
            <w:tcW w:w="1543" w:type="pct"/>
            <w:vMerge w:val="continue"/>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p>
        </w:tc>
        <w:tc>
          <w:tcPr>
            <w:tcW w:w="1044"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8"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397"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b w:val="0"/>
                <w:bCs w:val="0"/>
                <w:color w:val="auto"/>
                <w:sz w:val="21"/>
                <w:szCs w:val="21"/>
                <w:highlight w:val="none"/>
                <w:vertAlign w:val="baseline"/>
                <w:lang w:val="en-US" w:eastAsia="zh-CN"/>
              </w:rPr>
              <w:t>侵占、破坏公共体育场地设施的行政处罚</w:t>
            </w:r>
          </w:p>
        </w:tc>
        <w:tc>
          <w:tcPr>
            <w:tcW w:w="812"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第八十七条　第一款</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任何单位和个人不得侵占公共体育场地设施及其建设用地，不得擅自拆除公共体育场地设施，不得擅自改变公共体育场地设施的功能、用途或者妨碍其正常使用。</w:t>
            </w:r>
          </w:p>
        </w:tc>
        <w:tc>
          <w:tcPr>
            <w:tcW w:w="843"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第一百一十四条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违反本法规定，侵占、破坏公共体育场地设施的，由县级以上地方人民政府体育行政部门会同有关部门予以制止，责令改正，并可处实际损失五倍以下的罚款。</w:t>
            </w:r>
          </w:p>
        </w:tc>
        <w:tc>
          <w:tcPr>
            <w:tcW w:w="28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侵占公共体育场地设施3</w:t>
            </w:r>
            <w:r>
              <w:rPr>
                <w:rFonts w:hint="eastAsia" w:ascii="宋体" w:hAnsi="宋体" w:eastAsia="宋体" w:cs="宋体"/>
                <w:color w:val="auto"/>
                <w:kern w:val="0"/>
                <w:sz w:val="21"/>
                <w:szCs w:val="21"/>
                <w:highlight w:val="none"/>
                <w:lang w:val="en-US" w:eastAsia="zh-CN"/>
              </w:rPr>
              <w:t>日（含）内的；</w:t>
            </w:r>
          </w:p>
          <w:p>
            <w:pPr>
              <w:widowControl/>
              <w:spacing w:line="240" w:lineRule="auto"/>
              <w:jc w:val="left"/>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rPr>
              <w:t>破坏公共体育场地设施造成实际损失</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1044" w:type="pct"/>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可处实际损失1.5倍</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vertAlign w:val="baseline"/>
                <w:lang w:val="en-US" w:eastAsia="zh-CN"/>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9"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812"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8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 xml:space="preserve">侵占公共体育场地设施 </w:t>
            </w:r>
            <w:r>
              <w:rPr>
                <w:rFonts w:hint="eastAsia" w:ascii="宋体" w:hAnsi="宋体" w:eastAsia="宋体" w:cs="宋体"/>
                <w:color w:val="auto"/>
                <w:kern w:val="0"/>
                <w:sz w:val="21"/>
                <w:szCs w:val="21"/>
                <w:highlight w:val="none"/>
                <w:lang w:val="en-US" w:eastAsia="zh-CN"/>
              </w:rPr>
              <w:t>3日（不含）至7日（含）内的；</w:t>
            </w:r>
          </w:p>
          <w:p>
            <w:pPr>
              <w:widowControl/>
              <w:spacing w:line="240" w:lineRule="auto"/>
              <w:jc w:val="left"/>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rPr>
              <w:t>破坏公共体育场地设施造成实际损失</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1044" w:type="pct"/>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可处实际损失1.5倍</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lang w:val="en-US" w:eastAsia="zh-CN"/>
              </w:rPr>
              <w:t>含）至3.5</w:t>
            </w:r>
            <w:r>
              <w:rPr>
                <w:rFonts w:hint="eastAsia" w:ascii="宋体" w:hAnsi="宋体" w:eastAsia="宋体" w:cs="宋体"/>
                <w:color w:val="auto"/>
                <w:sz w:val="21"/>
                <w:szCs w:val="21"/>
                <w:highlight w:val="none"/>
                <w:vertAlign w:val="baseline"/>
                <w:lang w:val="en-US" w:eastAsia="zh-CN"/>
              </w:rPr>
              <w:t>倍</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sz w:val="21"/>
                <w:szCs w:val="21"/>
                <w:highlight w:val="none"/>
                <w:vertAlign w:val="baseli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9"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812"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8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543"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bidi="ar"/>
              </w:rPr>
              <w:t>拒不改正，或</w:t>
            </w:r>
            <w:r>
              <w:rPr>
                <w:rFonts w:hint="eastAsia" w:ascii="宋体" w:hAnsi="宋体" w:eastAsia="宋体" w:cs="宋体"/>
                <w:color w:val="auto"/>
                <w:kern w:val="0"/>
                <w:sz w:val="21"/>
                <w:szCs w:val="21"/>
                <w:highlight w:val="none"/>
              </w:rPr>
              <w:t>侵占公共体育场地设施</w:t>
            </w:r>
            <w:r>
              <w:rPr>
                <w:rFonts w:hint="eastAsia" w:ascii="宋体" w:hAnsi="宋体" w:eastAsia="宋体" w:cs="宋体"/>
                <w:color w:val="auto"/>
                <w:kern w:val="0"/>
                <w:sz w:val="21"/>
                <w:szCs w:val="21"/>
                <w:highlight w:val="none"/>
                <w:lang w:val="en-US" w:eastAsia="zh-CN"/>
              </w:rPr>
              <w:t>超过7日的</w:t>
            </w:r>
            <w:r>
              <w:rPr>
                <w:rFonts w:hint="eastAsia" w:ascii="宋体" w:hAnsi="宋体" w:eastAsia="宋体" w:cs="宋体"/>
                <w:color w:val="auto"/>
                <w:kern w:val="0"/>
                <w:sz w:val="21"/>
                <w:szCs w:val="21"/>
                <w:highlight w:val="none"/>
                <w:lang w:eastAsia="zh-CN"/>
              </w:rPr>
              <w:t>；</w:t>
            </w:r>
          </w:p>
          <w:p>
            <w:pPr>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rPr>
              <w:t>破坏公共体育场地设施造成实际损失</w:t>
            </w:r>
            <w:r>
              <w:rPr>
                <w:rFonts w:hint="eastAsia" w:ascii="宋体" w:hAnsi="宋体" w:eastAsia="宋体" w:cs="宋体"/>
                <w:color w:val="auto"/>
                <w:kern w:val="0"/>
                <w:sz w:val="21"/>
                <w:szCs w:val="21"/>
                <w:highlight w:val="none"/>
                <w:lang w:val="en-US" w:eastAsia="zh-CN"/>
              </w:rPr>
              <w:t>超过50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的；</w:t>
            </w:r>
          </w:p>
          <w:p>
            <w:pPr>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③造成严重后果与恶劣影响的其他情形。</w:t>
            </w:r>
          </w:p>
        </w:tc>
        <w:tc>
          <w:tcPr>
            <w:tcW w:w="1044" w:type="pct"/>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可处实际损失3.5倍</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sz w:val="21"/>
                <w:szCs w:val="21"/>
                <w:highlight w:val="none"/>
                <w:vertAlign w:val="baseline"/>
                <w:lang w:val="en-US" w:eastAsia="zh-CN"/>
              </w:rPr>
              <w:t>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trPr>
        <w:tc>
          <w:tcPr>
            <w:tcW w:w="78"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w:t>
            </w:r>
          </w:p>
        </w:tc>
        <w:tc>
          <w:tcPr>
            <w:tcW w:w="397"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b w:val="0"/>
                <w:bCs w:val="0"/>
                <w:color w:val="auto"/>
                <w:sz w:val="21"/>
                <w:szCs w:val="21"/>
                <w:highlight w:val="none"/>
                <w:vertAlign w:val="baseline"/>
                <w:lang w:val="en-US" w:eastAsia="zh-CN"/>
              </w:rPr>
              <w:t>未经批准临时占用公共体育场地设施的行政处罚</w:t>
            </w:r>
          </w:p>
        </w:tc>
        <w:tc>
          <w:tcPr>
            <w:tcW w:w="812"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第八十七条　第二款</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因特殊需要临时占用公共体育场地设施超过十日的，应当经本级人民政府体育行政部门同意；超过三个月的，应当报上一级人民政府体育行政部门批准。</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843"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第一百一十五条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tc>
        <w:tc>
          <w:tcPr>
            <w:tcW w:w="28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逾期3日（含）内改正的</w:t>
            </w:r>
            <w:r>
              <w:rPr>
                <w:rFonts w:hint="eastAsia" w:ascii="宋体" w:hAnsi="宋体" w:eastAsia="宋体" w:cs="宋体"/>
                <w:color w:val="auto"/>
                <w:kern w:val="0"/>
                <w:sz w:val="21"/>
                <w:szCs w:val="21"/>
                <w:highlight w:val="none"/>
              </w:rPr>
              <w:t>。</w:t>
            </w:r>
          </w:p>
        </w:tc>
        <w:tc>
          <w:tcPr>
            <w:tcW w:w="1044"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有违法所得的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并处10万元至22万元（含）的罚款。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8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有违法所得的，没收违法所得，并处</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（不含）至38</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3"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8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bidi="ar"/>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w:t>
            </w:r>
            <w:r>
              <w:rPr>
                <w:rFonts w:hint="eastAsia" w:ascii="宋体" w:hAnsi="宋体" w:eastAsia="宋体" w:cs="宋体"/>
                <w:color w:val="auto"/>
                <w:kern w:val="0"/>
                <w:sz w:val="21"/>
                <w:szCs w:val="21"/>
                <w:highlight w:val="none"/>
              </w:rPr>
              <w:t>未改正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rPr>
              <w:t>造成实际损失</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en-US" w:eastAsia="zh-CN"/>
              </w:rPr>
              <w:t>的；</w:t>
            </w:r>
          </w:p>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③造成严重后果与恶劣影响的其他情形。</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有违法所得的，没收违法所得，并处</w:t>
            </w:r>
            <w:r>
              <w:rPr>
                <w:rFonts w:hint="eastAsia" w:ascii="宋体" w:hAnsi="宋体" w:eastAsia="宋体" w:cs="宋体"/>
                <w:color w:val="auto"/>
                <w:kern w:val="0"/>
                <w:sz w:val="21"/>
                <w:szCs w:val="21"/>
                <w:highlight w:val="none"/>
                <w:lang w:val="en-US" w:eastAsia="zh-CN"/>
              </w:rPr>
              <w:t>38</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（含）至50</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78"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w:t>
            </w:r>
          </w:p>
        </w:tc>
        <w:tc>
          <w:tcPr>
            <w:tcW w:w="397"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对使用公共体育设施违法开展服务活动的行政处罚</w:t>
            </w:r>
          </w:p>
        </w:tc>
        <w:tc>
          <w:tcPr>
            <w:tcW w:w="812"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公共文化体育设施条例 </w:t>
            </w: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第二十二条　</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公共文化设施管理单位可以将设施出租用于举办文物展览、美术展览、艺术培训等文化活动。</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　公共体育设施管理单位不得将设施的主体部分用于非体育活动。但是，因举办公益性活动或者大型文化活动等特殊情况临时出租的除外。临时出租时间一般不得超过１０日；租用期满，租用者应当恢复原状，不得影响该设施的功能、用途。</w:t>
            </w:r>
          </w:p>
        </w:tc>
        <w:tc>
          <w:tcPr>
            <w:tcW w:w="843"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公共文化体育设施条例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第三十一条　</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公共文化体育设施管理单位，有下列行为之一的，由文化行政主管部门、体育行政主管部门依据各自职责责令限期改正，没收违法所得，违法所得</w:t>
            </w:r>
            <w:r>
              <w:rPr>
                <w:rFonts w:hint="eastAsia" w:ascii="宋体" w:hAnsi="宋体" w:eastAsia="宋体" w:cs="宋体"/>
                <w:color w:val="auto"/>
                <w:sz w:val="21"/>
                <w:szCs w:val="21"/>
                <w:highlight w:val="none"/>
                <w:vertAlign w:val="baseline"/>
                <w:lang w:val="en-US" w:eastAsia="zh-CN"/>
              </w:rPr>
              <w:t>5000</w:t>
            </w:r>
            <w:r>
              <w:rPr>
                <w:rFonts w:hint="eastAsia" w:ascii="宋体" w:hAnsi="宋体" w:eastAsia="宋体" w:cs="宋体"/>
                <w:color w:val="auto"/>
                <w:sz w:val="21"/>
                <w:szCs w:val="21"/>
                <w:highlight w:val="none"/>
                <w:vertAlign w:val="baseline"/>
              </w:rPr>
              <w:t>元以上的，并处违法所得２倍以上５倍以下的罚款；没有违法所得或者违法所得</w:t>
            </w:r>
            <w:r>
              <w:rPr>
                <w:rFonts w:hint="eastAsia" w:ascii="宋体" w:hAnsi="宋体" w:eastAsia="宋体" w:cs="宋体"/>
                <w:color w:val="auto"/>
                <w:sz w:val="21"/>
                <w:szCs w:val="21"/>
                <w:highlight w:val="none"/>
                <w:vertAlign w:val="baseline"/>
                <w:lang w:val="en-US" w:eastAsia="zh-CN"/>
              </w:rPr>
              <w:t>5000</w:t>
            </w:r>
            <w:r>
              <w:rPr>
                <w:rFonts w:hint="eastAsia" w:ascii="宋体" w:hAnsi="宋体" w:eastAsia="宋体" w:cs="宋体"/>
                <w:color w:val="auto"/>
                <w:sz w:val="21"/>
                <w:szCs w:val="21"/>
                <w:highlight w:val="none"/>
                <w:vertAlign w:val="baseline"/>
              </w:rPr>
              <w:t>元以下的，可以处１万元以下的罚款；对负有责任的主管人员和其他直接责任人员，依法给予行政处分：</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一）</w:t>
            </w:r>
            <w:r>
              <w:rPr>
                <w:rFonts w:hint="eastAsia" w:ascii="宋体" w:hAnsi="宋体" w:eastAsia="宋体" w:cs="宋体"/>
                <w:color w:val="auto"/>
                <w:sz w:val="21"/>
                <w:szCs w:val="21"/>
                <w:highlight w:val="none"/>
                <w:vertAlign w:val="baseline"/>
              </w:rPr>
              <w:t>开展与公共文化体育设施功能、用途不相适应的服务活动的；</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（二）违反本条例规定出租公共文化体育设施的。</w:t>
            </w:r>
          </w:p>
        </w:tc>
        <w:tc>
          <w:tcPr>
            <w:tcW w:w="154"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vertAlign w:val="baseline"/>
              </w:rPr>
              <w:t>没有违法所得或者违法所得</w:t>
            </w:r>
            <w:r>
              <w:rPr>
                <w:rFonts w:hint="eastAsia" w:ascii="宋体" w:hAnsi="宋体" w:eastAsia="宋体" w:cs="宋体"/>
                <w:b/>
                <w:bCs/>
                <w:color w:val="auto"/>
                <w:sz w:val="21"/>
                <w:szCs w:val="21"/>
                <w:highlight w:val="none"/>
                <w:vertAlign w:val="baseline"/>
                <w:lang w:val="en-US" w:eastAsia="zh-CN"/>
              </w:rPr>
              <w:t>5000</w:t>
            </w:r>
            <w:r>
              <w:rPr>
                <w:rFonts w:hint="eastAsia" w:ascii="宋体" w:hAnsi="宋体" w:eastAsia="宋体" w:cs="宋体"/>
                <w:b/>
                <w:bCs/>
                <w:color w:val="auto"/>
                <w:sz w:val="21"/>
                <w:szCs w:val="21"/>
                <w:highlight w:val="none"/>
                <w:vertAlign w:val="baseline"/>
              </w:rPr>
              <w:t>元以下的</w:t>
            </w:r>
          </w:p>
        </w:tc>
        <w:tc>
          <w:tcPr>
            <w:tcW w:w="126"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numPr>
                <w:ilvl w:val="0"/>
                <w:numId w:val="0"/>
              </w:numPr>
              <w:spacing w:line="240" w:lineRule="auto"/>
              <w:ind w:firstLine="0" w:firstLine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具有下列情形之一的：</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开展不相适应的服务活动</w:t>
            </w:r>
            <w:r>
              <w:rPr>
                <w:rFonts w:hint="eastAsia" w:ascii="宋体" w:hAnsi="宋体" w:eastAsia="宋体" w:cs="宋体"/>
                <w:color w:val="auto"/>
                <w:sz w:val="21"/>
                <w:szCs w:val="21"/>
                <w:highlight w:val="none"/>
                <w:vertAlign w:val="baseline"/>
                <w:lang w:val="en-US" w:eastAsia="zh-CN"/>
              </w:rPr>
              <w:t>涉及10人以下的</w:t>
            </w:r>
            <w:r>
              <w:rPr>
                <w:rFonts w:hint="eastAsia" w:ascii="宋体" w:hAnsi="宋体" w:eastAsia="宋体" w:cs="宋体"/>
                <w:color w:val="auto"/>
                <w:sz w:val="21"/>
                <w:szCs w:val="21"/>
                <w:highlight w:val="none"/>
                <w:vertAlign w:val="baseline"/>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rPr>
              <w:t>违</w:t>
            </w:r>
            <w:r>
              <w:rPr>
                <w:rFonts w:hint="eastAsia" w:ascii="宋体" w:hAnsi="宋体" w:eastAsia="宋体" w:cs="宋体"/>
                <w:color w:val="auto"/>
                <w:sz w:val="21"/>
                <w:szCs w:val="21"/>
                <w:highlight w:val="none"/>
                <w:vertAlign w:val="baseline"/>
                <w:lang w:val="en-US" w:eastAsia="zh-CN"/>
              </w:rPr>
              <w:t>法</w:t>
            </w:r>
            <w:r>
              <w:rPr>
                <w:rFonts w:hint="eastAsia" w:ascii="宋体" w:hAnsi="宋体" w:eastAsia="宋体" w:cs="宋体"/>
                <w:color w:val="auto"/>
                <w:sz w:val="21"/>
                <w:szCs w:val="21"/>
                <w:highlight w:val="none"/>
                <w:vertAlign w:val="baseline"/>
              </w:rPr>
              <w:t>出租</w:t>
            </w:r>
            <w:r>
              <w:rPr>
                <w:rFonts w:hint="eastAsia" w:ascii="宋体" w:hAnsi="宋体" w:eastAsia="宋体" w:cs="宋体"/>
                <w:color w:val="auto"/>
                <w:sz w:val="21"/>
                <w:szCs w:val="21"/>
                <w:highlight w:val="none"/>
                <w:vertAlign w:val="baseline"/>
                <w:lang w:val="en-US" w:eastAsia="zh-CN"/>
              </w:rPr>
              <w:t>3日（含）内改正的。</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有违法所得的，没收违法所得，并可处3000</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（含）以下的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4"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2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numPr>
                <w:ilvl w:val="0"/>
                <w:numId w:val="0"/>
              </w:numPr>
              <w:spacing w:line="240" w:lineRule="auto"/>
              <w:ind w:firstLine="0" w:firstLine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具有下列情形之一的：</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开展不相适应的服务活动</w:t>
            </w:r>
            <w:r>
              <w:rPr>
                <w:rFonts w:hint="eastAsia" w:ascii="宋体" w:hAnsi="宋体" w:eastAsia="宋体" w:cs="宋体"/>
                <w:color w:val="auto"/>
                <w:sz w:val="21"/>
                <w:szCs w:val="21"/>
                <w:highlight w:val="none"/>
                <w:vertAlign w:val="baseline"/>
                <w:lang w:val="en-US" w:eastAsia="zh-CN"/>
              </w:rPr>
              <w:t>涉及11人至30人的</w:t>
            </w:r>
            <w:r>
              <w:rPr>
                <w:rFonts w:hint="eastAsia" w:ascii="宋体" w:hAnsi="宋体" w:eastAsia="宋体" w:cs="宋体"/>
                <w:color w:val="auto"/>
                <w:sz w:val="21"/>
                <w:szCs w:val="21"/>
                <w:highlight w:val="none"/>
                <w:vertAlign w:val="baseline"/>
              </w:rPr>
              <w:t>；</w:t>
            </w:r>
          </w:p>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rPr>
              <w:t>违</w:t>
            </w:r>
            <w:r>
              <w:rPr>
                <w:rFonts w:hint="eastAsia" w:ascii="宋体" w:hAnsi="宋体" w:eastAsia="宋体" w:cs="宋体"/>
                <w:color w:val="auto"/>
                <w:sz w:val="21"/>
                <w:szCs w:val="21"/>
                <w:highlight w:val="none"/>
                <w:vertAlign w:val="baseline"/>
                <w:lang w:val="en-US" w:eastAsia="zh-CN"/>
              </w:rPr>
              <w:t>法</w:t>
            </w:r>
            <w:r>
              <w:rPr>
                <w:rFonts w:hint="eastAsia" w:ascii="宋体" w:hAnsi="宋体" w:eastAsia="宋体" w:cs="宋体"/>
                <w:color w:val="auto"/>
                <w:sz w:val="21"/>
                <w:szCs w:val="21"/>
                <w:highlight w:val="none"/>
                <w:vertAlign w:val="baseline"/>
              </w:rPr>
              <w:t>出租</w:t>
            </w:r>
            <w:r>
              <w:rPr>
                <w:rFonts w:hint="eastAsia" w:ascii="宋体" w:hAnsi="宋体" w:eastAsia="宋体" w:cs="宋体"/>
                <w:color w:val="auto"/>
                <w:sz w:val="21"/>
                <w:szCs w:val="21"/>
                <w:highlight w:val="none"/>
                <w:vertAlign w:val="baseline"/>
                <w:lang w:val="en-US" w:eastAsia="zh-CN"/>
              </w:rPr>
              <w:t>3日（不含）至7日（含）内改正的。</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有违法所得的，没收违法所得，并可处3000元（不含）至7000元（不含）的罚款。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1"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4"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2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开展不相适应的服务活动</w:t>
            </w:r>
            <w:r>
              <w:rPr>
                <w:rFonts w:hint="eastAsia" w:ascii="宋体" w:hAnsi="宋体" w:eastAsia="宋体" w:cs="宋体"/>
                <w:color w:val="auto"/>
                <w:sz w:val="21"/>
                <w:szCs w:val="21"/>
                <w:highlight w:val="none"/>
                <w:vertAlign w:val="baseline"/>
                <w:lang w:val="en-US" w:eastAsia="zh-CN"/>
              </w:rPr>
              <w:t>涉及31人及以上的；</w:t>
            </w:r>
          </w:p>
          <w:p>
            <w:pPr>
              <w:spacing w:line="240" w:lineRule="auto"/>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rPr>
              <w:t>违</w:t>
            </w:r>
            <w:r>
              <w:rPr>
                <w:rFonts w:hint="eastAsia" w:ascii="宋体" w:hAnsi="宋体" w:eastAsia="宋体" w:cs="宋体"/>
                <w:color w:val="auto"/>
                <w:sz w:val="21"/>
                <w:szCs w:val="21"/>
                <w:highlight w:val="none"/>
                <w:vertAlign w:val="baseline"/>
                <w:lang w:val="en-US" w:eastAsia="zh-CN"/>
              </w:rPr>
              <w:t>法</w:t>
            </w:r>
            <w:r>
              <w:rPr>
                <w:rFonts w:hint="eastAsia" w:ascii="宋体" w:hAnsi="宋体" w:eastAsia="宋体" w:cs="宋体"/>
                <w:color w:val="auto"/>
                <w:sz w:val="21"/>
                <w:szCs w:val="21"/>
                <w:highlight w:val="none"/>
                <w:vertAlign w:val="baseline"/>
              </w:rPr>
              <w:t>出租</w:t>
            </w:r>
            <w:r>
              <w:rPr>
                <w:rFonts w:hint="eastAsia" w:ascii="宋体" w:hAnsi="宋体" w:eastAsia="宋体" w:cs="宋体"/>
                <w:color w:val="auto"/>
                <w:sz w:val="21"/>
                <w:szCs w:val="21"/>
                <w:highlight w:val="none"/>
                <w:vertAlign w:val="baseline"/>
                <w:lang w:val="en-US" w:eastAsia="zh-CN"/>
              </w:rPr>
              <w:t>超过7日未改正的；</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sz w:val="21"/>
                <w:szCs w:val="21"/>
                <w:highlight w:val="none"/>
                <w:vertAlign w:val="baseline"/>
                <w:lang w:val="en-US" w:eastAsia="zh-CN"/>
              </w:rPr>
              <w:t>拒不改正的</w:t>
            </w:r>
            <w:r>
              <w:rPr>
                <w:rFonts w:hint="eastAsia" w:ascii="宋体" w:hAnsi="宋体" w:eastAsia="宋体" w:cs="宋体"/>
                <w:color w:val="auto"/>
                <w:sz w:val="21"/>
                <w:szCs w:val="21"/>
                <w:highlight w:val="none"/>
                <w:vertAlign w:val="baseline"/>
                <w:lang w:eastAsia="zh-CN"/>
              </w:rPr>
              <w:t>；</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④</w:t>
            </w:r>
            <w:r>
              <w:rPr>
                <w:rFonts w:hint="eastAsia" w:ascii="宋体" w:hAnsi="宋体" w:eastAsia="宋体" w:cs="宋体"/>
                <w:color w:val="auto"/>
                <w:sz w:val="21"/>
                <w:szCs w:val="21"/>
                <w:highlight w:val="none"/>
                <w:vertAlign w:val="baseline"/>
                <w:lang w:val="en-US" w:eastAsia="zh-CN"/>
              </w:rPr>
              <w:t>实施本条违法行为3次及以上的；</w:t>
            </w:r>
          </w:p>
          <w:p>
            <w:pPr>
              <w:numPr>
                <w:ilvl w:val="0"/>
                <w:numId w:val="0"/>
              </w:numPr>
              <w:spacing w:line="240" w:lineRule="auto"/>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⑤</w:t>
            </w:r>
            <w:r>
              <w:rPr>
                <w:rFonts w:hint="eastAsia" w:ascii="宋体" w:hAnsi="宋体" w:eastAsia="宋体" w:cs="宋体"/>
                <w:color w:val="auto"/>
                <w:sz w:val="21"/>
                <w:szCs w:val="21"/>
                <w:highlight w:val="none"/>
                <w:vertAlign w:val="baseline"/>
                <w:lang w:val="en-US" w:eastAsia="zh-CN"/>
              </w:rPr>
              <w:t>造成严重后果或恶劣影</w:t>
            </w:r>
            <w:r>
              <w:rPr>
                <w:rFonts w:hint="eastAsia" w:ascii="宋体" w:hAnsi="宋体" w:eastAsia="宋体" w:cs="宋体"/>
                <w:color w:val="auto"/>
                <w:kern w:val="0"/>
                <w:sz w:val="21"/>
                <w:szCs w:val="21"/>
                <w:highlight w:val="none"/>
                <w:lang w:val="en-US" w:eastAsia="zh-CN" w:bidi="ar"/>
              </w:rPr>
              <w:t>响的其他情形。</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有违法所得的，没收违法所得，并可处7000元（含）至10000元的罚款</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8"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4"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vertAlign w:val="baseline"/>
              </w:rPr>
              <w:t>违法所得</w:t>
            </w:r>
            <w:r>
              <w:rPr>
                <w:rFonts w:hint="eastAsia" w:ascii="宋体" w:hAnsi="宋体" w:eastAsia="宋体" w:cs="宋体"/>
                <w:b/>
                <w:bCs/>
                <w:color w:val="auto"/>
                <w:sz w:val="21"/>
                <w:szCs w:val="21"/>
                <w:highlight w:val="none"/>
                <w:vertAlign w:val="baseline"/>
                <w:lang w:val="en-US" w:eastAsia="zh-CN"/>
              </w:rPr>
              <w:t>5000</w:t>
            </w:r>
            <w:r>
              <w:rPr>
                <w:rFonts w:hint="eastAsia" w:ascii="宋体" w:hAnsi="宋体" w:eastAsia="宋体" w:cs="宋体"/>
                <w:b/>
                <w:bCs/>
                <w:color w:val="auto"/>
                <w:sz w:val="21"/>
                <w:szCs w:val="21"/>
                <w:highlight w:val="none"/>
                <w:vertAlign w:val="baseline"/>
              </w:rPr>
              <w:t>元以上的</w:t>
            </w:r>
          </w:p>
        </w:tc>
        <w:tc>
          <w:tcPr>
            <w:tcW w:w="12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numPr>
                <w:ilvl w:val="0"/>
                <w:numId w:val="0"/>
              </w:numPr>
              <w:spacing w:line="240" w:lineRule="auto"/>
              <w:ind w:firstLine="0" w:firstLine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具有下列情形之一的：</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开展不相适应的服务活动</w:t>
            </w:r>
            <w:r>
              <w:rPr>
                <w:rFonts w:hint="eastAsia" w:ascii="宋体" w:hAnsi="宋体" w:eastAsia="宋体" w:cs="宋体"/>
                <w:color w:val="auto"/>
                <w:sz w:val="21"/>
                <w:szCs w:val="21"/>
                <w:highlight w:val="none"/>
                <w:vertAlign w:val="baseline"/>
                <w:lang w:val="en-US" w:eastAsia="zh-CN"/>
              </w:rPr>
              <w:t>涉及10人以下的</w:t>
            </w:r>
            <w:r>
              <w:rPr>
                <w:rFonts w:hint="eastAsia" w:ascii="宋体" w:hAnsi="宋体" w:eastAsia="宋体" w:cs="宋体"/>
                <w:color w:val="auto"/>
                <w:sz w:val="21"/>
                <w:szCs w:val="21"/>
                <w:highlight w:val="none"/>
                <w:vertAlign w:val="baseline"/>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rPr>
              <w:t>违</w:t>
            </w:r>
            <w:r>
              <w:rPr>
                <w:rFonts w:hint="eastAsia" w:ascii="宋体" w:hAnsi="宋体" w:eastAsia="宋体" w:cs="宋体"/>
                <w:color w:val="auto"/>
                <w:sz w:val="21"/>
                <w:szCs w:val="21"/>
                <w:highlight w:val="none"/>
                <w:vertAlign w:val="baseline"/>
                <w:lang w:val="en-US" w:eastAsia="zh-CN"/>
              </w:rPr>
              <w:t>法</w:t>
            </w:r>
            <w:r>
              <w:rPr>
                <w:rFonts w:hint="eastAsia" w:ascii="宋体" w:hAnsi="宋体" w:eastAsia="宋体" w:cs="宋体"/>
                <w:color w:val="auto"/>
                <w:sz w:val="21"/>
                <w:szCs w:val="21"/>
                <w:highlight w:val="none"/>
                <w:vertAlign w:val="baseline"/>
              </w:rPr>
              <w:t>出租</w:t>
            </w:r>
            <w:r>
              <w:rPr>
                <w:rFonts w:hint="eastAsia" w:ascii="宋体" w:hAnsi="宋体" w:eastAsia="宋体" w:cs="宋体"/>
                <w:color w:val="auto"/>
                <w:sz w:val="21"/>
                <w:szCs w:val="21"/>
                <w:highlight w:val="none"/>
                <w:vertAlign w:val="baseline"/>
                <w:lang w:val="en-US" w:eastAsia="zh-CN"/>
              </w:rPr>
              <w:t>3日（含）内改正的。</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没收违法所得，并处违法所得2倍至2.9倍（含）的罚款。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4"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2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numPr>
                <w:ilvl w:val="0"/>
                <w:numId w:val="0"/>
              </w:numPr>
              <w:spacing w:line="240" w:lineRule="auto"/>
              <w:ind w:firstLine="0" w:firstLine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具有下列情形之一的：</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开展不相适应的服务活动</w:t>
            </w:r>
            <w:r>
              <w:rPr>
                <w:rFonts w:hint="eastAsia" w:ascii="宋体" w:hAnsi="宋体" w:eastAsia="宋体" w:cs="宋体"/>
                <w:color w:val="auto"/>
                <w:sz w:val="21"/>
                <w:szCs w:val="21"/>
                <w:highlight w:val="none"/>
                <w:vertAlign w:val="baseline"/>
                <w:lang w:val="en-US" w:eastAsia="zh-CN"/>
              </w:rPr>
              <w:t>涉及11人至30人的</w:t>
            </w:r>
            <w:r>
              <w:rPr>
                <w:rFonts w:hint="eastAsia" w:ascii="宋体" w:hAnsi="宋体" w:eastAsia="宋体" w:cs="宋体"/>
                <w:color w:val="auto"/>
                <w:sz w:val="21"/>
                <w:szCs w:val="21"/>
                <w:highlight w:val="none"/>
                <w:vertAlign w:val="baseline"/>
              </w:rPr>
              <w:t>；</w:t>
            </w:r>
          </w:p>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rPr>
              <w:t>违</w:t>
            </w:r>
            <w:r>
              <w:rPr>
                <w:rFonts w:hint="eastAsia" w:ascii="宋体" w:hAnsi="宋体" w:eastAsia="宋体" w:cs="宋体"/>
                <w:color w:val="auto"/>
                <w:sz w:val="21"/>
                <w:szCs w:val="21"/>
                <w:highlight w:val="none"/>
                <w:vertAlign w:val="baseline"/>
                <w:lang w:val="en-US" w:eastAsia="zh-CN"/>
              </w:rPr>
              <w:t>法</w:t>
            </w:r>
            <w:r>
              <w:rPr>
                <w:rFonts w:hint="eastAsia" w:ascii="宋体" w:hAnsi="宋体" w:eastAsia="宋体" w:cs="宋体"/>
                <w:color w:val="auto"/>
                <w:sz w:val="21"/>
                <w:szCs w:val="21"/>
                <w:highlight w:val="none"/>
                <w:vertAlign w:val="baseline"/>
              </w:rPr>
              <w:t>出租</w:t>
            </w:r>
            <w:r>
              <w:rPr>
                <w:rFonts w:hint="eastAsia" w:ascii="宋体" w:hAnsi="宋体" w:eastAsia="宋体" w:cs="宋体"/>
                <w:color w:val="auto"/>
                <w:sz w:val="21"/>
                <w:szCs w:val="21"/>
                <w:highlight w:val="none"/>
                <w:vertAlign w:val="baseline"/>
                <w:lang w:val="en-US" w:eastAsia="zh-CN"/>
              </w:rPr>
              <w:t>3日（不含）至7日（含）内改正的。</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没收违法所得，并处违法所得2.9倍（不含）至4.1倍（</w:t>
            </w:r>
            <w:r>
              <w:rPr>
                <w:rFonts w:hint="eastAsia" w:ascii="宋体" w:hAnsi="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lang w:val="en-US" w:eastAsia="zh-CN"/>
              </w:rPr>
              <w:t>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7"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7"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812"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843"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4"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2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543"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开展不相适应的服务活动</w:t>
            </w:r>
            <w:r>
              <w:rPr>
                <w:rFonts w:hint="eastAsia" w:ascii="宋体" w:hAnsi="宋体" w:eastAsia="宋体" w:cs="宋体"/>
                <w:color w:val="auto"/>
                <w:sz w:val="21"/>
                <w:szCs w:val="21"/>
                <w:highlight w:val="none"/>
                <w:vertAlign w:val="baseline"/>
                <w:lang w:val="en-US" w:eastAsia="zh-CN"/>
              </w:rPr>
              <w:t>涉及31人及以上的；</w:t>
            </w:r>
          </w:p>
          <w:p>
            <w:pPr>
              <w:spacing w:line="240" w:lineRule="auto"/>
              <w:jc w:val="both"/>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rPr>
              <w:t>违</w:t>
            </w:r>
            <w:r>
              <w:rPr>
                <w:rFonts w:hint="eastAsia" w:ascii="宋体" w:hAnsi="宋体" w:eastAsia="宋体" w:cs="宋体"/>
                <w:color w:val="auto"/>
                <w:sz w:val="21"/>
                <w:szCs w:val="21"/>
                <w:highlight w:val="none"/>
                <w:vertAlign w:val="baseline"/>
                <w:lang w:val="en-US" w:eastAsia="zh-CN"/>
              </w:rPr>
              <w:t>法</w:t>
            </w:r>
            <w:r>
              <w:rPr>
                <w:rFonts w:hint="eastAsia" w:ascii="宋体" w:hAnsi="宋体" w:eastAsia="宋体" w:cs="宋体"/>
                <w:color w:val="auto"/>
                <w:sz w:val="21"/>
                <w:szCs w:val="21"/>
                <w:highlight w:val="none"/>
                <w:vertAlign w:val="baseline"/>
              </w:rPr>
              <w:t>出租</w:t>
            </w:r>
            <w:r>
              <w:rPr>
                <w:rFonts w:hint="eastAsia" w:ascii="宋体" w:hAnsi="宋体" w:eastAsia="宋体" w:cs="宋体"/>
                <w:color w:val="auto"/>
                <w:sz w:val="21"/>
                <w:szCs w:val="21"/>
                <w:highlight w:val="none"/>
                <w:vertAlign w:val="baseline"/>
                <w:lang w:val="en-US" w:eastAsia="zh-CN"/>
              </w:rPr>
              <w:t>超过7日未改正的；</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sz w:val="21"/>
                <w:szCs w:val="21"/>
                <w:highlight w:val="none"/>
                <w:vertAlign w:val="baseline"/>
                <w:lang w:val="en-US" w:eastAsia="zh-CN"/>
              </w:rPr>
              <w:t>拒不改正的</w:t>
            </w:r>
            <w:r>
              <w:rPr>
                <w:rFonts w:hint="eastAsia" w:ascii="宋体" w:hAnsi="宋体" w:eastAsia="宋体" w:cs="宋体"/>
                <w:color w:val="auto"/>
                <w:sz w:val="21"/>
                <w:szCs w:val="21"/>
                <w:highlight w:val="none"/>
                <w:vertAlign w:val="baseline"/>
                <w:lang w:eastAsia="zh-CN"/>
              </w:rPr>
              <w:t>；</w:t>
            </w:r>
          </w:p>
          <w:p>
            <w:pPr>
              <w:numPr>
                <w:ilvl w:val="0"/>
                <w:numId w:val="0"/>
              </w:numPr>
              <w:spacing w:line="240" w:lineRule="auto"/>
              <w:ind w:firstLine="0" w:firstLineChars="0"/>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④</w:t>
            </w:r>
            <w:r>
              <w:rPr>
                <w:rFonts w:hint="eastAsia" w:ascii="宋体" w:hAnsi="宋体" w:eastAsia="宋体" w:cs="宋体"/>
                <w:color w:val="auto"/>
                <w:sz w:val="21"/>
                <w:szCs w:val="21"/>
                <w:highlight w:val="none"/>
                <w:vertAlign w:val="baseline"/>
                <w:lang w:val="en-US" w:eastAsia="zh-CN"/>
              </w:rPr>
              <w:t>实施本条违法行为3次及以上的；</w:t>
            </w:r>
          </w:p>
          <w:p>
            <w:pPr>
              <w:numPr>
                <w:ilvl w:val="0"/>
                <w:numId w:val="0"/>
              </w:numPr>
              <w:spacing w:line="24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⑤</w:t>
            </w:r>
            <w:r>
              <w:rPr>
                <w:rFonts w:hint="eastAsia" w:ascii="宋体" w:hAnsi="宋体" w:eastAsia="宋体" w:cs="宋体"/>
                <w:color w:val="auto"/>
                <w:sz w:val="21"/>
                <w:szCs w:val="21"/>
                <w:highlight w:val="none"/>
                <w:vertAlign w:val="baseline"/>
                <w:lang w:val="en-US" w:eastAsia="zh-CN"/>
              </w:rPr>
              <w:t>造成严重后果或恶劣影</w:t>
            </w:r>
            <w:r>
              <w:rPr>
                <w:rFonts w:hint="eastAsia" w:ascii="宋体" w:hAnsi="宋体" w:eastAsia="宋体" w:cs="宋体"/>
                <w:color w:val="auto"/>
                <w:kern w:val="0"/>
                <w:sz w:val="21"/>
                <w:szCs w:val="21"/>
                <w:highlight w:val="none"/>
                <w:lang w:val="en-US" w:eastAsia="zh-CN" w:bidi="ar"/>
              </w:rPr>
              <w:t>响的其他情形。</w:t>
            </w:r>
          </w:p>
        </w:tc>
        <w:tc>
          <w:tcPr>
            <w:tcW w:w="1044" w:type="pct"/>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没收违法所得，并处违法所得4.1倍（含）至5倍的罚款。</w:t>
            </w:r>
          </w:p>
        </w:tc>
      </w:tr>
    </w:tbl>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三、体育赛事类（11项）</w:t>
      </w:r>
    </w:p>
    <w:tbl>
      <w:tblPr>
        <w:tblStyle w:val="4"/>
        <w:tblpPr w:leftFromText="180" w:rightFromText="180" w:vertAnchor="text" w:horzAnchor="page" w:tblpX="696" w:tblpY="17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
        <w:gridCol w:w="1233"/>
        <w:gridCol w:w="3530"/>
        <w:gridCol w:w="3052"/>
        <w:gridCol w:w="479"/>
        <w:gridCol w:w="452"/>
        <w:gridCol w:w="3727"/>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8"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序号</w:t>
            </w:r>
          </w:p>
        </w:tc>
        <w:tc>
          <w:tcPr>
            <w:tcW w:w="399"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val="0"/>
                <w:bCs w:val="0"/>
                <w:color w:val="auto"/>
                <w:sz w:val="21"/>
                <w:szCs w:val="21"/>
                <w:highlight w:val="none"/>
              </w:rPr>
            </w:pPr>
            <w:r>
              <w:rPr>
                <w:rFonts w:hint="eastAsia" w:ascii="宋体" w:hAnsi="宋体" w:eastAsia="宋体" w:cs="宋体"/>
                <w:b/>
                <w:bCs/>
                <w:color w:val="auto"/>
                <w:kern w:val="0"/>
                <w:sz w:val="21"/>
                <w:szCs w:val="21"/>
                <w:highlight w:val="none"/>
              </w:rPr>
              <w:t>事项名称</w:t>
            </w:r>
          </w:p>
        </w:tc>
        <w:tc>
          <w:tcPr>
            <w:tcW w:w="2133" w:type="pct"/>
            <w:gridSpan w:val="2"/>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法律依据</w:t>
            </w:r>
          </w:p>
        </w:tc>
        <w:tc>
          <w:tcPr>
            <w:tcW w:w="301" w:type="pct"/>
            <w:gridSpan w:val="2"/>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裁量</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阶次</w:t>
            </w:r>
          </w:p>
        </w:tc>
        <w:tc>
          <w:tcPr>
            <w:tcW w:w="1208"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适用条件</w:t>
            </w:r>
          </w:p>
        </w:tc>
        <w:tc>
          <w:tcPr>
            <w:tcW w:w="878"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违法依据</w:t>
            </w:r>
          </w:p>
        </w:tc>
        <w:tc>
          <w:tcPr>
            <w:tcW w:w="989" w:type="pc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处罚依据</w:t>
            </w:r>
          </w:p>
        </w:tc>
        <w:tc>
          <w:tcPr>
            <w:tcW w:w="301" w:type="pct"/>
            <w:gridSpan w:val="2"/>
            <w:vMerge w:val="continue"/>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p>
        </w:tc>
        <w:tc>
          <w:tcPr>
            <w:tcW w:w="1208" w:type="pct"/>
            <w:vMerge w:val="continue"/>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p>
        </w:tc>
        <w:tc>
          <w:tcPr>
            <w:tcW w:w="878" w:type="pct"/>
            <w:vMerge w:val="continue"/>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9" w:hRule="atLeast"/>
        </w:trPr>
        <w:tc>
          <w:tcPr>
            <w:tcW w:w="78"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399"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对</w:t>
            </w:r>
            <w:r>
              <w:rPr>
                <w:rFonts w:hint="eastAsia" w:ascii="宋体" w:hAnsi="宋体" w:eastAsia="宋体" w:cs="宋体"/>
                <w:b w:val="0"/>
                <w:bCs w:val="0"/>
                <w:color w:val="auto"/>
                <w:sz w:val="21"/>
                <w:szCs w:val="21"/>
                <w:highlight w:val="none"/>
                <w:vertAlign w:val="baseline"/>
              </w:rPr>
              <w:t>运动员、教练员、裁判员</w:t>
            </w:r>
            <w:r>
              <w:rPr>
                <w:rFonts w:hint="eastAsia" w:ascii="宋体" w:hAnsi="宋体" w:cs="宋体"/>
                <w:b w:val="0"/>
                <w:bCs w:val="0"/>
                <w:color w:val="auto"/>
                <w:sz w:val="21"/>
                <w:szCs w:val="21"/>
                <w:highlight w:val="none"/>
                <w:vertAlign w:val="baseline"/>
                <w:lang w:val="en-US" w:eastAsia="zh-CN"/>
              </w:rPr>
              <w:t>有</w:t>
            </w:r>
            <w:r>
              <w:rPr>
                <w:rFonts w:hint="eastAsia" w:ascii="宋体" w:hAnsi="宋体" w:eastAsia="宋体" w:cs="宋体"/>
                <w:b w:val="0"/>
                <w:bCs w:val="0"/>
                <w:color w:val="auto"/>
                <w:sz w:val="21"/>
                <w:szCs w:val="21"/>
                <w:highlight w:val="none"/>
                <w:vertAlign w:val="baseline"/>
              </w:rPr>
              <w:t>违反体育道德和体育赛事规则，弄虚作假、营私舞弊等行为</w:t>
            </w:r>
            <w:r>
              <w:rPr>
                <w:rFonts w:hint="eastAsia" w:ascii="宋体" w:hAnsi="宋体" w:eastAsia="宋体" w:cs="宋体"/>
                <w:b w:val="0"/>
                <w:bCs w:val="0"/>
                <w:color w:val="auto"/>
                <w:sz w:val="21"/>
                <w:szCs w:val="21"/>
                <w:highlight w:val="none"/>
                <w:vertAlign w:val="baseline"/>
                <w:lang w:val="en-US" w:eastAsia="zh-CN"/>
              </w:rPr>
              <w:t>的行政处罚</w:t>
            </w:r>
          </w:p>
        </w:tc>
        <w:tc>
          <w:tcPr>
            <w:tcW w:w="1144"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体育法 </w:t>
            </w:r>
            <w:r>
              <w:rPr>
                <w:rFonts w:hint="eastAsia" w:ascii="宋体" w:hAnsi="宋体" w:eastAsia="宋体" w:cs="宋体"/>
                <w:color w:val="auto"/>
                <w:sz w:val="21"/>
                <w:szCs w:val="21"/>
                <w:highlight w:val="none"/>
                <w:vertAlign w:val="baseline"/>
              </w:rPr>
              <w:t>第五十一条　</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体育赛事实行公平竞争的原则。</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体育赛事活动组织者和运动员、教练员、裁判员应当遵守体育道德和体育赛事规则，不得弄虚作假、营私舞弊。</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　严禁任何组织和个人利用体育赛事从事赌博活动。</w:t>
            </w:r>
          </w:p>
        </w:tc>
        <w:tc>
          <w:tcPr>
            <w:tcW w:w="989" w:type="pct"/>
            <w:vMerge w:val="restart"/>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体育法 </w:t>
            </w:r>
            <w:r>
              <w:rPr>
                <w:rFonts w:hint="eastAsia" w:ascii="宋体" w:hAnsi="宋体" w:eastAsia="宋体" w:cs="宋体"/>
                <w:color w:val="auto"/>
                <w:sz w:val="21"/>
                <w:szCs w:val="21"/>
                <w:highlight w:val="none"/>
                <w:vertAlign w:val="baseline"/>
              </w:rPr>
              <w:t>第一百一十二条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涉及赛事级别为县级，且违法所得1万元（含）以下的。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至3.7</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rPr>
              <w:t>的罚款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纳入限制参加竞技体育活动名单</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6"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sz w:val="21"/>
                <w:szCs w:val="21"/>
                <w:highlight w:val="none"/>
                <w:vertAlign w:val="baseline"/>
                <w:lang w:val="en-US" w:eastAsia="zh-CN"/>
              </w:rPr>
            </w:pPr>
          </w:p>
        </w:tc>
        <w:tc>
          <w:tcPr>
            <w:tcW w:w="1144"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rPr>
            </w:pPr>
          </w:p>
        </w:tc>
        <w:tc>
          <w:tcPr>
            <w:tcW w:w="989"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w:t>
            </w:r>
            <w:r>
              <w:rPr>
                <w:rFonts w:hint="eastAsia" w:ascii="宋体" w:hAnsi="宋体" w:cs="宋体"/>
                <w:color w:val="auto"/>
                <w:kern w:val="2"/>
                <w:sz w:val="21"/>
                <w:szCs w:val="21"/>
                <w:highlight w:val="none"/>
                <w:lang w:val="en-US" w:eastAsia="zh-CN" w:bidi="ar-SA"/>
              </w:rPr>
              <w:t>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涉及赛事级别为市级的；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②涉及赛事级别为县级，且违法所得1万元（不含）至10万元（含）的。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（不含）至7.3</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sz w:val="21"/>
                <w:szCs w:val="21"/>
                <w:highlight w:val="none"/>
              </w:rPr>
              <w:t>的罚款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纳入限制参加竞技体育活动名单</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8"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sz w:val="21"/>
                <w:szCs w:val="21"/>
                <w:highlight w:val="none"/>
                <w:vertAlign w:val="baseline"/>
                <w:lang w:val="en-US" w:eastAsia="zh-CN"/>
              </w:rPr>
            </w:pPr>
          </w:p>
        </w:tc>
        <w:tc>
          <w:tcPr>
            <w:tcW w:w="1144"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rPr>
            </w:pPr>
          </w:p>
        </w:tc>
        <w:tc>
          <w:tcPr>
            <w:tcW w:w="989"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20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涉及赛事级别为省级及以上的；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②违法所得超过10万元的；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③同一比赛连续2次及以上，或不同赛事3次及以上的；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④涉事人员为国家队运动员、教练员等的；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万元的罚款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纳入</w:t>
            </w:r>
            <w:r>
              <w:rPr>
                <w:rFonts w:hint="eastAsia" w:ascii="宋体" w:hAnsi="宋体" w:eastAsia="宋体" w:cs="宋体"/>
                <w:color w:val="auto"/>
                <w:kern w:val="0"/>
                <w:sz w:val="21"/>
                <w:szCs w:val="21"/>
                <w:highlight w:val="none"/>
                <w:lang w:val="en-US" w:eastAsia="zh-CN"/>
              </w:rPr>
              <w:t>禁止</w:t>
            </w:r>
            <w:r>
              <w:rPr>
                <w:rFonts w:hint="eastAsia" w:ascii="宋体" w:hAnsi="宋体" w:eastAsia="宋体" w:cs="宋体"/>
                <w:color w:val="auto"/>
                <w:kern w:val="0"/>
                <w:sz w:val="21"/>
                <w:szCs w:val="21"/>
                <w:highlight w:val="none"/>
              </w:rPr>
              <w:t>参加竞技体育活动名单</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7" w:hRule="atLeast"/>
        </w:trPr>
        <w:tc>
          <w:tcPr>
            <w:tcW w:w="78"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399"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对体育赛事活动组织者</w:t>
            </w:r>
            <w:r>
              <w:rPr>
                <w:rFonts w:hint="eastAsia" w:ascii="宋体" w:hAnsi="宋体" w:eastAsia="宋体" w:cs="宋体"/>
                <w:b w:val="0"/>
                <w:bCs w:val="0"/>
                <w:color w:val="auto"/>
                <w:sz w:val="21"/>
                <w:szCs w:val="21"/>
                <w:highlight w:val="none"/>
                <w:vertAlign w:val="baseline"/>
              </w:rPr>
              <w:t>有违反体育道德和体育赛事规则，弄虚作假、营私舞弊等行为</w:t>
            </w:r>
            <w:r>
              <w:rPr>
                <w:rFonts w:hint="eastAsia" w:ascii="宋体" w:hAnsi="宋体" w:eastAsia="宋体" w:cs="宋体"/>
                <w:b w:val="0"/>
                <w:bCs w:val="0"/>
                <w:color w:val="auto"/>
                <w:sz w:val="21"/>
                <w:szCs w:val="21"/>
                <w:highlight w:val="none"/>
                <w:vertAlign w:val="baseline"/>
                <w:lang w:val="en-US" w:eastAsia="zh-CN"/>
              </w:rPr>
              <w:t>的行政处罚</w:t>
            </w:r>
          </w:p>
        </w:tc>
        <w:tc>
          <w:tcPr>
            <w:tcW w:w="1144"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体育法 </w:t>
            </w:r>
            <w:r>
              <w:rPr>
                <w:rFonts w:hint="eastAsia" w:ascii="宋体" w:hAnsi="宋体" w:eastAsia="宋体" w:cs="宋体"/>
                <w:color w:val="auto"/>
                <w:sz w:val="21"/>
                <w:szCs w:val="21"/>
                <w:highlight w:val="none"/>
                <w:vertAlign w:val="baseline"/>
              </w:rPr>
              <w:t>第五十一条　</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体育赛事实行公平竞争的原则。</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体育赛事活动组织者和运动员、教练员、裁判员应当遵守体育道德和体育赛事规则，不得弄虚作假、营私舞弊。</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　严禁任何组织和个人利用体育赛事从事赌博活动。</w:t>
            </w:r>
          </w:p>
        </w:tc>
        <w:tc>
          <w:tcPr>
            <w:tcW w:w="989" w:type="pct"/>
            <w:vMerge w:val="restart"/>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体育法 </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第一百一十三条  第四项</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numPr>
                <w:ilvl w:val="-1"/>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（四）有违反体育道德和体育赛事规则，弄虚作假、营私舞弊等行为的；</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体育赛事活动赛风赛纪管理办法  第二十六条  </w:t>
            </w:r>
          </w:p>
          <w:p>
            <w:pPr>
              <w:numPr>
                <w:ilvl w:val="0"/>
                <w:numId w:val="0"/>
              </w:num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体育赛事活动组织者发生赛风赛纪违规行为的，由县级以上地方人民政府体育行政部门根据《体育法》第一百一十三条规定进行处罚。</w:t>
            </w: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涉及赛事级别为县级的。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至18.5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sz w:val="21"/>
                <w:szCs w:val="21"/>
                <w:highlight w:val="none"/>
                <w:vertAlign w:val="baseline"/>
                <w:lang w:val="en-US" w:eastAsia="zh-CN"/>
              </w:rPr>
            </w:pPr>
          </w:p>
        </w:tc>
        <w:tc>
          <w:tcPr>
            <w:tcW w:w="1144" w:type="pct"/>
            <w:vMerge w:val="continue"/>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涉及赛事级别为市级的。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18.5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sz w:val="21"/>
                <w:szCs w:val="21"/>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7"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sz w:val="21"/>
                <w:szCs w:val="21"/>
                <w:highlight w:val="none"/>
                <w:vertAlign w:val="baseline"/>
                <w:lang w:val="en-US" w:eastAsia="zh-CN"/>
              </w:rPr>
            </w:pPr>
          </w:p>
        </w:tc>
        <w:tc>
          <w:tcPr>
            <w:tcW w:w="1144" w:type="pct"/>
            <w:vMerge w:val="continue"/>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②涉及赛事级别为省级及以上的；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③违法所得50万元及以上的；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④同一比赛连续2次及以上，或不同赛事3次及以上的；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⑤涉事人员为国家队运动员、教练员等的；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⑥造</w:t>
            </w:r>
            <w:r>
              <w:rPr>
                <w:rFonts w:hint="eastAsia" w:ascii="宋体" w:hAnsi="宋体" w:eastAsia="宋体" w:cs="宋体"/>
                <w:color w:val="auto"/>
                <w:kern w:val="0"/>
                <w:sz w:val="21"/>
                <w:szCs w:val="21"/>
                <w:highlight w:val="none"/>
              </w:rPr>
              <w:t>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万元的罚款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给予1年以上3年以下禁止组织体育赛事活动的处罚。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trPr>
        <w:tc>
          <w:tcPr>
            <w:tcW w:w="78"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w:t>
            </w:r>
          </w:p>
        </w:tc>
        <w:tc>
          <w:tcPr>
            <w:tcW w:w="399"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对违反体育赛事活动审批规定的行政处罚</w:t>
            </w:r>
          </w:p>
        </w:tc>
        <w:tc>
          <w:tcPr>
            <w:tcW w:w="1144" w:type="pct"/>
            <w:vMerge w:val="restart"/>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第七条　</w:t>
            </w:r>
          </w:p>
          <w:p>
            <w:pPr>
              <w:widowControl/>
              <w:spacing w:line="240" w:lineRule="auto"/>
              <w:ind w:firstLine="0" w:firstLineChars="0"/>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申办国际体育赛事活动，应当按照程序报批，未经批准，不得申办。</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以下国际体育赛事活动需列入体育总局年度外事活动计划，并按照有关规定和审批权限报体育总局或国务院审批：体育总局主办或共同主办的重要国际体育赛事活动，国际体育组织主办的国际综合性运动会、世界锦标赛、世界杯赛、亚洲锦标赛、亚洲杯赛，涉及奥运会、亚运会资格或积分的赛事，体育总局相关单位或全国性单项体育协会主办的跨省（区、市）国际体育赛事活动，涉及海域、空域及地面敏感区域等特殊领域的国际体育赛事活动。</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体育总局相关单位或全国性单项体育协会主办，或与地方共同主办但由体育总局相关单位或全国性单项体育协会主导的国际体育赛事活动，需列入体育总局外事活动计划，原则上由有外事审批权的地方人民政府或其有关部门审批。</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地方自行主办，或与体育总局相关单位或全国性单项体育协会共同主办但由地方主导的国际体育赛事活动，由有外事审批权的地方人民政府或其有关部门审批，不列入体育总局外事活动计划，但应统一向体育总局备案。</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其他商业性、群众性国际体育赛事活动，应当按照属地管理原则，根据地方有关规定办理相关手续。地方体育行政部门提供业务指导和技术支持。</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第八条　</w:t>
            </w:r>
          </w:p>
          <w:p>
            <w:pPr>
              <w:widowControl/>
              <w:spacing w:line="240" w:lineRule="auto"/>
              <w:ind w:firstLine="0" w:firstLineChars="0"/>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举办需要行政许可的体育赛事活动，应当按照规定程序办理。</w:t>
            </w:r>
          </w:p>
        </w:tc>
        <w:tc>
          <w:tcPr>
            <w:tcW w:w="989"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第五十四条　第一项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违反本办法规定的行为，有关法律、法规及规章已有处罚规定的，从其规定。</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体育赛事活动组织者违反本办法规定，有下列情形之一的，由地方体育行政部门或其委托的综合行政执法部门责令改正，情节恶劣的，处以三万元以下罚款；属于非经营性体育赛事活动的，处以一千元以下罚款。</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（一）不符合本办法第七条、第八条对体育赛事活动审批规定的；</w:t>
            </w:r>
          </w:p>
        </w:tc>
        <w:tc>
          <w:tcPr>
            <w:tcW w:w="155"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经营性体育赛事活动的</w:t>
            </w:r>
          </w:p>
        </w:tc>
        <w:tc>
          <w:tcPr>
            <w:tcW w:w="146"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，并处9000元（含）以下的罚款。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，并处9000元（不含）至21000元（不含）的罚款。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2"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，并处21000元（含）至30000元的罚款。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8"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非经营性体育赛事活动的</w:t>
            </w: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并处300元（含）以下的罚款。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并处300元（不含）至700元（不含）的罚款。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并处700元（含）至1000元的罚款。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w:t>
            </w:r>
          </w:p>
        </w:tc>
        <w:tc>
          <w:tcPr>
            <w:tcW w:w="399" w:type="pct"/>
            <w:vMerge w:val="restart"/>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对境外非政府组织违规举办体育赛事活动的行政处罚</w:t>
            </w:r>
          </w:p>
        </w:tc>
        <w:tc>
          <w:tcPr>
            <w:tcW w:w="1144" w:type="pct"/>
            <w:vMerge w:val="restart"/>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第九条　</w:t>
            </w:r>
          </w:p>
          <w:p>
            <w:pPr>
              <w:widowControl/>
              <w:spacing w:line="240" w:lineRule="auto"/>
              <w:ind w:firstLine="0" w:firstLineChars="0"/>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境外非政府组织在境内开展体育赛事活动，应当依法登记设立代表机构。未登记设立代表机构需要在境内开展临时体育赛事活动的，应当经省级人民政府体育行政部门同意，并报同级公安机关备案。</w:t>
            </w:r>
          </w:p>
          <w:p>
            <w:pPr>
              <w:widowControl/>
              <w:spacing w:line="240" w:lineRule="auto"/>
              <w:ind w:firstLine="0" w:firstLineChars="0"/>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全国性单项体育协会代表中国参加相应的国际单项体育组织，任何组织和个人在中国境内主办或承办相应的国际单项体育组织的体育赛事活动，应当与相应的全国性单项体育协会协商一致，如暂未设立全国性单项体育协会的，应当与体育总局相应运动项目管理中心或相关单位协商一致。</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第五十四条　第二项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违反本办法规定的行为，有关法律、法规及规章已有处罚规定的，从其规定。</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体育赛事活动组织者违反本办法规定，有下列情形之一的，由地方体育行政部门或其委托的综合行政执法部门责令改正，情节恶劣的，处以三万元以下罚款；属于非经营性体育赛事活动的，处以一千元以下罚款。</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（二）不符合本办法第九条对境外非政府组织在中国境内举办体育赛事活动规定的；</w:t>
            </w:r>
          </w:p>
        </w:tc>
        <w:tc>
          <w:tcPr>
            <w:tcW w:w="155" w:type="pct"/>
            <w:vMerge w:val="restar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经营性体育赛事活动的</w:t>
            </w: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，并处9000元（含）以下的罚款。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，并处9000元（不含）至21000元（不含）的罚款。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，并处21000元（含）至30000元的罚款。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restar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非经营性体育赛事活动的</w:t>
            </w: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并处300元（含）以下的罚款。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并处300元（不含）至700元（不含）的罚款。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并处700元（含）至1000元的罚款。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7"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w:t>
            </w:r>
          </w:p>
        </w:tc>
        <w:tc>
          <w:tcPr>
            <w:tcW w:w="399" w:type="pct"/>
            <w:vMerge w:val="restart"/>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对未依法使用体育赛事活动名称的行政处罚</w:t>
            </w:r>
          </w:p>
        </w:tc>
        <w:tc>
          <w:tcPr>
            <w:tcW w:w="1144" w:type="pct"/>
            <w:vMerge w:val="restart"/>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第十一条　</w:t>
            </w:r>
          </w:p>
          <w:p>
            <w:pPr>
              <w:widowControl/>
              <w:spacing w:line="240" w:lineRule="auto"/>
              <w:ind w:firstLine="0" w:firstLineChars="0"/>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体育赛事活动的名称应当符合下列规定：</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（一）与举办地域和体育赛事活动的项目内容相一致；</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（二）与主办方开展活动的行业领域和人群范围相一致；</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（三）与其他自然人、法人或非法人组织举办的体育赛事活动名称有实质性区别；</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（四）不得侵犯其他自然人、法人或非法人组织的合法权益；</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（五）不得含有欺骗或可能造成公众误解的文字；</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（六）不得使用具有宗教含义的文字；</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（七）按照国家法律法规、政策要求使用“一带一路”、“金砖国家”、“上合组织”等含有政治、外交属性的文字；</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（八）相关法律、法规和规章的其他规定。</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第十二条</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中央和国家机关及其事业单位、全国性社会组织主办或承办的国际性、全国性体育赛事活动，名称中可以使用“世界”、“国际”、“亚洲”、“中国”、“全国”、“国家”等字样或具有类似含义的词汇，其他体育赛事活动不得使用与其相同或类似的名称。</w:t>
            </w:r>
          </w:p>
        </w:tc>
        <w:tc>
          <w:tcPr>
            <w:tcW w:w="989"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第五十四条　第三项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违反本办法规定的行为，有关法律、法规及规章已有处罚规定的，从其规定。</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体育赛事活动组织者违反本办法规定，有下列情形之一的，由地方体育行政部门或其委托的综合行政执法部门责令改正，情节恶劣的，处以三万元以下罚款；属于非经营性体育赛事活动的，处以一千元以下罚款。</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（三）不符合本办法第十一条、第十二条对体育赛事活动名称规定的；</w:t>
            </w:r>
          </w:p>
        </w:tc>
        <w:tc>
          <w:tcPr>
            <w:tcW w:w="155" w:type="pct"/>
            <w:vMerge w:val="restar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经营性体育赛事活动的</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，并处9000元（含）以下的罚款。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6"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，并处9000元（不含）至21000元（不含）的罚款。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，并处21000元（含）至30000元的罚款。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1"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restar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非经营性体育赛事活动的</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并处300元（含）以下的罚款。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3日（不含）至7日（含）内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并处300元（不含）至700元（不含）的罚款。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6"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超过7日未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并处700元（含）至1000元的罚款。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6"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6</w:t>
            </w:r>
          </w:p>
        </w:tc>
        <w:tc>
          <w:tcPr>
            <w:tcW w:w="399" w:type="pct"/>
            <w:vMerge w:val="restart"/>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rPr>
              <w:t>对体育赛事活动造成人身财产伤害事故或重大不良社会影响的行政处罚</w:t>
            </w:r>
          </w:p>
        </w:tc>
        <w:tc>
          <w:tcPr>
            <w:tcW w:w="1144" w:type="pct"/>
            <w:vMerge w:val="restart"/>
            <w:noWrap w:val="0"/>
            <w:vAlign w:val="center"/>
          </w:tcPr>
          <w:p>
            <w:pPr>
              <w:spacing w:line="240" w:lineRule="auto"/>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r>
              <w:rPr>
                <w:rFonts w:hint="eastAsia" w:ascii="宋体" w:hAnsi="宋体" w:eastAsia="宋体" w:cs="宋体"/>
                <w:b w:val="0"/>
                <w:bCs w:val="0"/>
                <w:color w:val="auto"/>
                <w:kern w:val="0"/>
                <w:sz w:val="21"/>
                <w:szCs w:val="21"/>
                <w:highlight w:val="none"/>
                <w:lang w:val="en-US" w:eastAsia="zh-CN"/>
              </w:rPr>
              <w:t>第二十八条</w:t>
            </w:r>
          </w:p>
          <w:p>
            <w:pPr>
              <w:spacing w:line="240" w:lineRule="auto"/>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自然人、法人和非法人组织依法参与体育赛事活动，享有获得基本安全保障、赛事服务等权利。体育赛事活动主办方或承办方因办赛需要使用自然人、法人和非法人组织相关信息的，应当保障信息安全，建立信息安全管理制度，不得违法使用或泄漏。</w:t>
            </w:r>
          </w:p>
          <w:p>
            <w:pPr>
              <w:spacing w:line="240" w:lineRule="auto"/>
              <w:jc w:val="both"/>
              <w:rPr>
                <w:rFonts w:hint="eastAsia" w:ascii="宋体" w:hAnsi="宋体" w:eastAsia="宋体" w:cs="宋体"/>
                <w:b w:val="0"/>
                <w:bCs w:val="0"/>
                <w:color w:val="auto"/>
                <w:kern w:val="0"/>
                <w:sz w:val="21"/>
                <w:szCs w:val="21"/>
                <w:highlight w:val="no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第三十一条</w:t>
            </w:r>
          </w:p>
          <w:p>
            <w:pPr>
              <w:spacing w:line="240" w:lineRule="auto"/>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　主办方和承办方应当加强观赛环境管理，维护赛场秩序，引导现场观众文明观赛，防止打架斗殴、拥挤踩踏等事件发生，防止不文明不健康、有侮辱性或谩骂性、破坏民族团结、分裂国家、反社会倾向等方面的言论、旗帜和标语出现，严禁携带危险品出入赛场。发现问题，应及时采取制止行为、终止赛事活动等处置措施。</w:t>
            </w:r>
          </w:p>
        </w:tc>
        <w:tc>
          <w:tcPr>
            <w:tcW w:w="989"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第五十四条　第四项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违反本办法规定的行为，有关法律、法规及规章已有处罚规定的，从其规定。</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体育赛事活动组织者违反本办法规定，有下列情形之一的，由地方体育行政部门或其委托的综合行政执法部门责令改正，情节恶劣的，处以三万元以下罚款；属于非经营性体育赛事活动的，处以一千元以下罚款。</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（四）造成人身财产伤害事故或重大不良社会影响的；</w:t>
            </w:r>
          </w:p>
        </w:tc>
        <w:tc>
          <w:tcPr>
            <w:tcW w:w="155"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经营性体育赛事活动的</w:t>
            </w:r>
          </w:p>
        </w:tc>
        <w:tc>
          <w:tcPr>
            <w:tcW w:w="146"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造成人身伤害事故的；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②造成20000元（含）以下的财产</w:t>
            </w:r>
            <w:r>
              <w:rPr>
                <w:rFonts w:hint="eastAsia" w:ascii="宋体" w:hAnsi="宋体" w:cs="宋体"/>
                <w:color w:val="auto"/>
                <w:kern w:val="0"/>
                <w:sz w:val="21"/>
                <w:szCs w:val="21"/>
                <w:highlight w:val="none"/>
                <w:lang w:val="en-US" w:eastAsia="zh-CN"/>
              </w:rPr>
              <w:t>损害</w:t>
            </w:r>
            <w:r>
              <w:rPr>
                <w:rFonts w:hint="eastAsia" w:ascii="宋体" w:hAnsi="宋体" w:eastAsia="宋体" w:cs="宋体"/>
                <w:color w:val="auto"/>
                <w:kern w:val="0"/>
                <w:sz w:val="21"/>
                <w:szCs w:val="21"/>
                <w:highlight w:val="none"/>
                <w:lang w:val="en-US" w:eastAsia="zh-CN"/>
              </w:rPr>
              <w:t>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③造成</w:t>
            </w:r>
            <w:r>
              <w:rPr>
                <w:rFonts w:hint="eastAsia" w:ascii="宋体" w:hAnsi="宋体" w:cs="宋体"/>
                <w:color w:val="auto"/>
                <w:kern w:val="0"/>
                <w:sz w:val="21"/>
                <w:szCs w:val="21"/>
                <w:highlight w:val="none"/>
                <w:lang w:val="en-US" w:eastAsia="zh-CN"/>
              </w:rPr>
              <w:t>重大</w:t>
            </w:r>
            <w:r>
              <w:rPr>
                <w:rFonts w:hint="eastAsia" w:ascii="宋体" w:hAnsi="宋体" w:eastAsia="宋体" w:cs="宋体"/>
                <w:color w:val="auto"/>
                <w:kern w:val="0"/>
                <w:sz w:val="21"/>
                <w:szCs w:val="21"/>
                <w:highlight w:val="none"/>
                <w:lang w:val="en-US" w:eastAsia="zh-CN"/>
              </w:rPr>
              <w:t>不良</w:t>
            </w:r>
            <w:r>
              <w:rPr>
                <w:rFonts w:hint="eastAsia" w:ascii="宋体" w:hAnsi="宋体" w:cs="宋体"/>
                <w:color w:val="auto"/>
                <w:kern w:val="0"/>
                <w:sz w:val="21"/>
                <w:szCs w:val="21"/>
                <w:highlight w:val="none"/>
                <w:lang w:val="en-US" w:eastAsia="zh-CN"/>
              </w:rPr>
              <w:t>社会</w:t>
            </w:r>
            <w:r>
              <w:rPr>
                <w:rFonts w:hint="eastAsia" w:ascii="宋体" w:hAnsi="宋体" w:eastAsia="宋体" w:cs="宋体"/>
                <w:color w:val="auto"/>
                <w:kern w:val="0"/>
                <w:sz w:val="21"/>
                <w:szCs w:val="21"/>
                <w:highlight w:val="none"/>
                <w:lang w:val="en-US" w:eastAsia="zh-CN"/>
              </w:rPr>
              <w:t>影响</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但积极配合并采取相应的</w:t>
            </w:r>
            <w:r>
              <w:rPr>
                <w:rFonts w:hint="eastAsia" w:ascii="宋体" w:hAnsi="宋体" w:cs="宋体"/>
                <w:color w:val="auto"/>
                <w:kern w:val="0"/>
                <w:sz w:val="21"/>
                <w:szCs w:val="21"/>
                <w:highlight w:val="none"/>
                <w:lang w:val="en-US" w:eastAsia="zh-CN"/>
              </w:rPr>
              <w:t>补救</w:t>
            </w:r>
            <w:r>
              <w:rPr>
                <w:rFonts w:hint="eastAsia" w:ascii="宋体" w:hAnsi="宋体" w:eastAsia="宋体" w:cs="宋体"/>
                <w:color w:val="auto"/>
                <w:kern w:val="0"/>
                <w:sz w:val="21"/>
                <w:szCs w:val="21"/>
                <w:highlight w:val="none"/>
                <w:lang w:val="en-US" w:eastAsia="zh-CN"/>
              </w:rPr>
              <w:t>措施的。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，并处21000元（不含）</w:t>
            </w:r>
            <w:r>
              <w:rPr>
                <w:rFonts w:hint="eastAsia" w:ascii="宋体" w:hAnsi="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9"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②造成人员死亡或重大人身伤害事故的；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③造成20000元</w:t>
            </w:r>
            <w:r>
              <w:rPr>
                <w:rFonts w:hint="eastAsia" w:ascii="宋体" w:hAnsi="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lang w:val="en-US" w:eastAsia="zh-CN"/>
              </w:rPr>
              <w:t>以上的财产</w:t>
            </w:r>
            <w:r>
              <w:rPr>
                <w:rFonts w:hint="eastAsia" w:ascii="宋体" w:hAnsi="宋体" w:cs="宋体"/>
                <w:color w:val="auto"/>
                <w:kern w:val="0"/>
                <w:sz w:val="21"/>
                <w:szCs w:val="21"/>
                <w:highlight w:val="none"/>
                <w:lang w:val="en-US" w:eastAsia="zh-CN"/>
              </w:rPr>
              <w:t>损害</w:t>
            </w:r>
            <w:r>
              <w:rPr>
                <w:rFonts w:hint="eastAsia" w:ascii="宋体" w:hAnsi="宋体" w:eastAsia="宋体" w:cs="宋体"/>
                <w:color w:val="auto"/>
                <w:kern w:val="0"/>
                <w:sz w:val="21"/>
                <w:szCs w:val="21"/>
                <w:highlight w:val="none"/>
                <w:lang w:val="en-US" w:eastAsia="zh-CN"/>
              </w:rPr>
              <w:t>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lang w:val="en-US" w:eastAsia="zh-CN"/>
              </w:rPr>
              <w:t>造成</w:t>
            </w:r>
            <w:r>
              <w:rPr>
                <w:rFonts w:hint="eastAsia" w:ascii="宋体" w:hAnsi="宋体" w:cs="宋体"/>
                <w:color w:val="auto"/>
                <w:kern w:val="0"/>
                <w:sz w:val="21"/>
                <w:szCs w:val="21"/>
                <w:highlight w:val="none"/>
                <w:lang w:val="en-US" w:eastAsia="zh-CN"/>
              </w:rPr>
              <w:t>重大</w:t>
            </w:r>
            <w:r>
              <w:rPr>
                <w:rFonts w:hint="eastAsia" w:ascii="宋体" w:hAnsi="宋体" w:eastAsia="宋体" w:cs="宋体"/>
                <w:color w:val="auto"/>
                <w:kern w:val="0"/>
                <w:sz w:val="21"/>
                <w:szCs w:val="21"/>
                <w:highlight w:val="none"/>
                <w:lang w:val="en-US" w:eastAsia="zh-CN"/>
              </w:rPr>
              <w:t>不良</w:t>
            </w:r>
            <w:r>
              <w:rPr>
                <w:rFonts w:hint="eastAsia" w:ascii="宋体" w:hAnsi="宋体" w:cs="宋体"/>
                <w:color w:val="auto"/>
                <w:kern w:val="0"/>
                <w:sz w:val="21"/>
                <w:szCs w:val="21"/>
                <w:highlight w:val="none"/>
                <w:lang w:val="en-US" w:eastAsia="zh-CN"/>
              </w:rPr>
              <w:t>社会</w:t>
            </w:r>
            <w:r>
              <w:rPr>
                <w:rFonts w:hint="eastAsia" w:ascii="宋体" w:hAnsi="宋体" w:eastAsia="宋体" w:cs="宋体"/>
                <w:color w:val="auto"/>
                <w:kern w:val="0"/>
                <w:sz w:val="21"/>
                <w:szCs w:val="21"/>
                <w:highlight w:val="none"/>
                <w:lang w:val="en-US" w:eastAsia="zh-CN"/>
              </w:rPr>
              <w:t>影响</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但</w:t>
            </w:r>
            <w:r>
              <w:rPr>
                <w:rFonts w:hint="eastAsia" w:ascii="宋体" w:hAnsi="宋体" w:cs="宋体"/>
                <w:color w:val="auto"/>
                <w:kern w:val="0"/>
                <w:sz w:val="21"/>
                <w:szCs w:val="21"/>
                <w:highlight w:val="none"/>
                <w:lang w:val="en-US" w:eastAsia="zh-CN"/>
              </w:rPr>
              <w:t>没有</w:t>
            </w:r>
            <w:r>
              <w:rPr>
                <w:rFonts w:hint="eastAsia" w:ascii="宋体" w:hAnsi="宋体" w:eastAsia="宋体" w:cs="宋体"/>
                <w:color w:val="auto"/>
                <w:kern w:val="0"/>
                <w:sz w:val="21"/>
                <w:szCs w:val="21"/>
                <w:highlight w:val="none"/>
                <w:lang w:val="en-US" w:eastAsia="zh-CN"/>
              </w:rPr>
              <w:t>采取相应的</w:t>
            </w:r>
            <w:r>
              <w:rPr>
                <w:rFonts w:hint="eastAsia" w:ascii="宋体" w:hAnsi="宋体" w:cs="宋体"/>
                <w:color w:val="auto"/>
                <w:kern w:val="0"/>
                <w:sz w:val="21"/>
                <w:szCs w:val="21"/>
                <w:highlight w:val="none"/>
                <w:lang w:val="en-US" w:eastAsia="zh-CN"/>
              </w:rPr>
              <w:t>补救</w:t>
            </w:r>
            <w:r>
              <w:rPr>
                <w:rFonts w:hint="eastAsia" w:ascii="宋体" w:hAnsi="宋体" w:eastAsia="宋体" w:cs="宋体"/>
                <w:color w:val="auto"/>
                <w:kern w:val="0"/>
                <w:sz w:val="21"/>
                <w:szCs w:val="21"/>
                <w:highlight w:val="none"/>
                <w:lang w:val="en-US" w:eastAsia="zh-CN"/>
              </w:rPr>
              <w:t>措施的。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，并处21000元（含）至30000元的罚款。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非经营性体育赛事活动的</w:t>
            </w: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造成人身伤害事故的；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②造成20000元（含）以下的财产</w:t>
            </w:r>
            <w:r>
              <w:rPr>
                <w:rFonts w:hint="eastAsia" w:ascii="宋体" w:hAnsi="宋体" w:cs="宋体"/>
                <w:color w:val="auto"/>
                <w:kern w:val="0"/>
                <w:sz w:val="21"/>
                <w:szCs w:val="21"/>
                <w:highlight w:val="none"/>
                <w:lang w:val="en-US" w:eastAsia="zh-CN"/>
              </w:rPr>
              <w:t>损害</w:t>
            </w:r>
            <w:r>
              <w:rPr>
                <w:rFonts w:hint="eastAsia" w:ascii="宋体" w:hAnsi="宋体" w:eastAsia="宋体" w:cs="宋体"/>
                <w:color w:val="auto"/>
                <w:kern w:val="0"/>
                <w:sz w:val="21"/>
                <w:szCs w:val="21"/>
                <w:highlight w:val="none"/>
                <w:lang w:val="en-US" w:eastAsia="zh-CN"/>
              </w:rPr>
              <w:t>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③造成</w:t>
            </w:r>
            <w:r>
              <w:rPr>
                <w:rFonts w:hint="eastAsia" w:ascii="宋体" w:hAnsi="宋体" w:cs="宋体"/>
                <w:color w:val="auto"/>
                <w:kern w:val="0"/>
                <w:sz w:val="21"/>
                <w:szCs w:val="21"/>
                <w:highlight w:val="none"/>
                <w:lang w:val="en-US" w:eastAsia="zh-CN"/>
              </w:rPr>
              <w:t>重大</w:t>
            </w:r>
            <w:r>
              <w:rPr>
                <w:rFonts w:hint="eastAsia" w:ascii="宋体" w:hAnsi="宋体" w:eastAsia="宋体" w:cs="宋体"/>
                <w:color w:val="auto"/>
                <w:kern w:val="0"/>
                <w:sz w:val="21"/>
                <w:szCs w:val="21"/>
                <w:highlight w:val="none"/>
                <w:lang w:val="en-US" w:eastAsia="zh-CN"/>
              </w:rPr>
              <w:t>不良</w:t>
            </w:r>
            <w:r>
              <w:rPr>
                <w:rFonts w:hint="eastAsia" w:ascii="宋体" w:hAnsi="宋体" w:cs="宋体"/>
                <w:color w:val="auto"/>
                <w:kern w:val="0"/>
                <w:sz w:val="21"/>
                <w:szCs w:val="21"/>
                <w:highlight w:val="none"/>
                <w:lang w:val="en-US" w:eastAsia="zh-CN"/>
              </w:rPr>
              <w:t>社会</w:t>
            </w:r>
            <w:r>
              <w:rPr>
                <w:rFonts w:hint="eastAsia" w:ascii="宋体" w:hAnsi="宋体" w:eastAsia="宋体" w:cs="宋体"/>
                <w:color w:val="auto"/>
                <w:kern w:val="0"/>
                <w:sz w:val="21"/>
                <w:szCs w:val="21"/>
                <w:highlight w:val="none"/>
                <w:lang w:val="en-US" w:eastAsia="zh-CN"/>
              </w:rPr>
              <w:t>影响</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但积极配合并采取相应的</w:t>
            </w:r>
            <w:r>
              <w:rPr>
                <w:rFonts w:hint="eastAsia" w:ascii="宋体" w:hAnsi="宋体" w:cs="宋体"/>
                <w:color w:val="auto"/>
                <w:kern w:val="0"/>
                <w:sz w:val="21"/>
                <w:szCs w:val="21"/>
                <w:highlight w:val="none"/>
                <w:lang w:val="en-US" w:eastAsia="zh-CN"/>
              </w:rPr>
              <w:t>补救</w:t>
            </w:r>
            <w:r>
              <w:rPr>
                <w:rFonts w:hint="eastAsia" w:ascii="宋体" w:hAnsi="宋体" w:eastAsia="宋体" w:cs="宋体"/>
                <w:color w:val="auto"/>
                <w:kern w:val="0"/>
                <w:sz w:val="21"/>
                <w:szCs w:val="21"/>
                <w:highlight w:val="none"/>
                <w:lang w:val="en-US" w:eastAsia="zh-CN"/>
              </w:rPr>
              <w:t>措施的。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并处700元（不含）</w:t>
            </w:r>
            <w:r>
              <w:rPr>
                <w:rFonts w:hint="eastAsia" w:ascii="宋体" w:hAnsi="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89"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②造成人员死亡或重大人身伤害事故的；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③造成20000元</w:t>
            </w:r>
            <w:r>
              <w:rPr>
                <w:rFonts w:hint="eastAsia" w:ascii="宋体" w:hAnsi="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lang w:val="en-US" w:eastAsia="zh-CN"/>
              </w:rPr>
              <w:t>以上的财产</w:t>
            </w:r>
            <w:r>
              <w:rPr>
                <w:rFonts w:hint="eastAsia" w:ascii="宋体" w:hAnsi="宋体" w:cs="宋体"/>
                <w:color w:val="auto"/>
                <w:kern w:val="0"/>
                <w:sz w:val="21"/>
                <w:szCs w:val="21"/>
                <w:highlight w:val="none"/>
                <w:lang w:val="en-US" w:eastAsia="zh-CN"/>
              </w:rPr>
              <w:t>损害</w:t>
            </w:r>
            <w:r>
              <w:rPr>
                <w:rFonts w:hint="eastAsia" w:ascii="宋体" w:hAnsi="宋体" w:eastAsia="宋体" w:cs="宋体"/>
                <w:color w:val="auto"/>
                <w:kern w:val="0"/>
                <w:sz w:val="21"/>
                <w:szCs w:val="21"/>
                <w:highlight w:val="none"/>
                <w:lang w:val="en-US" w:eastAsia="zh-CN"/>
              </w:rPr>
              <w:t>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lang w:val="en-US" w:eastAsia="zh-CN"/>
              </w:rPr>
              <w:t>造成</w:t>
            </w:r>
            <w:r>
              <w:rPr>
                <w:rFonts w:hint="eastAsia" w:ascii="宋体" w:hAnsi="宋体" w:cs="宋体"/>
                <w:color w:val="auto"/>
                <w:kern w:val="0"/>
                <w:sz w:val="21"/>
                <w:szCs w:val="21"/>
                <w:highlight w:val="none"/>
                <w:lang w:val="en-US" w:eastAsia="zh-CN"/>
              </w:rPr>
              <w:t>重大</w:t>
            </w:r>
            <w:r>
              <w:rPr>
                <w:rFonts w:hint="eastAsia" w:ascii="宋体" w:hAnsi="宋体" w:eastAsia="宋体" w:cs="宋体"/>
                <w:color w:val="auto"/>
                <w:kern w:val="0"/>
                <w:sz w:val="21"/>
                <w:szCs w:val="21"/>
                <w:highlight w:val="none"/>
                <w:lang w:val="en-US" w:eastAsia="zh-CN"/>
              </w:rPr>
              <w:t>不良</w:t>
            </w:r>
            <w:r>
              <w:rPr>
                <w:rFonts w:hint="eastAsia" w:ascii="宋体" w:hAnsi="宋体" w:cs="宋体"/>
                <w:color w:val="auto"/>
                <w:kern w:val="0"/>
                <w:sz w:val="21"/>
                <w:szCs w:val="21"/>
                <w:highlight w:val="none"/>
                <w:lang w:val="en-US" w:eastAsia="zh-CN"/>
              </w:rPr>
              <w:t>社会</w:t>
            </w:r>
            <w:r>
              <w:rPr>
                <w:rFonts w:hint="eastAsia" w:ascii="宋体" w:hAnsi="宋体" w:eastAsia="宋体" w:cs="宋体"/>
                <w:color w:val="auto"/>
                <w:kern w:val="0"/>
                <w:sz w:val="21"/>
                <w:szCs w:val="21"/>
                <w:highlight w:val="none"/>
                <w:lang w:val="en-US" w:eastAsia="zh-CN"/>
              </w:rPr>
              <w:t>影响</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但</w:t>
            </w:r>
            <w:r>
              <w:rPr>
                <w:rFonts w:hint="eastAsia" w:ascii="宋体" w:hAnsi="宋体" w:cs="宋体"/>
                <w:color w:val="auto"/>
                <w:kern w:val="0"/>
                <w:sz w:val="21"/>
                <w:szCs w:val="21"/>
                <w:highlight w:val="none"/>
                <w:lang w:val="en-US" w:eastAsia="zh-CN"/>
              </w:rPr>
              <w:t>没有</w:t>
            </w:r>
            <w:r>
              <w:rPr>
                <w:rFonts w:hint="eastAsia" w:ascii="宋体" w:hAnsi="宋体" w:eastAsia="宋体" w:cs="宋体"/>
                <w:color w:val="auto"/>
                <w:kern w:val="0"/>
                <w:sz w:val="21"/>
                <w:szCs w:val="21"/>
                <w:highlight w:val="none"/>
                <w:lang w:val="en-US" w:eastAsia="zh-CN"/>
              </w:rPr>
              <w:t>采取相应的</w:t>
            </w:r>
            <w:r>
              <w:rPr>
                <w:rFonts w:hint="eastAsia" w:ascii="宋体" w:hAnsi="宋体" w:cs="宋体"/>
                <w:color w:val="auto"/>
                <w:kern w:val="0"/>
                <w:sz w:val="21"/>
                <w:szCs w:val="21"/>
                <w:highlight w:val="none"/>
                <w:lang w:val="en-US" w:eastAsia="zh-CN"/>
              </w:rPr>
              <w:t>补救</w:t>
            </w:r>
            <w:r>
              <w:rPr>
                <w:rFonts w:hint="eastAsia" w:ascii="宋体" w:hAnsi="宋体" w:eastAsia="宋体" w:cs="宋体"/>
                <w:color w:val="auto"/>
                <w:kern w:val="0"/>
                <w:sz w:val="21"/>
                <w:szCs w:val="21"/>
                <w:highlight w:val="none"/>
                <w:lang w:val="en-US" w:eastAsia="zh-CN"/>
              </w:rPr>
              <w:t>措施的。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并处700元（含）至1000元的罚款。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7</w:t>
            </w:r>
          </w:p>
        </w:tc>
        <w:tc>
          <w:tcPr>
            <w:tcW w:w="399" w:type="pct"/>
            <w:vMerge w:val="restart"/>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对体育赛事活动侵犯他人或其他组织合法权益的行政处罚</w:t>
            </w:r>
          </w:p>
        </w:tc>
        <w:tc>
          <w:tcPr>
            <w:tcW w:w="1144" w:type="pct"/>
            <w:vMerge w:val="restart"/>
            <w:shd w:val="clear" w:color="auto" w:fill="auto"/>
            <w:noWrap w:val="0"/>
            <w:vAlign w:val="center"/>
          </w:tcPr>
          <w:p>
            <w:pPr>
              <w:spacing w:line="240" w:lineRule="auto"/>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r>
              <w:rPr>
                <w:rFonts w:hint="eastAsia" w:ascii="宋体" w:hAnsi="宋体" w:eastAsia="宋体" w:cs="宋体"/>
                <w:b w:val="0"/>
                <w:bCs w:val="0"/>
                <w:color w:val="auto"/>
                <w:kern w:val="0"/>
                <w:sz w:val="21"/>
                <w:szCs w:val="21"/>
                <w:highlight w:val="none"/>
                <w:lang w:val="en-US" w:eastAsia="zh-CN"/>
              </w:rPr>
              <w:t>第二十八条</w:t>
            </w:r>
          </w:p>
          <w:p>
            <w:pPr>
              <w:spacing w:line="240" w:lineRule="auto"/>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　自然人、法人和非法人组织依法参与体育赛事活动，享有获得基本安全保障、赛事服务等权利。体育赛事活动主办方或承办方因办赛需要使用自然人、法人和非法人组织相关信息的，应当保障信息安全，建立信息安全管理制度，不得违法使用或泄漏。</w:t>
            </w:r>
          </w:p>
          <w:p>
            <w:pPr>
              <w:spacing w:line="240" w:lineRule="auto"/>
              <w:jc w:val="both"/>
              <w:rPr>
                <w:rFonts w:hint="eastAsia" w:ascii="宋体" w:hAnsi="宋体" w:eastAsia="宋体" w:cs="宋体"/>
                <w:b w:val="0"/>
                <w:bCs w:val="0"/>
                <w:color w:val="auto"/>
                <w:kern w:val="0"/>
                <w:sz w:val="21"/>
                <w:szCs w:val="21"/>
                <w:highlight w:val="no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体育赛事活动管理办法 第三十一条</w:t>
            </w:r>
          </w:p>
          <w:p>
            <w:pPr>
              <w:spacing w:line="240" w:lineRule="auto"/>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　主办方和承办方应当加强观赛环境管理，维护赛场秩序，引导现场观众文明观赛，防止打架斗殴、拥挤踩踏等事件发生，防止不文明不健康、有侮辱性或谩骂性、破坏民族团结、分裂国家、反社会倾向等方面的言论、旗帜和标语出现，严禁携带危险品出入赛场。发现问题，应及时采取制止行为、终止赛事活动等处置措施。</w:t>
            </w:r>
          </w:p>
        </w:tc>
        <w:tc>
          <w:tcPr>
            <w:tcW w:w="989" w:type="pct"/>
            <w:vMerge w:val="restart"/>
            <w:shd w:val="clear" w:color="auto" w:fill="auto"/>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体育赛事活动管理办法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第五十四条　第五项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违反本办法规定的行为，有关法律、法规及规章已有处罚规定的，从其规定。</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体育赛事活动组织者违反本办法规定，有下列情形之一的，由地方体育行政部门或其委托的综合行政执法部门责令改正，情节恶劣的，处以三万元以下罚款；属于非经营性体育赛事活动的，处以一千元以下罚款。</w:t>
            </w:r>
          </w:p>
          <w:p>
            <w:pPr>
              <w:numPr>
                <w:ilvl w:val="0"/>
                <w:numId w:val="0"/>
              </w:numPr>
              <w:spacing w:line="240" w:lineRule="auto"/>
              <w:ind w:left="0" w:leftChars="0"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（五）其他侵犯其他自然人、法人或非法人组织合法权益的。</w:t>
            </w:r>
          </w:p>
        </w:tc>
        <w:tc>
          <w:tcPr>
            <w:tcW w:w="155" w:type="pct"/>
            <w:vMerge w:val="restar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经营性体育赛事活动的</w:t>
            </w: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其他侵犯其他自然人、法人或非法人组织合法权益</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kern w:val="0"/>
                <w:sz w:val="21"/>
                <w:szCs w:val="21"/>
                <w:highlight w:val="none"/>
                <w:lang w:val="en-US" w:eastAsia="zh-CN"/>
              </w:rPr>
              <w:t>但积极配合并采取相应</w:t>
            </w:r>
            <w:r>
              <w:rPr>
                <w:rFonts w:hint="eastAsia" w:ascii="宋体" w:hAnsi="宋体" w:cs="宋体"/>
                <w:color w:val="auto"/>
                <w:kern w:val="0"/>
                <w:sz w:val="21"/>
                <w:szCs w:val="21"/>
                <w:highlight w:val="none"/>
                <w:lang w:val="en-US" w:eastAsia="zh-CN"/>
              </w:rPr>
              <w:t>补救</w:t>
            </w:r>
            <w:r>
              <w:rPr>
                <w:rFonts w:hint="eastAsia" w:ascii="宋体" w:hAnsi="宋体" w:eastAsia="宋体" w:cs="宋体"/>
                <w:color w:val="auto"/>
                <w:kern w:val="0"/>
                <w:sz w:val="21"/>
                <w:szCs w:val="21"/>
                <w:highlight w:val="none"/>
                <w:lang w:val="en-US" w:eastAsia="zh-CN"/>
              </w:rPr>
              <w:t>措施的</w:t>
            </w:r>
            <w:r>
              <w:rPr>
                <w:rFonts w:hint="eastAsia" w:ascii="宋体" w:hAnsi="宋体" w:cs="宋体"/>
                <w:color w:val="auto"/>
                <w:kern w:val="0"/>
                <w:sz w:val="21"/>
                <w:szCs w:val="21"/>
                <w:highlight w:val="none"/>
                <w:lang w:val="en-US"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，并处21000元（不含）</w:t>
            </w:r>
            <w:r>
              <w:rPr>
                <w:rFonts w:hint="eastAsia" w:ascii="宋体" w:hAnsi="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5"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shd w:val="clear" w:color="auto" w:fill="auto"/>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89" w:type="pct"/>
            <w:vMerge w:val="continue"/>
            <w:shd w:val="clear" w:color="auto" w:fill="auto"/>
            <w:noWrap w:val="0"/>
            <w:vAlign w:val="center"/>
          </w:tcPr>
          <w:p>
            <w:pPr>
              <w:numPr>
                <w:ilvl w:val="0"/>
                <w:numId w:val="0"/>
              </w:numPr>
              <w:spacing w:line="240" w:lineRule="auto"/>
              <w:ind w:left="0" w:leftChars="0"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其他严重侵犯其他自然人、法人或非法人组织合法权益的</w:t>
            </w:r>
            <w:r>
              <w:rPr>
                <w:rFonts w:hint="eastAsia" w:ascii="宋体" w:hAnsi="宋体" w:cs="宋体"/>
                <w:color w:val="auto"/>
                <w:sz w:val="21"/>
                <w:szCs w:val="21"/>
                <w:highlight w:val="none"/>
                <w:vertAlign w:val="baseline"/>
                <w:lang w:val="en-US" w:eastAsia="zh-CN"/>
              </w:rPr>
              <w:t>，且未采取相应补救措施的。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val="en-US" w:eastAsia="zh-CN"/>
              </w:rPr>
              <w:t>，并处21000元（含）至30000元的罚款。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6"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shd w:val="clear" w:color="auto" w:fill="auto"/>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89" w:type="pct"/>
            <w:vMerge w:val="continue"/>
            <w:shd w:val="clear" w:color="auto" w:fill="auto"/>
            <w:noWrap w:val="0"/>
            <w:vAlign w:val="center"/>
          </w:tcPr>
          <w:p>
            <w:pPr>
              <w:numPr>
                <w:ilvl w:val="0"/>
                <w:numId w:val="0"/>
              </w:numPr>
              <w:spacing w:line="240" w:lineRule="auto"/>
              <w:ind w:left="0" w:leftChars="0"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非经营性体育赛事活动的</w:t>
            </w: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其他侵犯其他自然人、法人或非法人组织合法权益</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kern w:val="0"/>
                <w:sz w:val="21"/>
                <w:szCs w:val="21"/>
                <w:highlight w:val="none"/>
                <w:lang w:val="en-US" w:eastAsia="zh-CN"/>
              </w:rPr>
              <w:t>但积极配合并采取相应</w:t>
            </w:r>
            <w:r>
              <w:rPr>
                <w:rFonts w:hint="eastAsia" w:ascii="宋体" w:hAnsi="宋体" w:cs="宋体"/>
                <w:color w:val="auto"/>
                <w:kern w:val="0"/>
                <w:sz w:val="21"/>
                <w:szCs w:val="21"/>
                <w:highlight w:val="none"/>
                <w:lang w:val="en-US" w:eastAsia="zh-CN"/>
              </w:rPr>
              <w:t>补救</w:t>
            </w:r>
            <w:r>
              <w:rPr>
                <w:rFonts w:hint="eastAsia" w:ascii="宋体" w:hAnsi="宋体" w:eastAsia="宋体" w:cs="宋体"/>
                <w:color w:val="auto"/>
                <w:kern w:val="0"/>
                <w:sz w:val="21"/>
                <w:szCs w:val="21"/>
                <w:highlight w:val="none"/>
                <w:lang w:val="en-US" w:eastAsia="zh-CN"/>
              </w:rPr>
              <w:t>措施的</w:t>
            </w:r>
            <w:r>
              <w:rPr>
                <w:rFonts w:hint="eastAsia" w:ascii="宋体" w:hAnsi="宋体" w:cs="宋体"/>
                <w:color w:val="auto"/>
                <w:kern w:val="0"/>
                <w:sz w:val="21"/>
                <w:szCs w:val="21"/>
                <w:highlight w:val="none"/>
                <w:lang w:val="en-US" w:eastAsia="zh-CN"/>
              </w:rPr>
              <w:t>。</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并处700元（不含）</w:t>
            </w:r>
            <w:r>
              <w:rPr>
                <w:rFonts w:hint="eastAsia" w:ascii="宋体" w:hAnsi="宋体" w:cs="宋体"/>
                <w:color w:val="auto"/>
                <w:kern w:val="0"/>
                <w:sz w:val="21"/>
                <w:szCs w:val="21"/>
                <w:highlight w:val="none"/>
                <w:lang w:val="en-US" w:eastAsia="zh-CN"/>
              </w:rPr>
              <w:t>以下</w:t>
            </w:r>
            <w:r>
              <w:rPr>
                <w:rFonts w:hint="eastAsia" w:ascii="宋体" w:hAnsi="宋体" w:eastAsia="宋体" w:cs="宋体"/>
                <w:color w:val="auto"/>
                <w:kern w:val="0"/>
                <w:sz w:val="21"/>
                <w:szCs w:val="21"/>
                <w:highlight w:val="no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shd w:val="clear" w:color="auto" w:fill="auto"/>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89" w:type="pct"/>
            <w:vMerge w:val="continue"/>
            <w:shd w:val="clear" w:color="auto" w:fill="auto"/>
            <w:noWrap w:val="0"/>
            <w:vAlign w:val="center"/>
          </w:tcPr>
          <w:p>
            <w:pPr>
              <w:numPr>
                <w:ilvl w:val="0"/>
                <w:numId w:val="0"/>
              </w:numPr>
              <w:spacing w:line="240" w:lineRule="auto"/>
              <w:ind w:left="0" w:leftChars="0" w:firstLine="210" w:firstLineChars="100"/>
              <w:jc w:val="both"/>
              <w:rPr>
                <w:rFonts w:hint="eastAsia" w:ascii="宋体" w:hAnsi="宋体" w:eastAsia="宋体" w:cs="宋体"/>
                <w:color w:val="auto"/>
                <w:sz w:val="21"/>
                <w:szCs w:val="21"/>
                <w:highlight w:val="none"/>
                <w:vertAlign w:val="baseline"/>
                <w:lang w:val="en-US" w:eastAsia="zh-CN"/>
              </w:rPr>
            </w:pPr>
          </w:p>
        </w:tc>
        <w:tc>
          <w:tcPr>
            <w:tcW w:w="155"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46" w:type="pct"/>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其他严重侵犯其他自然人、法人或非法人组织合法权益的</w:t>
            </w:r>
            <w:r>
              <w:rPr>
                <w:rFonts w:hint="eastAsia" w:ascii="宋体" w:hAnsi="宋体" w:cs="宋体"/>
                <w:color w:val="auto"/>
                <w:sz w:val="21"/>
                <w:szCs w:val="21"/>
                <w:highlight w:val="none"/>
                <w:vertAlign w:val="baseline"/>
                <w:lang w:val="en-US" w:eastAsia="zh-CN"/>
              </w:rPr>
              <w:t>，且未采取相应补救措施的。</w:t>
            </w:r>
          </w:p>
        </w:tc>
        <w:tc>
          <w:tcPr>
            <w:tcW w:w="87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并处700元（含）至1000元的罚款。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8</w:t>
            </w:r>
          </w:p>
        </w:tc>
        <w:tc>
          <w:tcPr>
            <w:tcW w:w="399"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color w:val="auto"/>
                <w:sz w:val="21"/>
                <w:szCs w:val="21"/>
                <w:highlight w:val="none"/>
                <w:vertAlign w:val="baseline"/>
                <w:lang w:val="en-US" w:eastAsia="zh-CN"/>
              </w:rPr>
              <w:t>体育赛事活动组织者未经许可举办高危险性体育赛事活动的行政处罚</w:t>
            </w:r>
          </w:p>
        </w:tc>
        <w:tc>
          <w:tcPr>
            <w:tcW w:w="1144" w:type="pct"/>
            <w:vMerge w:val="restart"/>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体育法 第一百零六条  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举办高危险性体育赛事活动，应当符合下列条件，并向县级以上地方人民政府体育行政部门提出申请：</w:t>
            </w:r>
          </w:p>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（一）配备具有相应资格或者资质的专业技术人员；</w:t>
            </w:r>
          </w:p>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（二）配置符合相关标准和要求的场地、器材和设施；</w:t>
            </w:r>
          </w:p>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（三）制定通信、安全、交通、卫生健康、食品、应急救援等相关保障措施。</w:t>
            </w:r>
          </w:p>
          <w:p>
            <w:pPr>
              <w:numPr>
                <w:ilvl w:val="0"/>
                <w:numId w:val="0"/>
              </w:numPr>
              <w:spacing w:line="240" w:lineRule="auto"/>
              <w:jc w:val="both"/>
              <w:rPr>
                <w:rFonts w:hint="eastAsia" w:ascii="宋体" w:hAnsi="宋体" w:eastAsia="宋体" w:cs="宋体"/>
                <w:color w:val="auto"/>
                <w:kern w:val="2"/>
                <w:sz w:val="21"/>
                <w:szCs w:val="21"/>
                <w:highlight w:val="none"/>
                <w:vertAlign w:val="baseline"/>
                <w:lang w:val="en-US" w:eastAsia="zh-CN" w:bidi="ar-SA"/>
              </w:rPr>
            </w:pPr>
          </w:p>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县级以上地方人民政府体育行政部门应当自收到申请之日起三十日内进行实地核查，并作出批准或者不予批准的决定。国务院体育行政部门会同有关部门制定、调整高危险性体育赛事活动目录并予以公布。</w:t>
            </w:r>
          </w:p>
        </w:tc>
        <w:tc>
          <w:tcPr>
            <w:tcW w:w="989" w:type="pct"/>
            <w:vMerge w:val="restart"/>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体育法 </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第一百一十三条  第一项</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（一）未经许可举办高危险性体育赛事活动的；</w:t>
            </w: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涉及赛事级别为县级的。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至18.5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144"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涉及赛事级别为市级的。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18.5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sz w:val="21"/>
                <w:szCs w:val="21"/>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144"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p>
        </w:tc>
        <w:tc>
          <w:tcPr>
            <w:tcW w:w="989" w:type="pct"/>
            <w:vMerge w:val="continue"/>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②涉及赛事级别为省级及以上的；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③实施同一违法行为3次及以上的；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④违法所得5万元及以上的；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⑤造成人员死亡或重大人身财产伤害事故的；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⑥造成严重后果与恶劣影响的其他情形。</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万元的罚款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给予1年以上3年以下禁止组织体育赛事活动的处罚。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9</w:t>
            </w:r>
          </w:p>
        </w:tc>
        <w:tc>
          <w:tcPr>
            <w:tcW w:w="399" w:type="pct"/>
            <w:vMerge w:val="restart"/>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b w:val="0"/>
                <w:bCs w:val="0"/>
                <w:color w:val="auto"/>
                <w:sz w:val="21"/>
                <w:szCs w:val="21"/>
                <w:highlight w:val="none"/>
                <w:vertAlign w:val="baseline"/>
                <w:lang w:val="en-US" w:eastAsia="zh-CN"/>
              </w:rPr>
              <w:t>体育赛事活动组织者</w:t>
            </w:r>
            <w:r>
              <w:rPr>
                <w:rFonts w:hint="eastAsia" w:ascii="宋体" w:hAnsi="宋体" w:cs="宋体"/>
                <w:b w:val="0"/>
                <w:bCs w:val="0"/>
                <w:color w:val="auto"/>
                <w:sz w:val="21"/>
                <w:szCs w:val="21"/>
                <w:highlight w:val="none"/>
                <w:vertAlign w:val="baseline"/>
                <w:lang w:val="en-US" w:eastAsia="zh-CN"/>
              </w:rPr>
              <w:t>未履行安全保障义务的行政处罚</w:t>
            </w:r>
          </w:p>
        </w:tc>
        <w:tc>
          <w:tcPr>
            <w:tcW w:w="1144" w:type="pct"/>
            <w:vMerge w:val="restart"/>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体育法 </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第一百零二条  第三项、第四项</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体育赛事活动组织者应当履行安全保障义务，提供符合要求的安全条件，制定风险防范及应急处置预案等保障措施，维护体育赛事活动的安全。</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体育赛事活动因发生极端天气、自然灾害、公共卫生事件等突发事件，不具备办赛条件的，体育赛事活动组织者应当及时予以中止；未中止的，县级以上人民政府应当责令其中止。</w:t>
            </w:r>
          </w:p>
        </w:tc>
        <w:tc>
          <w:tcPr>
            <w:tcW w:w="989" w:type="pct"/>
            <w:vMerge w:val="restart"/>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体育法 第一百一十三条  </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第二项、第三项、第五项</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（二）体育赛事活动因突发事件不具备办赛条件时，未及时中止的；</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（三）安全条件不符合要求的；</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（五）未按要求采取风险防范及应急处置预案等保障措施的。</w:t>
            </w: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涉及赛事级别为县级的。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至18.5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sz w:val="21"/>
                <w:szCs w:val="21"/>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144" w:type="pct"/>
            <w:vMerge w:val="continue"/>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989" w:type="pct"/>
            <w:vMerge w:val="continue"/>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涉及赛事级别为市级的。</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18.5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sz w:val="21"/>
                <w:szCs w:val="21"/>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1"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144" w:type="pct"/>
            <w:vMerge w:val="continue"/>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989" w:type="pct"/>
            <w:vMerge w:val="continue"/>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tc>
        <w:tc>
          <w:tcPr>
            <w:tcW w:w="301" w:type="pct"/>
            <w:gridSpan w:val="2"/>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①拒不改正的；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②涉及赛事级别为省级及以上的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③违法所得20万元及以上的；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④造成人员死亡或重大人身伤害事故的；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⑤造成严重后果与恶劣社会影响的其他情形。</w:t>
            </w:r>
          </w:p>
        </w:tc>
        <w:tc>
          <w:tcPr>
            <w:tcW w:w="878"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有违法所得的，没收违法所得，并处</w:t>
            </w: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万元的罚款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给予1年以上3年以下禁止组织体育赛事活动的处罚。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3"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10</w:t>
            </w:r>
          </w:p>
        </w:tc>
        <w:tc>
          <w:tcPr>
            <w:tcW w:w="399"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w:t>
            </w:r>
            <w:r>
              <w:rPr>
                <w:rFonts w:hint="eastAsia" w:ascii="宋体" w:hAnsi="宋体" w:cs="宋体"/>
                <w:b w:val="0"/>
                <w:bCs w:val="0"/>
                <w:color w:val="auto"/>
                <w:kern w:val="0"/>
                <w:sz w:val="21"/>
                <w:szCs w:val="21"/>
                <w:highlight w:val="none"/>
                <w:lang w:val="en-US" w:eastAsia="zh-CN"/>
              </w:rPr>
              <w:t>未按规定确定体育赛事裁判员</w:t>
            </w:r>
            <w:r>
              <w:rPr>
                <w:rFonts w:hint="eastAsia" w:ascii="宋体" w:hAnsi="宋体" w:eastAsia="宋体" w:cs="宋体"/>
                <w:b w:val="0"/>
                <w:bCs w:val="0"/>
                <w:color w:val="auto"/>
                <w:kern w:val="0"/>
                <w:sz w:val="21"/>
                <w:szCs w:val="21"/>
                <w:highlight w:val="none"/>
              </w:rPr>
              <w:t>的行政处罚</w:t>
            </w:r>
          </w:p>
        </w:tc>
        <w:tc>
          <w:tcPr>
            <w:tcW w:w="1144"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浙江省体育赛事管理办法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第十一条　</w:t>
            </w:r>
          </w:p>
          <w:p>
            <w:pPr>
              <w:widowControl w:val="0"/>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举办体育赛事，主办人或者承办人应当根据体育赛事的专业性要求和国家有关裁判员管理规定，按照公开、择优、中立的原则确定裁判员。</w:t>
            </w:r>
          </w:p>
        </w:tc>
        <w:tc>
          <w:tcPr>
            <w:tcW w:w="989"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浙江省体育赛事管理办法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第二十条　</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违反本办法规定的行为，有关法律、法规、规章已有处罚规定的，从其规定。违反本办法</w:t>
            </w:r>
            <w:r>
              <w:rPr>
                <w:rFonts w:hint="eastAsia" w:ascii="宋体" w:hAnsi="宋体" w:eastAsia="宋体" w:cs="宋体"/>
                <w:b w:val="0"/>
                <w:bCs w:val="0"/>
                <w:color w:val="auto"/>
                <w:sz w:val="21"/>
                <w:szCs w:val="21"/>
                <w:highlight w:val="none"/>
                <w:vertAlign w:val="baseline"/>
                <w:lang w:val="en-US" w:eastAsia="zh-CN"/>
              </w:rPr>
              <w:t>第十条第一款</w:t>
            </w:r>
            <w:r>
              <w:rPr>
                <w:rFonts w:hint="eastAsia" w:ascii="宋体" w:hAnsi="宋体" w:eastAsia="宋体" w:cs="宋体"/>
                <w:color w:val="auto"/>
                <w:sz w:val="21"/>
                <w:szCs w:val="21"/>
                <w:highlight w:val="none"/>
                <w:vertAlign w:val="baseline"/>
                <w:lang w:val="en-US" w:eastAsia="zh-CN"/>
              </w:rPr>
              <w:t>、第十一条、第十二条、第十三条规定的，由体育主管部门责令改正；拒不改正或者造成严重后果的，由体育主管部门酌情处2000元以上3万元以下的罚款。</w:t>
            </w:r>
          </w:p>
        </w:tc>
        <w:tc>
          <w:tcPr>
            <w:tcW w:w="301" w:type="pct"/>
            <w:gridSpan w:val="2"/>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rPr>
              <w:t>阻碍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拒不配合</w:t>
            </w:r>
            <w:r>
              <w:rPr>
                <w:rFonts w:hint="eastAsia" w:ascii="宋体" w:hAnsi="宋体" w:eastAsia="宋体" w:cs="宋体"/>
                <w:color w:val="auto"/>
                <w:kern w:val="0"/>
                <w:sz w:val="21"/>
                <w:szCs w:val="21"/>
                <w:highlight w:val="none"/>
                <w:lang w:val="en-US" w:eastAsia="zh-CN"/>
              </w:rPr>
              <w:t>执法工作的；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2"/>
                <w:sz w:val="21"/>
                <w:szCs w:val="21"/>
                <w:highlight w:val="none"/>
                <w:lang w:val="en-US" w:eastAsia="zh-CN" w:bidi="ar-SA"/>
              </w:rPr>
              <w:t>影响赛事正常进展的</w:t>
            </w:r>
            <w:r>
              <w:rPr>
                <w:rFonts w:hint="eastAsia" w:ascii="宋体" w:hAnsi="宋体" w:eastAsia="宋体" w:cs="宋体"/>
                <w:color w:val="auto"/>
                <w:kern w:val="0"/>
                <w:sz w:val="21"/>
                <w:szCs w:val="21"/>
                <w:highlight w:val="none"/>
                <w:lang w:val="en-US" w:eastAsia="zh-CN"/>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③造成一定不良后果或负面影响的其他情形。</w:t>
            </w:r>
          </w:p>
        </w:tc>
        <w:tc>
          <w:tcPr>
            <w:tcW w:w="878" w:type="pct"/>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可以处2000元</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b w:val="0"/>
                <w:bCs w:val="0"/>
                <w:color w:val="auto"/>
                <w:kern w:val="0"/>
                <w:sz w:val="21"/>
                <w:szCs w:val="21"/>
                <w:highlight w:val="none"/>
                <w:lang w:val="en-US" w:eastAsia="zh-CN"/>
              </w:rPr>
              <w:t>21600元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0" w:hRule="atLeast"/>
        </w:trPr>
        <w:tc>
          <w:tcPr>
            <w:tcW w:w="78"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301" w:type="pct"/>
            <w:gridSpan w:val="2"/>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sz w:val="21"/>
                <w:szCs w:val="21"/>
                <w:highlight w:val="none"/>
              </w:rPr>
              <w:t>用</w:t>
            </w:r>
            <w:r>
              <w:rPr>
                <w:rFonts w:hint="eastAsia" w:ascii="宋体" w:hAnsi="宋体" w:eastAsia="宋体" w:cs="宋体"/>
                <w:color w:val="auto"/>
                <w:sz w:val="21"/>
                <w:szCs w:val="21"/>
                <w:highlight w:val="none"/>
                <w:lang w:val="en-US" w:eastAsia="zh-CN"/>
              </w:rPr>
              <w:t>言语攻击、肢体冲突等</w:t>
            </w:r>
            <w:r>
              <w:rPr>
                <w:rFonts w:hint="eastAsia" w:ascii="宋体" w:hAnsi="宋体" w:eastAsia="宋体" w:cs="宋体"/>
                <w:color w:val="auto"/>
                <w:sz w:val="21"/>
                <w:szCs w:val="21"/>
                <w:highlight w:val="none"/>
              </w:rPr>
              <w:t>暴力手段阻挠</w:t>
            </w:r>
            <w:r>
              <w:rPr>
                <w:rFonts w:hint="eastAsia" w:ascii="宋体" w:hAnsi="宋体" w:eastAsia="宋体" w:cs="宋体"/>
                <w:color w:val="auto"/>
                <w:sz w:val="21"/>
                <w:szCs w:val="21"/>
                <w:highlight w:val="none"/>
                <w:lang w:val="en-US" w:eastAsia="zh-CN"/>
              </w:rPr>
              <w:t>执法工作</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2"/>
                <w:sz w:val="21"/>
                <w:szCs w:val="21"/>
                <w:highlight w:val="none"/>
                <w:lang w:val="en-US" w:eastAsia="zh-CN" w:bidi="ar-SA"/>
              </w:rPr>
              <w:t>严重影响赛事正常进展的</w:t>
            </w:r>
            <w:r>
              <w:rPr>
                <w:rFonts w:hint="eastAsia" w:ascii="宋体" w:hAnsi="宋体" w:eastAsia="宋体" w:cs="宋体"/>
                <w:color w:val="auto"/>
                <w:kern w:val="0"/>
                <w:sz w:val="21"/>
                <w:szCs w:val="21"/>
                <w:highlight w:val="none"/>
                <w:lang w:val="en-US" w:eastAsia="zh-CN"/>
              </w:rPr>
              <w:t>；</w:t>
            </w:r>
          </w:p>
          <w:p>
            <w:pPr>
              <w:widowControl/>
              <w:spacing w:line="240" w:lineRule="auto"/>
              <w:jc w:val="both"/>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③造成严重后果与恶劣影响的其他情形。</w:t>
            </w:r>
          </w:p>
        </w:tc>
        <w:tc>
          <w:tcPr>
            <w:tcW w:w="878" w:type="pct"/>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可以处21600元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b w:val="0"/>
                <w:bCs w:val="0"/>
                <w:color w:val="auto"/>
                <w:kern w:val="0"/>
                <w:sz w:val="21"/>
                <w:szCs w:val="21"/>
                <w:highlight w:val="none"/>
                <w:lang w:val="en-US" w:eastAsia="zh-CN"/>
              </w:rPr>
              <w:t>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4" w:hRule="atLeast"/>
        </w:trPr>
        <w:tc>
          <w:tcPr>
            <w:tcW w:w="78" w:type="pct"/>
            <w:vMerge w:val="restart"/>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11</w:t>
            </w:r>
          </w:p>
        </w:tc>
        <w:tc>
          <w:tcPr>
            <w:tcW w:w="399" w:type="pct"/>
            <w:vMerge w:val="restart"/>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对未依法公布体育赛事基本信息的行政处罚</w:t>
            </w:r>
          </w:p>
        </w:tc>
        <w:tc>
          <w:tcPr>
            <w:tcW w:w="1144"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浙江省体育赛事管理办法　第十二条　</w:t>
            </w:r>
          </w:p>
          <w:p>
            <w:pPr>
              <w:widowControl w:val="0"/>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承办人应当在体育赛事举行20日前，通过包括省体育主管部门网站在内的途径，向社会公布竞赛规程，明确体育赛事名称、时间、地点、内容、主办人、承办人、参赛条件及奖惩办法等赛事基本信息。</w:t>
            </w:r>
          </w:p>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89"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浙江省体育赛事管理办法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第二十条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违反本办法规定的行为，有关法律、法规、规章已有处罚规定的，从其规定。违反本办法</w:t>
            </w:r>
            <w:r>
              <w:rPr>
                <w:rFonts w:hint="eastAsia" w:ascii="宋体" w:hAnsi="宋体" w:eastAsia="宋体" w:cs="宋体"/>
                <w:b w:val="0"/>
                <w:bCs w:val="0"/>
                <w:color w:val="auto"/>
                <w:sz w:val="21"/>
                <w:szCs w:val="21"/>
                <w:highlight w:val="none"/>
                <w:vertAlign w:val="baseline"/>
                <w:lang w:val="en-US" w:eastAsia="zh-CN"/>
              </w:rPr>
              <w:t>第十条第一款</w:t>
            </w:r>
            <w:r>
              <w:rPr>
                <w:rFonts w:hint="eastAsia" w:ascii="宋体" w:hAnsi="宋体" w:eastAsia="宋体" w:cs="宋体"/>
                <w:color w:val="auto"/>
                <w:sz w:val="21"/>
                <w:szCs w:val="21"/>
                <w:highlight w:val="none"/>
                <w:vertAlign w:val="baseline"/>
                <w:lang w:val="en-US" w:eastAsia="zh-CN"/>
              </w:rPr>
              <w:t>、第十一条、第十二条、第十三条规定的，由体育主管部门责令改正；拒不改正或者造成严重后果的，由体育主管部门酌情处2000元以上3万元以下的罚款。</w:t>
            </w:r>
          </w:p>
        </w:tc>
        <w:tc>
          <w:tcPr>
            <w:tcW w:w="301" w:type="pct"/>
            <w:gridSpan w:val="2"/>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rPr>
              <w:t>阻碍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拒不配合</w:t>
            </w:r>
            <w:r>
              <w:rPr>
                <w:rFonts w:hint="eastAsia" w:ascii="宋体" w:hAnsi="宋体" w:eastAsia="宋体" w:cs="宋体"/>
                <w:color w:val="auto"/>
                <w:kern w:val="0"/>
                <w:sz w:val="21"/>
                <w:szCs w:val="21"/>
                <w:highlight w:val="none"/>
                <w:lang w:val="en-US" w:eastAsia="zh-CN"/>
              </w:rPr>
              <w:t>执法工作的；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2"/>
                <w:sz w:val="21"/>
                <w:szCs w:val="21"/>
                <w:highlight w:val="none"/>
                <w:lang w:val="en-US" w:eastAsia="zh-CN" w:bidi="ar-SA"/>
              </w:rPr>
              <w:t>影响赛事正常进展的</w:t>
            </w:r>
            <w:r>
              <w:rPr>
                <w:rFonts w:hint="eastAsia" w:ascii="宋体" w:hAnsi="宋体" w:eastAsia="宋体" w:cs="宋体"/>
                <w:color w:val="auto"/>
                <w:kern w:val="0"/>
                <w:sz w:val="21"/>
                <w:szCs w:val="21"/>
                <w:highlight w:val="none"/>
                <w:lang w:val="en-US" w:eastAsia="zh-CN"/>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③造成一定不良后果或负面影响的其他情形。</w:t>
            </w:r>
          </w:p>
        </w:tc>
        <w:tc>
          <w:tcPr>
            <w:tcW w:w="878" w:type="pct"/>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可以处2000元</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b w:val="0"/>
                <w:bCs w:val="0"/>
                <w:color w:val="auto"/>
                <w:kern w:val="0"/>
                <w:sz w:val="21"/>
                <w:szCs w:val="21"/>
                <w:highlight w:val="none"/>
                <w:lang w:val="en-US" w:eastAsia="zh-CN"/>
              </w:rPr>
              <w:t>21600元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6" w:hRule="atLeast"/>
        </w:trPr>
        <w:tc>
          <w:tcPr>
            <w:tcW w:w="78" w:type="pct"/>
            <w:vMerge w:val="continue"/>
            <w:noWrap w:val="0"/>
            <w:vAlign w:val="center"/>
          </w:tcPr>
          <w:p>
            <w:pPr>
              <w:widowControl/>
              <w:spacing w:line="240" w:lineRule="auto"/>
              <w:jc w:val="center"/>
              <w:textAlignment w:val="top"/>
              <w:rPr>
                <w:rFonts w:hint="eastAsia" w:ascii="宋体" w:hAnsi="宋体" w:cs="宋体"/>
                <w:b/>
                <w:bCs/>
                <w:color w:val="auto"/>
                <w:kern w:val="0"/>
                <w:sz w:val="21"/>
                <w:szCs w:val="21"/>
                <w:highlight w:val="none"/>
                <w:lang w:val="en-US" w:eastAsia="zh-CN"/>
              </w:rPr>
            </w:pPr>
          </w:p>
        </w:tc>
        <w:tc>
          <w:tcPr>
            <w:tcW w:w="399"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144"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89"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301" w:type="pct"/>
            <w:gridSpan w:val="2"/>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08" w:type="pct"/>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sz w:val="21"/>
                <w:szCs w:val="21"/>
                <w:highlight w:val="none"/>
              </w:rPr>
              <w:t>用</w:t>
            </w:r>
            <w:r>
              <w:rPr>
                <w:rFonts w:hint="eastAsia" w:ascii="宋体" w:hAnsi="宋体" w:eastAsia="宋体" w:cs="宋体"/>
                <w:color w:val="auto"/>
                <w:sz w:val="21"/>
                <w:szCs w:val="21"/>
                <w:highlight w:val="none"/>
                <w:lang w:val="en-US" w:eastAsia="zh-CN"/>
              </w:rPr>
              <w:t>言语攻击、肢体冲突等</w:t>
            </w:r>
            <w:r>
              <w:rPr>
                <w:rFonts w:hint="eastAsia" w:ascii="宋体" w:hAnsi="宋体" w:eastAsia="宋体" w:cs="宋体"/>
                <w:color w:val="auto"/>
                <w:sz w:val="21"/>
                <w:szCs w:val="21"/>
                <w:highlight w:val="none"/>
              </w:rPr>
              <w:t>暴力手段阻挠</w:t>
            </w:r>
            <w:r>
              <w:rPr>
                <w:rFonts w:hint="eastAsia" w:ascii="宋体" w:hAnsi="宋体" w:eastAsia="宋体" w:cs="宋体"/>
                <w:color w:val="auto"/>
                <w:sz w:val="21"/>
                <w:szCs w:val="21"/>
                <w:highlight w:val="none"/>
                <w:lang w:val="en-US" w:eastAsia="zh-CN"/>
              </w:rPr>
              <w:t>执法工作</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2"/>
                <w:sz w:val="21"/>
                <w:szCs w:val="21"/>
                <w:highlight w:val="none"/>
                <w:lang w:val="en-US" w:eastAsia="zh-CN" w:bidi="ar-SA"/>
              </w:rPr>
              <w:t>严重影响赛事正常进展的</w:t>
            </w:r>
            <w:r>
              <w:rPr>
                <w:rFonts w:hint="eastAsia" w:ascii="宋体" w:hAnsi="宋体" w:eastAsia="宋体" w:cs="宋体"/>
                <w:color w:val="auto"/>
                <w:kern w:val="0"/>
                <w:sz w:val="21"/>
                <w:szCs w:val="21"/>
                <w:highlight w:val="none"/>
                <w:lang w:val="en-US" w:eastAsia="zh-CN"/>
              </w:rPr>
              <w:t>；</w:t>
            </w:r>
          </w:p>
          <w:p>
            <w:pPr>
              <w:widowControl/>
              <w:spacing w:line="240" w:lineRule="auto"/>
              <w:jc w:val="both"/>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③造成严重后果与恶劣影响的其他情形。</w:t>
            </w:r>
          </w:p>
        </w:tc>
        <w:tc>
          <w:tcPr>
            <w:tcW w:w="878" w:type="pct"/>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可以处21600元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b w:val="0"/>
                <w:bCs w:val="0"/>
                <w:color w:val="auto"/>
                <w:kern w:val="0"/>
                <w:sz w:val="21"/>
                <w:szCs w:val="21"/>
                <w:highlight w:val="none"/>
                <w:lang w:val="en-US" w:eastAsia="zh-CN"/>
              </w:rPr>
              <w:t>30000元的罚款。</w:t>
            </w:r>
          </w:p>
        </w:tc>
      </w:tr>
    </w:tbl>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四、反兴奋剂类（3项）</w:t>
      </w:r>
    </w:p>
    <w:p>
      <w:pPr>
        <w:numPr>
          <w:ilvl w:val="0"/>
          <w:numId w:val="0"/>
        </w:numPr>
        <w:spacing w:line="240" w:lineRule="auto"/>
        <w:rPr>
          <w:rFonts w:hint="eastAsia" w:ascii="宋体" w:hAnsi="宋体" w:eastAsia="宋体" w:cs="宋体"/>
          <w:b/>
          <w:bCs/>
          <w:color w:val="auto"/>
          <w:sz w:val="21"/>
          <w:szCs w:val="21"/>
          <w:highlight w:val="none"/>
          <w:lang w:val="en-US" w:eastAsia="zh-CN"/>
        </w:rPr>
      </w:pPr>
    </w:p>
    <w:tbl>
      <w:tblPr>
        <w:tblStyle w:val="4"/>
        <w:tblpPr w:leftFromText="180" w:rightFromText="180" w:vertAnchor="text" w:horzAnchor="page" w:tblpX="696"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53"/>
        <w:gridCol w:w="944"/>
        <w:gridCol w:w="2993"/>
        <w:gridCol w:w="2894"/>
        <w:gridCol w:w="494"/>
        <w:gridCol w:w="3906"/>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2"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序号</w:t>
            </w:r>
          </w:p>
        </w:tc>
        <w:tc>
          <w:tcPr>
            <w:tcW w:w="306"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事项名称</w:t>
            </w:r>
          </w:p>
        </w:tc>
        <w:tc>
          <w:tcPr>
            <w:tcW w:w="1908" w:type="pct"/>
            <w:gridSpan w:val="2"/>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法律依据</w:t>
            </w:r>
          </w:p>
        </w:tc>
        <w:tc>
          <w:tcPr>
            <w:tcW w:w="160"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裁量阶次</w:t>
            </w:r>
          </w:p>
        </w:tc>
        <w:tc>
          <w:tcPr>
            <w:tcW w:w="1266"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适用条件</w:t>
            </w:r>
          </w:p>
        </w:tc>
        <w:tc>
          <w:tcPr>
            <w:tcW w:w="1276" w:type="pct"/>
            <w:vMerge w:val="restart"/>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 w:hRule="atLeast"/>
        </w:trPr>
        <w:tc>
          <w:tcPr>
            <w:tcW w:w="82"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06"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70" w:type="pct"/>
            <w:shd w:val="clear" w:color="auto" w:fill="D7D7D7" w:themeFill="background1" w:themeFillShade="D8"/>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违法依据</w:t>
            </w:r>
          </w:p>
        </w:tc>
        <w:tc>
          <w:tcPr>
            <w:tcW w:w="938" w:type="pct"/>
            <w:shd w:val="clear" w:color="auto" w:fill="D7D7D7" w:themeFill="background1" w:themeFillShade="D8"/>
            <w:noWrap w:val="0"/>
            <w:vAlign w:val="center"/>
          </w:tcPr>
          <w:p>
            <w:pPr>
              <w:spacing w:line="240" w:lineRule="auto"/>
              <w:ind w:firstLine="210" w:firstLineChars="10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处罚依据</w:t>
            </w:r>
          </w:p>
        </w:tc>
        <w:tc>
          <w:tcPr>
            <w:tcW w:w="160"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1266" w:type="pct"/>
            <w:vMerge w:val="continue"/>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bidi="ar"/>
              </w:rPr>
            </w:pPr>
          </w:p>
        </w:tc>
        <w:tc>
          <w:tcPr>
            <w:tcW w:w="1276" w:type="pct"/>
            <w:vMerge w:val="continue"/>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6" w:hRule="atLeast"/>
        </w:trPr>
        <w:tc>
          <w:tcPr>
            <w:tcW w:w="82"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1</w:t>
            </w:r>
          </w:p>
        </w:tc>
        <w:tc>
          <w:tcPr>
            <w:tcW w:w="306"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对组织、强迫、欺骗、教唆运动员在体育运动中使用兴奋剂的行政处罚</w:t>
            </w:r>
          </w:p>
        </w:tc>
        <w:tc>
          <w:tcPr>
            <w:tcW w:w="970"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体育法 </w:t>
            </w:r>
            <w:r>
              <w:rPr>
                <w:rFonts w:hint="eastAsia" w:ascii="宋体" w:hAnsi="宋体" w:eastAsia="宋体" w:cs="宋体"/>
                <w:color w:val="auto"/>
                <w:sz w:val="21"/>
                <w:szCs w:val="21"/>
                <w:highlight w:val="none"/>
                <w:vertAlign w:val="baseline"/>
              </w:rPr>
              <w:t>第五十三条　</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国家提倡健康文明、公平竞争的体育运动，禁止在体育运动中使用兴奋剂。</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　任何组织和个人不得组织、强迫、欺骗、教唆、引诱体育运动参加者在体育运动中使用兴奋剂，不得向体育运动参加者提供或者变相提供兴奋剂。</w:t>
            </w:r>
          </w:p>
        </w:tc>
        <w:tc>
          <w:tcPr>
            <w:tcW w:w="938"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第一百一十八条 第一款</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组织、强迫、欺骗、教唆运动员在体育运动中使用兴奋剂</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bidi="ar"/>
              </w:rPr>
              <w:t>且</w:t>
            </w:r>
            <w:r>
              <w:rPr>
                <w:rFonts w:hint="eastAsia" w:ascii="宋体" w:hAnsi="宋体" w:eastAsia="宋体" w:cs="宋体"/>
                <w:color w:val="auto"/>
                <w:kern w:val="0"/>
                <w:sz w:val="21"/>
                <w:szCs w:val="21"/>
                <w:highlight w:val="none"/>
                <w:lang w:bidi="ar"/>
              </w:rPr>
              <w:t>运动员在体育运动或参加竞赛中使用提供的兴奋剂</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bidi="ar"/>
              </w:rPr>
              <w:t>。</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直接负责的主管人员和其他直接责任人员</w:t>
            </w:r>
            <w:r>
              <w:rPr>
                <w:rFonts w:hint="eastAsia" w:ascii="宋体" w:hAnsi="宋体" w:eastAsia="宋体" w:cs="宋体"/>
                <w:color w:val="auto"/>
                <w:kern w:val="0"/>
                <w:sz w:val="21"/>
                <w:szCs w:val="21"/>
                <w:highlight w:val="none"/>
                <w:lang w:val="en-US" w:eastAsia="zh-CN" w:bidi="ar"/>
              </w:rPr>
              <w:t>四</w:t>
            </w:r>
            <w:r>
              <w:rPr>
                <w:rFonts w:hint="eastAsia" w:ascii="宋体" w:hAnsi="宋体" w:eastAsia="宋体" w:cs="宋体"/>
                <w:color w:val="auto"/>
                <w:kern w:val="0"/>
                <w:sz w:val="21"/>
                <w:szCs w:val="21"/>
                <w:highlight w:val="none"/>
                <w:lang w:bidi="ar"/>
              </w:rPr>
              <w:t>年内不得从事体育管理工作和运动员辅助工作。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7" w:hRule="atLeast"/>
        </w:trPr>
        <w:tc>
          <w:tcPr>
            <w:tcW w:w="82"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06"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70" w:type="pct"/>
            <w:vMerge w:val="continue"/>
            <w:noWrap w:val="0"/>
            <w:vAlign w:val="center"/>
          </w:tcPr>
          <w:p>
            <w:pPr>
              <w:spacing w:line="240" w:lineRule="auto"/>
              <w:jc w:val="both"/>
              <w:rPr>
                <w:rFonts w:hint="eastAsia" w:ascii="宋体" w:hAnsi="宋体" w:eastAsia="宋体" w:cs="宋体"/>
                <w:color w:val="auto"/>
                <w:sz w:val="21"/>
                <w:szCs w:val="21"/>
                <w:highlight w:val="none"/>
                <w:vertAlign w:val="baseline"/>
              </w:rPr>
            </w:pPr>
          </w:p>
        </w:tc>
        <w:tc>
          <w:tcPr>
            <w:tcW w:w="938" w:type="pct"/>
            <w:vMerge w:val="continue"/>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rPr>
              <w:t>构成第2次兴奋剂违规的；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②涉及</w:t>
            </w:r>
            <w:r>
              <w:rPr>
                <w:rFonts w:hint="eastAsia" w:ascii="宋体" w:hAnsi="宋体" w:eastAsia="宋体" w:cs="宋体"/>
                <w:color w:val="auto"/>
                <w:kern w:val="0"/>
                <w:sz w:val="21"/>
                <w:szCs w:val="21"/>
                <w:highlight w:val="none"/>
                <w:lang w:val="en-US" w:eastAsia="zh-CN" w:bidi="ar"/>
              </w:rPr>
              <w:t>2名</w:t>
            </w:r>
            <w:r>
              <w:rPr>
                <w:rFonts w:hint="eastAsia" w:ascii="宋体" w:hAnsi="宋体" w:eastAsia="宋体" w:cs="宋体"/>
                <w:color w:val="auto"/>
                <w:kern w:val="0"/>
                <w:sz w:val="21"/>
                <w:szCs w:val="21"/>
                <w:highlight w:val="none"/>
                <w:lang w:bidi="ar"/>
              </w:rPr>
              <w:t>运动员</w:t>
            </w:r>
            <w:r>
              <w:rPr>
                <w:rFonts w:hint="eastAsia" w:ascii="宋体" w:hAnsi="宋体" w:eastAsia="宋体" w:cs="宋体"/>
                <w:color w:val="auto"/>
                <w:kern w:val="0"/>
                <w:sz w:val="21"/>
                <w:szCs w:val="21"/>
                <w:highlight w:val="none"/>
                <w:lang w:val="en-US" w:eastAsia="zh-CN" w:bidi="ar"/>
              </w:rPr>
              <w:t>及</w:t>
            </w:r>
            <w:r>
              <w:rPr>
                <w:rFonts w:hint="eastAsia" w:ascii="宋体" w:hAnsi="宋体" w:eastAsia="宋体" w:cs="宋体"/>
                <w:color w:val="auto"/>
                <w:kern w:val="0"/>
                <w:sz w:val="21"/>
                <w:szCs w:val="21"/>
                <w:highlight w:val="none"/>
                <w:lang w:bidi="ar"/>
              </w:rPr>
              <w:t>以上</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③涉及运动员禁赛超过</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④</w:t>
            </w:r>
            <w:r>
              <w:rPr>
                <w:rFonts w:hint="eastAsia" w:ascii="宋体" w:hAnsi="宋体" w:eastAsia="宋体" w:cs="宋体"/>
                <w:color w:val="auto"/>
                <w:kern w:val="0"/>
                <w:sz w:val="21"/>
                <w:szCs w:val="21"/>
                <w:highlight w:val="none"/>
                <w:lang w:bidi="ar"/>
              </w:rPr>
              <w:t>造成人身损害严重的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rPr>
              <w:t>⑤</w:t>
            </w:r>
            <w:r>
              <w:rPr>
                <w:rFonts w:hint="eastAsia" w:ascii="宋体" w:hAnsi="宋体" w:eastAsia="宋体" w:cs="宋体"/>
                <w:color w:val="auto"/>
                <w:kern w:val="0"/>
                <w:sz w:val="21"/>
                <w:szCs w:val="21"/>
                <w:highlight w:val="none"/>
                <w:lang w:bidi="ar"/>
              </w:rPr>
              <w:t>涉及未成年人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残疾人</w:t>
            </w:r>
            <w:r>
              <w:rPr>
                <w:rFonts w:hint="eastAsia" w:ascii="宋体" w:hAnsi="宋体" w:eastAsia="宋体" w:cs="宋体"/>
                <w:color w:val="auto"/>
                <w:kern w:val="0"/>
                <w:sz w:val="21"/>
                <w:szCs w:val="21"/>
                <w:highlight w:val="none"/>
                <w:lang w:bidi="ar"/>
              </w:rPr>
              <w:t>等</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⑥</w:t>
            </w:r>
            <w:r>
              <w:rPr>
                <w:rFonts w:hint="eastAsia" w:ascii="宋体" w:hAnsi="宋体" w:eastAsia="宋体" w:cs="宋体"/>
                <w:color w:val="auto"/>
                <w:kern w:val="0"/>
                <w:sz w:val="21"/>
                <w:szCs w:val="21"/>
                <w:highlight w:val="none"/>
                <w:lang w:bidi="ar"/>
              </w:rPr>
              <w:t>涉及</w:t>
            </w:r>
            <w:r>
              <w:rPr>
                <w:rFonts w:hint="eastAsia" w:ascii="宋体" w:hAnsi="宋体" w:eastAsia="宋体" w:cs="宋体"/>
                <w:color w:val="auto"/>
                <w:kern w:val="0"/>
                <w:sz w:val="21"/>
                <w:szCs w:val="21"/>
                <w:highlight w:val="none"/>
                <w:lang w:val="en-US" w:eastAsia="zh-CN"/>
              </w:rPr>
              <w:t>国家队运动员、教练员等的；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⑦</w:t>
            </w:r>
            <w:r>
              <w:rPr>
                <w:rFonts w:hint="eastAsia" w:ascii="宋体" w:hAnsi="宋体" w:eastAsia="宋体" w:cs="宋体"/>
                <w:color w:val="auto"/>
                <w:kern w:val="0"/>
                <w:sz w:val="21"/>
                <w:szCs w:val="21"/>
                <w:highlight w:val="none"/>
                <w:lang w:val="en-US" w:eastAsia="zh-CN" w:bidi="ar"/>
              </w:rPr>
              <w:t>造成严重后果或恶劣影响的其他情形。</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直接负责的主管人员和其他直接责任人员终身不得从事体育管理工作和运动员辅助工作。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6" w:hRule="atLeast"/>
        </w:trPr>
        <w:tc>
          <w:tcPr>
            <w:tcW w:w="82"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w:t>
            </w:r>
          </w:p>
        </w:tc>
        <w:tc>
          <w:tcPr>
            <w:tcW w:w="306"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w:t>
            </w:r>
            <w:r>
              <w:rPr>
                <w:rFonts w:hint="eastAsia" w:ascii="宋体" w:hAnsi="宋体" w:eastAsia="宋体" w:cs="宋体"/>
                <w:b w:val="0"/>
                <w:bCs w:val="0"/>
                <w:color w:val="auto"/>
                <w:sz w:val="21"/>
                <w:szCs w:val="21"/>
                <w:highlight w:val="none"/>
                <w:vertAlign w:val="baseline"/>
                <w:lang w:val="en-US" w:eastAsia="zh-CN"/>
              </w:rPr>
              <w:t>向运动员提供或者变相提供兴奋剂</w:t>
            </w:r>
            <w:r>
              <w:rPr>
                <w:rFonts w:hint="eastAsia" w:ascii="宋体" w:hAnsi="宋体" w:eastAsia="宋体" w:cs="宋体"/>
                <w:b w:val="0"/>
                <w:bCs w:val="0"/>
                <w:color w:val="auto"/>
                <w:kern w:val="0"/>
                <w:sz w:val="21"/>
                <w:szCs w:val="21"/>
                <w:highlight w:val="none"/>
              </w:rPr>
              <w:t>行为的行政处罚</w:t>
            </w:r>
          </w:p>
        </w:tc>
        <w:tc>
          <w:tcPr>
            <w:tcW w:w="970"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体育法 </w:t>
            </w:r>
            <w:r>
              <w:rPr>
                <w:rFonts w:hint="eastAsia" w:ascii="宋体" w:hAnsi="宋体" w:eastAsia="宋体" w:cs="宋体"/>
                <w:color w:val="auto"/>
                <w:sz w:val="21"/>
                <w:szCs w:val="21"/>
                <w:highlight w:val="none"/>
                <w:vertAlign w:val="baseline"/>
              </w:rPr>
              <w:t>第五十三条</w:t>
            </w:r>
          </w:p>
          <w:p>
            <w:pPr>
              <w:spacing w:line="240" w:lineRule="auto"/>
              <w:ind w:firstLine="210" w:firstLineChars="10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国家提倡健康文明、公平竞争的体育运动，禁止在体育运动中使用兴奋剂。</w:t>
            </w:r>
          </w:p>
          <w:p>
            <w:pPr>
              <w:widowControl/>
              <w:spacing w:line="240" w:lineRule="auto"/>
              <w:ind w:firstLine="210" w:firstLineChars="100"/>
              <w:jc w:val="both"/>
              <w:textAlignment w:val="top"/>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任何组织和个人不得组织、强迫、欺骗、教唆、引诱体育运动参加者在体育运动中使用兴奋剂，不得向体育运动参加者提供或者变相提供兴奋剂。</w:t>
            </w:r>
          </w:p>
        </w:tc>
        <w:tc>
          <w:tcPr>
            <w:tcW w:w="938"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体育法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第一百一十八条 第二款</w:t>
            </w:r>
          </w:p>
          <w:p>
            <w:pPr>
              <w:spacing w:line="240" w:lineRule="auto"/>
              <w:jc w:val="both"/>
              <w:rPr>
                <w:rFonts w:hint="eastAsia" w:ascii="宋体" w:hAnsi="宋体" w:eastAsia="宋体" w:cs="宋体"/>
                <w:color w:val="auto"/>
                <w:sz w:val="21"/>
                <w:szCs w:val="21"/>
                <w:highlight w:val="none"/>
                <w:vertAlign w:val="baseline"/>
                <w:lang w:val="en-US" w:eastAsia="zh-CN"/>
              </w:rPr>
            </w:pPr>
          </w:p>
          <w:p>
            <w:pPr>
              <w:widowControl/>
              <w:spacing w:line="240" w:lineRule="auto"/>
              <w:ind w:firstLine="210" w:firstLineChars="100"/>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向运动员提供或者变相提供兴奋剂，但没有实际使用，也未造成不良后果的。</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没收非法持有的兴奋剂，并处</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val="en-US" w:eastAsia="zh-CN" w:bidi="ar"/>
              </w:rPr>
              <w:t>至18.5</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bidi="ar"/>
              </w:rPr>
              <w:t>的罚款；有违法所得的，没收违法所得；直接负责的主管人员和其他直接责任人员</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年内不得从事体育管理工作和运动员辅助工作。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4" w:hRule="atLeast"/>
        </w:trPr>
        <w:tc>
          <w:tcPr>
            <w:tcW w:w="82"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06"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70"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rPr>
            </w:pPr>
          </w:p>
        </w:tc>
        <w:tc>
          <w:tcPr>
            <w:tcW w:w="938"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①涉及</w:t>
            </w:r>
            <w:r>
              <w:rPr>
                <w:rFonts w:hint="eastAsia" w:ascii="宋体" w:hAnsi="宋体" w:eastAsia="宋体" w:cs="宋体"/>
                <w:color w:val="auto"/>
                <w:kern w:val="0"/>
                <w:sz w:val="21"/>
                <w:szCs w:val="21"/>
                <w:highlight w:val="none"/>
                <w:lang w:val="en-US" w:eastAsia="zh-CN" w:bidi="ar"/>
              </w:rPr>
              <w:t>1名</w:t>
            </w:r>
            <w:r>
              <w:rPr>
                <w:rFonts w:hint="eastAsia" w:ascii="宋体" w:hAnsi="宋体" w:eastAsia="宋体" w:cs="宋体"/>
                <w:color w:val="auto"/>
                <w:kern w:val="0"/>
                <w:sz w:val="21"/>
                <w:szCs w:val="21"/>
                <w:highlight w:val="none"/>
                <w:lang w:bidi="ar"/>
              </w:rPr>
              <w:t>运动员</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且有实际使用的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②涉及运动员被禁赛</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不含）以下的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③造成一定</w:t>
            </w:r>
            <w:r>
              <w:rPr>
                <w:rFonts w:hint="eastAsia" w:ascii="宋体" w:hAnsi="宋体" w:eastAsia="宋体" w:cs="宋体"/>
                <w:color w:val="auto"/>
                <w:kern w:val="0"/>
                <w:sz w:val="21"/>
                <w:szCs w:val="21"/>
                <w:highlight w:val="none"/>
                <w:lang w:val="en-US" w:eastAsia="zh-CN" w:bidi="ar"/>
              </w:rPr>
              <w:t>不良后果或负面</w:t>
            </w:r>
            <w:r>
              <w:rPr>
                <w:rFonts w:hint="eastAsia" w:ascii="宋体" w:hAnsi="宋体" w:eastAsia="宋体" w:cs="宋体"/>
                <w:color w:val="auto"/>
                <w:kern w:val="0"/>
                <w:sz w:val="21"/>
                <w:szCs w:val="21"/>
                <w:highlight w:val="none"/>
                <w:lang w:bidi="ar"/>
              </w:rPr>
              <w:t>影响的</w:t>
            </w:r>
            <w:r>
              <w:rPr>
                <w:rFonts w:hint="eastAsia" w:ascii="宋体" w:hAnsi="宋体" w:eastAsia="宋体" w:cs="宋体"/>
                <w:color w:val="auto"/>
                <w:kern w:val="0"/>
                <w:sz w:val="21"/>
                <w:szCs w:val="21"/>
                <w:highlight w:val="none"/>
                <w:lang w:val="en-US" w:eastAsia="zh-CN" w:bidi="ar"/>
              </w:rPr>
              <w:t>其他情形</w:t>
            </w:r>
            <w:r>
              <w:rPr>
                <w:rFonts w:hint="eastAsia" w:ascii="宋体" w:hAnsi="宋体" w:eastAsia="宋体" w:cs="宋体"/>
                <w:color w:val="auto"/>
                <w:kern w:val="0"/>
                <w:sz w:val="21"/>
                <w:szCs w:val="21"/>
                <w:highlight w:val="none"/>
                <w:lang w:bidi="ar"/>
              </w:rPr>
              <w:t>。</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没收非法持有的兴奋剂，并处</w:t>
            </w:r>
            <w:r>
              <w:rPr>
                <w:rFonts w:hint="eastAsia" w:ascii="宋体" w:hAnsi="宋体" w:eastAsia="宋体" w:cs="宋体"/>
                <w:color w:val="auto"/>
                <w:kern w:val="0"/>
                <w:sz w:val="21"/>
                <w:szCs w:val="21"/>
                <w:highlight w:val="none"/>
                <w:lang w:val="en-US" w:eastAsia="zh-CN" w:bidi="ar"/>
              </w:rPr>
              <w:t>18.5</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color w:val="auto"/>
                <w:kern w:val="0"/>
                <w:sz w:val="21"/>
                <w:szCs w:val="21"/>
                <w:highlight w:val="none"/>
                <w:lang w:val="en-US" w:eastAsia="zh-CN" w:bidi="ar"/>
              </w:rPr>
              <w:t>36.5</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color w:val="auto"/>
                <w:kern w:val="0"/>
                <w:sz w:val="21"/>
                <w:szCs w:val="21"/>
                <w:highlight w:val="none"/>
                <w:lang w:bidi="ar"/>
              </w:rPr>
              <w:t>的罚款；有违法所得的，没收违法所得；直接负责的主管人员和其他直接责任人员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年内不得从事体育管理工作和运动员辅助工作。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7" w:hRule="atLeast"/>
        </w:trPr>
        <w:tc>
          <w:tcPr>
            <w:tcW w:w="82"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06"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70"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rPr>
            </w:pPr>
          </w:p>
        </w:tc>
        <w:tc>
          <w:tcPr>
            <w:tcW w:w="938"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rPr>
              <w:t>同一比赛连续2次以上的；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②涉及</w:t>
            </w:r>
            <w:r>
              <w:rPr>
                <w:rFonts w:hint="eastAsia" w:ascii="宋体" w:hAnsi="宋体" w:eastAsia="宋体" w:cs="宋体"/>
                <w:color w:val="auto"/>
                <w:kern w:val="0"/>
                <w:sz w:val="21"/>
                <w:szCs w:val="21"/>
                <w:highlight w:val="none"/>
                <w:lang w:val="en-US" w:eastAsia="zh-CN" w:bidi="ar"/>
              </w:rPr>
              <w:t>2名</w:t>
            </w:r>
            <w:r>
              <w:rPr>
                <w:rFonts w:hint="eastAsia" w:ascii="宋体" w:hAnsi="宋体" w:eastAsia="宋体" w:cs="宋体"/>
                <w:color w:val="auto"/>
                <w:kern w:val="0"/>
                <w:sz w:val="21"/>
                <w:szCs w:val="21"/>
                <w:highlight w:val="none"/>
                <w:lang w:bidi="ar"/>
              </w:rPr>
              <w:t>运动员</w:t>
            </w:r>
            <w:r>
              <w:rPr>
                <w:rFonts w:hint="eastAsia" w:ascii="宋体" w:hAnsi="宋体" w:eastAsia="宋体" w:cs="宋体"/>
                <w:color w:val="auto"/>
                <w:kern w:val="0"/>
                <w:sz w:val="21"/>
                <w:szCs w:val="21"/>
                <w:highlight w:val="none"/>
                <w:lang w:val="en-US" w:eastAsia="zh-CN" w:bidi="ar"/>
              </w:rPr>
              <w:t>及</w:t>
            </w:r>
            <w:r>
              <w:rPr>
                <w:rFonts w:hint="eastAsia" w:ascii="宋体" w:hAnsi="宋体" w:eastAsia="宋体" w:cs="宋体"/>
                <w:color w:val="auto"/>
                <w:kern w:val="0"/>
                <w:sz w:val="21"/>
                <w:szCs w:val="21"/>
                <w:highlight w:val="none"/>
                <w:lang w:bidi="ar"/>
              </w:rPr>
              <w:t>以上</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③涉及运动员禁赛</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val="en-US" w:eastAsia="zh-CN" w:bidi="ar"/>
              </w:rPr>
              <w:t>及以上的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④</w:t>
            </w:r>
            <w:r>
              <w:rPr>
                <w:rFonts w:hint="eastAsia" w:ascii="宋体" w:hAnsi="宋体" w:eastAsia="宋体" w:cs="宋体"/>
                <w:color w:val="auto"/>
                <w:kern w:val="0"/>
                <w:sz w:val="21"/>
                <w:szCs w:val="21"/>
                <w:highlight w:val="none"/>
                <w:lang w:bidi="ar"/>
              </w:rPr>
              <w:t>造成人身损害严重</w:t>
            </w:r>
            <w:r>
              <w:rPr>
                <w:rFonts w:hint="eastAsia" w:ascii="宋体" w:hAnsi="宋体" w:eastAsia="宋体" w:cs="宋体"/>
                <w:color w:val="auto"/>
                <w:kern w:val="0"/>
                <w:sz w:val="21"/>
                <w:szCs w:val="21"/>
                <w:highlight w:val="none"/>
                <w:lang w:val="en-US" w:eastAsia="zh-CN" w:bidi="ar"/>
              </w:rPr>
              <w:t>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w:t>
            </w:r>
            <w:r>
              <w:rPr>
                <w:rFonts w:hint="eastAsia" w:ascii="宋体" w:hAnsi="宋体" w:eastAsia="宋体" w:cs="宋体"/>
                <w:color w:val="auto"/>
                <w:kern w:val="0"/>
                <w:sz w:val="21"/>
                <w:szCs w:val="21"/>
                <w:highlight w:val="none"/>
                <w:lang w:bidi="ar"/>
              </w:rPr>
              <w:t>涉及未成年人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残疾人等的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⑥</w:t>
            </w:r>
            <w:r>
              <w:rPr>
                <w:rFonts w:hint="eastAsia" w:ascii="宋体" w:hAnsi="宋体" w:eastAsia="宋体" w:cs="宋体"/>
                <w:color w:val="auto"/>
                <w:kern w:val="0"/>
                <w:sz w:val="21"/>
                <w:szCs w:val="21"/>
                <w:highlight w:val="none"/>
                <w:lang w:bidi="ar"/>
              </w:rPr>
              <w:t>涉及</w:t>
            </w:r>
            <w:r>
              <w:rPr>
                <w:rFonts w:hint="eastAsia" w:ascii="宋体" w:hAnsi="宋体" w:eastAsia="宋体" w:cs="宋体"/>
                <w:color w:val="auto"/>
                <w:kern w:val="0"/>
                <w:sz w:val="21"/>
                <w:szCs w:val="21"/>
                <w:highlight w:val="none"/>
                <w:lang w:val="en-US" w:eastAsia="zh-CN"/>
              </w:rPr>
              <w:t>国家队运动员、教练员等的；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⑦</w:t>
            </w:r>
            <w:r>
              <w:rPr>
                <w:rFonts w:hint="eastAsia" w:ascii="宋体" w:hAnsi="宋体" w:eastAsia="宋体" w:cs="宋体"/>
                <w:color w:val="auto"/>
                <w:kern w:val="0"/>
                <w:sz w:val="21"/>
                <w:szCs w:val="21"/>
                <w:highlight w:val="none"/>
                <w:lang w:val="en-US" w:eastAsia="zh-CN" w:bidi="ar"/>
              </w:rPr>
              <w:t>造成严重后果或恶劣影响的其他情形。</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没收非法持有的兴奋剂，并处</w:t>
            </w:r>
            <w:r>
              <w:rPr>
                <w:rFonts w:hint="eastAsia" w:ascii="宋体" w:hAnsi="宋体" w:eastAsia="宋体" w:cs="宋体"/>
                <w:color w:val="auto"/>
                <w:kern w:val="0"/>
                <w:sz w:val="21"/>
                <w:szCs w:val="21"/>
                <w:highlight w:val="none"/>
                <w:lang w:val="en-US" w:eastAsia="zh-CN" w:bidi="ar"/>
              </w:rPr>
              <w:t>36.5</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kern w:val="0"/>
                <w:sz w:val="21"/>
                <w:szCs w:val="21"/>
                <w:highlight w:val="none"/>
                <w:lang w:val="en-US" w:eastAsia="zh-CN" w:bidi="ar"/>
              </w:rPr>
              <w:t>50</w:t>
            </w:r>
            <w:r>
              <w:rPr>
                <w:rFonts w:hint="eastAsia" w:ascii="宋体" w:hAnsi="宋体" w:eastAsia="宋体" w:cs="宋体"/>
                <w:color w:val="auto"/>
                <w:kern w:val="0"/>
                <w:sz w:val="21"/>
                <w:szCs w:val="21"/>
                <w:highlight w:val="none"/>
                <w:lang w:bidi="ar"/>
              </w:rPr>
              <w:t>万元的罚款；有违法所得的，没收违法所得；直接负责的主管人员和其他直接责任人员终身不得从事体育管理工作和运动员辅助工作。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1" w:hRule="atLeast"/>
        </w:trPr>
        <w:tc>
          <w:tcPr>
            <w:tcW w:w="82" w:type="pct"/>
            <w:vMerge w:val="restar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w:t>
            </w:r>
          </w:p>
        </w:tc>
        <w:tc>
          <w:tcPr>
            <w:tcW w:w="306" w:type="pct"/>
            <w:vMerge w:val="restart"/>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w:t>
            </w:r>
            <w:r>
              <w:rPr>
                <w:rFonts w:hint="eastAsia" w:ascii="宋体" w:hAnsi="宋体" w:eastAsia="宋体" w:cs="宋体"/>
                <w:color w:val="auto"/>
                <w:sz w:val="21"/>
                <w:szCs w:val="21"/>
                <w:highlight w:val="none"/>
                <w:vertAlign w:val="baseline"/>
              </w:rPr>
              <w:t>运动员辅助人员</w:t>
            </w:r>
            <w:r>
              <w:rPr>
                <w:rFonts w:hint="eastAsia" w:ascii="宋体" w:hAnsi="宋体" w:eastAsia="宋体" w:cs="宋体"/>
                <w:b w:val="0"/>
                <w:bCs w:val="0"/>
                <w:color w:val="auto"/>
                <w:kern w:val="0"/>
                <w:sz w:val="21"/>
                <w:szCs w:val="21"/>
                <w:highlight w:val="none"/>
              </w:rPr>
              <w:t>非法持有兴奋剂的行政处罚</w:t>
            </w:r>
          </w:p>
        </w:tc>
        <w:tc>
          <w:tcPr>
            <w:tcW w:w="970"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反兴奋剂条例 第二十三条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运动员辅助人员应当教育、提示运动员不得使用兴奋剂，并向运动员提供有关反兴奋剂规则的咨询。</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运动员辅助人员不得向运动员提供兴奋剂，不得组织、强迫、欺骗、教唆、协助运动员在体育运动中使用兴奋剂，不得阻挠兴奋剂检查，不得实施影响采样结果的行为。</w:t>
            </w:r>
          </w:p>
          <w:p>
            <w:pPr>
              <w:widowControl/>
              <w:spacing w:line="240" w:lineRule="auto"/>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　运动员发现运动员辅助人员违反前款规定的，有权检举、控告。</w:t>
            </w:r>
          </w:p>
        </w:tc>
        <w:tc>
          <w:tcPr>
            <w:tcW w:w="938" w:type="pct"/>
            <w:vMerge w:val="restart"/>
            <w:noWrap w:val="0"/>
            <w:vAlign w:val="center"/>
          </w:tcPr>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 xml:space="preserve">反兴奋剂条例 </w:t>
            </w:r>
            <w:r>
              <w:rPr>
                <w:rFonts w:hint="eastAsia" w:ascii="宋体" w:hAnsi="宋体" w:eastAsia="宋体" w:cs="宋体"/>
                <w:color w:val="auto"/>
                <w:sz w:val="21"/>
                <w:szCs w:val="21"/>
                <w:highlight w:val="none"/>
                <w:vertAlign w:val="baseline"/>
              </w:rPr>
              <w:t>第四十一条　</w:t>
            </w:r>
          </w:p>
          <w:p>
            <w:pPr>
              <w:widowControl/>
              <w:spacing w:line="240" w:lineRule="auto"/>
              <w:ind w:firstLine="210" w:firstLineChars="100"/>
              <w:jc w:val="both"/>
              <w:textAlignment w:val="top"/>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vertAlign w:val="baseline"/>
              </w:rPr>
              <w:t>运动员辅助人员非法持有兴奋剂的，由国务院体育主管部门或者省、自治区、直辖市人民政府体育主管部门收缴非法持有的兴奋剂；情节严重的，2年内不得从事运动员辅助工作。</w:t>
            </w: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运动员辅助人员非法持有兴奋剂</w:t>
            </w:r>
            <w:r>
              <w:rPr>
                <w:rFonts w:hint="eastAsia" w:ascii="宋体" w:hAnsi="宋体" w:eastAsia="宋体" w:cs="宋体"/>
                <w:color w:val="auto"/>
                <w:sz w:val="21"/>
                <w:szCs w:val="21"/>
                <w:highlight w:val="none"/>
                <w:vertAlign w:val="baseline"/>
                <w:lang w:val="en-US" w:eastAsia="zh-CN"/>
              </w:rPr>
              <w:t>数量较少的；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bidi="ar"/>
              </w:rPr>
              <w:t>仅</w:t>
            </w:r>
            <w:r>
              <w:rPr>
                <w:rFonts w:hint="eastAsia" w:ascii="宋体" w:hAnsi="宋体" w:eastAsia="宋体" w:cs="宋体"/>
                <w:color w:val="auto"/>
                <w:sz w:val="21"/>
                <w:szCs w:val="21"/>
                <w:highlight w:val="none"/>
                <w:vertAlign w:val="baseline"/>
                <w:lang w:val="en-US" w:eastAsia="zh-CN"/>
              </w:rPr>
              <w:t>持有在赛内都禁用的兴奋剂的</w:t>
            </w:r>
            <w:r>
              <w:rPr>
                <w:rFonts w:hint="eastAsia" w:ascii="宋体" w:hAnsi="宋体" w:eastAsia="宋体" w:cs="宋体"/>
                <w:color w:val="auto"/>
                <w:kern w:val="0"/>
                <w:sz w:val="21"/>
                <w:szCs w:val="21"/>
                <w:highlight w:val="none"/>
                <w:lang w:bidi="ar"/>
              </w:rPr>
              <w:t>。</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1" w:hRule="atLeast"/>
        </w:trPr>
        <w:tc>
          <w:tcPr>
            <w:tcW w:w="82" w:type="pct"/>
            <w:vMerge w:val="continue"/>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306" w:type="pct"/>
            <w:vMerge w:val="continue"/>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970"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p>
        </w:tc>
        <w:tc>
          <w:tcPr>
            <w:tcW w:w="938" w:type="pct"/>
            <w:vMerge w:val="continue"/>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rPr>
            </w:pPr>
          </w:p>
        </w:tc>
        <w:tc>
          <w:tcPr>
            <w:tcW w:w="160" w:type="pct"/>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266" w:type="pct"/>
            <w:noWrap w:val="0"/>
            <w:vAlign w:val="center"/>
          </w:tcPr>
          <w:p>
            <w:pPr>
              <w:widowControl/>
              <w:spacing w:line="24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rPr>
              <w:t>运动员辅助人员非法持有兴奋剂</w:t>
            </w:r>
            <w:r>
              <w:rPr>
                <w:rFonts w:hint="eastAsia" w:ascii="宋体" w:hAnsi="宋体" w:eastAsia="宋体" w:cs="宋体"/>
                <w:color w:val="auto"/>
                <w:sz w:val="21"/>
                <w:szCs w:val="21"/>
                <w:highlight w:val="none"/>
                <w:vertAlign w:val="baseline"/>
                <w:lang w:val="en-US" w:eastAsia="zh-CN"/>
              </w:rPr>
              <w:t>数量较多的；</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lang w:val="en-US" w:eastAsia="zh-CN"/>
              </w:rPr>
              <w:t>持有在任何时间都禁用的兴奋剂的；</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sz w:val="21"/>
                <w:szCs w:val="21"/>
                <w:highlight w:val="none"/>
                <w:vertAlign w:val="baseline"/>
                <w:lang w:val="en-US" w:eastAsia="zh-CN"/>
              </w:rPr>
              <w:t>拒绝</w:t>
            </w:r>
            <w:r>
              <w:rPr>
                <w:rFonts w:hint="eastAsia" w:ascii="宋体" w:hAnsi="宋体" w:eastAsia="宋体" w:cs="宋体"/>
                <w:color w:val="auto"/>
                <w:sz w:val="21"/>
                <w:szCs w:val="21"/>
                <w:highlight w:val="none"/>
                <w:vertAlign w:val="baseline"/>
              </w:rPr>
              <w:t>配合</w:t>
            </w:r>
            <w:r>
              <w:rPr>
                <w:rFonts w:hint="eastAsia" w:ascii="宋体" w:hAnsi="宋体" w:eastAsia="宋体" w:cs="宋体"/>
                <w:color w:val="auto"/>
                <w:sz w:val="21"/>
                <w:szCs w:val="21"/>
                <w:highlight w:val="none"/>
                <w:vertAlign w:val="baseline"/>
                <w:lang w:val="en-US" w:eastAsia="zh-CN"/>
              </w:rPr>
              <w:t>执法工作的；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vertAlign w:val="baseline"/>
              </w:rPr>
              <w:t>④</w:t>
            </w:r>
            <w:r>
              <w:rPr>
                <w:rFonts w:hint="eastAsia" w:ascii="宋体" w:hAnsi="宋体" w:eastAsia="宋体" w:cs="宋体"/>
                <w:color w:val="auto"/>
                <w:sz w:val="21"/>
                <w:szCs w:val="21"/>
                <w:highlight w:val="none"/>
                <w:vertAlign w:val="baseline"/>
                <w:lang w:val="en-US" w:eastAsia="zh-CN"/>
              </w:rPr>
              <w:t>造成严</w:t>
            </w:r>
            <w:r>
              <w:rPr>
                <w:rFonts w:hint="eastAsia" w:ascii="宋体" w:hAnsi="宋体" w:eastAsia="宋体" w:cs="宋体"/>
                <w:color w:val="auto"/>
                <w:kern w:val="0"/>
                <w:sz w:val="21"/>
                <w:szCs w:val="21"/>
                <w:highlight w:val="none"/>
                <w:lang w:val="en-US" w:eastAsia="zh-CN" w:bidi="ar"/>
              </w:rPr>
              <w:t>重后果或恶劣影响的其他情形。</w:t>
            </w:r>
          </w:p>
        </w:tc>
        <w:tc>
          <w:tcPr>
            <w:tcW w:w="1276" w:type="pct"/>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没收非法持有的兴奋剂</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涉事</w:t>
            </w:r>
            <w:r>
              <w:rPr>
                <w:rFonts w:hint="eastAsia" w:ascii="宋体" w:hAnsi="宋体" w:eastAsia="宋体" w:cs="宋体"/>
                <w:color w:val="auto"/>
                <w:sz w:val="21"/>
                <w:szCs w:val="21"/>
                <w:highlight w:val="none"/>
                <w:vertAlign w:val="baseline"/>
              </w:rPr>
              <w:t>运动员辅助人员</w:t>
            </w:r>
            <w:r>
              <w:rPr>
                <w:rFonts w:hint="eastAsia" w:ascii="宋体" w:hAnsi="宋体" w:eastAsia="宋体" w:cs="宋体"/>
                <w:color w:val="auto"/>
                <w:kern w:val="0"/>
                <w:sz w:val="21"/>
                <w:szCs w:val="21"/>
                <w:highlight w:val="none"/>
                <w:lang w:val="en-US" w:eastAsia="zh-CN" w:bidi="ar"/>
              </w:rPr>
              <w:t>2年</w:t>
            </w:r>
            <w:r>
              <w:rPr>
                <w:rFonts w:hint="eastAsia" w:ascii="宋体" w:hAnsi="宋体" w:eastAsia="宋体" w:cs="宋体"/>
                <w:color w:val="auto"/>
                <w:kern w:val="0"/>
                <w:sz w:val="21"/>
                <w:szCs w:val="21"/>
                <w:highlight w:val="none"/>
                <w:lang w:bidi="ar"/>
              </w:rPr>
              <w:t>不得从事</w:t>
            </w:r>
            <w:r>
              <w:rPr>
                <w:rFonts w:hint="eastAsia" w:ascii="宋体" w:hAnsi="宋体" w:eastAsia="宋体" w:cs="宋体"/>
                <w:color w:val="auto"/>
                <w:sz w:val="21"/>
                <w:szCs w:val="21"/>
                <w:highlight w:val="none"/>
                <w:vertAlign w:val="baseline"/>
              </w:rPr>
              <w:t>运动员辅助工作</w:t>
            </w:r>
            <w:r>
              <w:rPr>
                <w:rFonts w:hint="eastAsia" w:ascii="宋体" w:hAnsi="宋体" w:eastAsia="宋体" w:cs="宋体"/>
                <w:color w:val="auto"/>
                <w:kern w:val="0"/>
                <w:sz w:val="21"/>
                <w:szCs w:val="21"/>
                <w:highlight w:val="none"/>
                <w:lang w:bidi="ar"/>
              </w:rPr>
              <w:t>。</w:t>
            </w:r>
          </w:p>
        </w:tc>
      </w:tr>
    </w:tbl>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五、健身气功类（6项）</w:t>
      </w:r>
    </w:p>
    <w:p>
      <w:pPr>
        <w:numPr>
          <w:ilvl w:val="0"/>
          <w:numId w:val="0"/>
        </w:numPr>
        <w:spacing w:line="240" w:lineRule="auto"/>
        <w:rPr>
          <w:rFonts w:hint="eastAsia" w:ascii="宋体" w:hAnsi="宋体" w:eastAsia="宋体" w:cs="宋体"/>
          <w:b/>
          <w:bCs/>
          <w:color w:val="auto"/>
          <w:sz w:val="21"/>
          <w:szCs w:val="21"/>
          <w:highlight w:val="none"/>
          <w:lang w:val="en-US" w:eastAsia="zh-CN"/>
        </w:rPr>
      </w:pPr>
    </w:p>
    <w:tbl>
      <w:tblPr>
        <w:tblStyle w:val="4"/>
        <w:tblpPr w:leftFromText="180" w:rightFromText="180" w:vertAnchor="text" w:horzAnchor="page" w:tblpX="696" w:tblpY="1"/>
        <w:tblOverlap w:val="never"/>
        <w:tblW w:w="4988" w:type="pct"/>
        <w:tblInd w:w="0" w:type="dxa"/>
        <w:tblLayout w:type="autofit"/>
        <w:tblCellMar>
          <w:top w:w="15" w:type="dxa"/>
          <w:left w:w="15" w:type="dxa"/>
          <w:bottom w:w="15" w:type="dxa"/>
          <w:right w:w="15" w:type="dxa"/>
        </w:tblCellMar>
      </w:tblPr>
      <w:tblGrid>
        <w:gridCol w:w="241"/>
        <w:gridCol w:w="755"/>
        <w:gridCol w:w="4121"/>
        <w:gridCol w:w="2978"/>
        <w:gridCol w:w="465"/>
        <w:gridCol w:w="505"/>
        <w:gridCol w:w="4232"/>
        <w:gridCol w:w="2094"/>
      </w:tblGrid>
      <w:tr>
        <w:tblPrEx>
          <w:tblCellMar>
            <w:top w:w="15" w:type="dxa"/>
            <w:left w:w="15" w:type="dxa"/>
            <w:bottom w:w="15" w:type="dxa"/>
            <w:right w:w="15" w:type="dxa"/>
          </w:tblCellMar>
        </w:tblPrEx>
        <w:trPr>
          <w:trHeight w:val="90" w:hRule="atLeast"/>
        </w:trPr>
        <w:tc>
          <w:tcPr>
            <w:tcW w:w="78"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序号</w:t>
            </w:r>
          </w:p>
        </w:tc>
        <w:tc>
          <w:tcPr>
            <w:tcW w:w="245"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事项名称</w:t>
            </w:r>
          </w:p>
        </w:tc>
        <w:tc>
          <w:tcPr>
            <w:tcW w:w="2305" w:type="pct"/>
            <w:gridSpan w:val="2"/>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法律依据</w:t>
            </w:r>
          </w:p>
        </w:tc>
        <w:tc>
          <w:tcPr>
            <w:tcW w:w="315" w:type="pct"/>
            <w:gridSpan w:val="2"/>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裁量</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阶次</w:t>
            </w:r>
          </w:p>
        </w:tc>
        <w:tc>
          <w:tcPr>
            <w:tcW w:w="1374"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适用条件</w:t>
            </w:r>
          </w:p>
        </w:tc>
        <w:tc>
          <w:tcPr>
            <w:tcW w:w="680"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处罚标准</w:t>
            </w:r>
          </w:p>
        </w:tc>
      </w:tr>
      <w:tr>
        <w:tblPrEx>
          <w:tblCellMar>
            <w:top w:w="15" w:type="dxa"/>
            <w:left w:w="15" w:type="dxa"/>
            <w:bottom w:w="15" w:type="dxa"/>
            <w:right w:w="15" w:type="dxa"/>
          </w:tblCellMar>
        </w:tblPrEx>
        <w:trPr>
          <w:trHeight w:val="90" w:hRule="atLeast"/>
        </w:trPr>
        <w:tc>
          <w:tcPr>
            <w:tcW w:w="78"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tcBorders>
              <w:top w:val="single" w:color="auto" w:sz="4" w:space="0"/>
              <w:left w:val="single" w:color="auto" w:sz="4" w:space="0"/>
              <w:right w:val="single" w:color="auto" w:sz="4" w:space="0"/>
            </w:tcBorders>
            <w:shd w:val="clear" w:color="auto" w:fill="D7D7D7" w:themeFill="background1" w:themeFillShade="D8"/>
            <w:noWrap w:val="0"/>
            <w:vAlign w:val="center"/>
          </w:tcPr>
          <w:p>
            <w:pPr>
              <w:spacing w:line="24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违法依据</w:t>
            </w:r>
          </w:p>
        </w:tc>
        <w:tc>
          <w:tcPr>
            <w:tcW w:w="966" w:type="pct"/>
            <w:tcBorders>
              <w:top w:val="single" w:color="auto" w:sz="4" w:space="0"/>
              <w:left w:val="single" w:color="auto" w:sz="4" w:space="0"/>
              <w:right w:val="single" w:color="auto" w:sz="4" w:space="0"/>
            </w:tcBorders>
            <w:shd w:val="clear" w:color="auto" w:fill="D7D7D7" w:themeFill="background1" w:themeFillShade="D8"/>
            <w:noWrap w:val="0"/>
            <w:vAlign w:val="center"/>
          </w:tcPr>
          <w:p>
            <w:pPr>
              <w:spacing w:line="240" w:lineRule="auto"/>
              <w:ind w:firstLine="210" w:firstLineChars="10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处罚依据</w:t>
            </w:r>
          </w:p>
        </w:tc>
        <w:tc>
          <w:tcPr>
            <w:tcW w:w="315" w:type="pct"/>
            <w:gridSpan w:val="2"/>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1374"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p>
        </w:tc>
        <w:tc>
          <w:tcPr>
            <w:tcW w:w="680"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p>
        </w:tc>
      </w:tr>
      <w:tr>
        <w:tblPrEx>
          <w:tblCellMar>
            <w:top w:w="15" w:type="dxa"/>
            <w:left w:w="15" w:type="dxa"/>
            <w:bottom w:w="15" w:type="dxa"/>
            <w:right w:w="15" w:type="dxa"/>
          </w:tblCellMar>
        </w:tblPrEx>
        <w:trPr>
          <w:trHeight w:val="608"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45"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color w:val="auto"/>
                <w:kern w:val="2"/>
                <w:sz w:val="21"/>
                <w:szCs w:val="21"/>
                <w:highlight w:val="none"/>
                <w:vertAlign w:val="baseline"/>
                <w:lang w:val="en-US" w:eastAsia="zh-CN" w:bidi="ar-SA"/>
              </w:rPr>
              <w:t>对</w:t>
            </w:r>
            <w:r>
              <w:rPr>
                <w:rFonts w:hint="eastAsia" w:ascii="宋体" w:hAnsi="宋体" w:cs="宋体"/>
                <w:color w:val="auto"/>
                <w:kern w:val="2"/>
                <w:sz w:val="21"/>
                <w:szCs w:val="21"/>
                <w:highlight w:val="none"/>
                <w:vertAlign w:val="baseline"/>
                <w:lang w:val="en-US" w:eastAsia="zh-CN" w:bidi="ar-SA"/>
              </w:rPr>
              <w:t>举办健身气功活动中违法使用用语或名称</w:t>
            </w:r>
            <w:r>
              <w:rPr>
                <w:rFonts w:hint="eastAsia" w:ascii="宋体" w:hAnsi="宋体" w:eastAsia="宋体" w:cs="宋体"/>
                <w:color w:val="auto"/>
                <w:kern w:val="2"/>
                <w:sz w:val="21"/>
                <w:szCs w:val="21"/>
                <w:highlight w:val="none"/>
                <w:vertAlign w:val="baseline"/>
                <w:lang w:val="en-US" w:eastAsia="zh-CN" w:bidi="ar-SA"/>
              </w:rPr>
              <w:t>的行政处罚</w:t>
            </w:r>
          </w:p>
        </w:tc>
        <w:tc>
          <w:tcPr>
            <w:tcW w:w="133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健身气功管理办法 第八条 </w:t>
            </w:r>
          </w:p>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任何健身气功站点、健身气功功法名称均不得使用宗教用语，或以个人名字命名，或冠以“中国”“中华”“亚洲”“世界”“宇宙”以及类似词语。</w:t>
            </w:r>
          </w:p>
        </w:tc>
        <w:tc>
          <w:tcPr>
            <w:tcW w:w="966"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第三十八条</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违反本办法第八条和第二十九条规定的，由地方人民政府体育行政部门或其委托的综合行政执法部门责令整改，情节严重的，处以一千元至五千元罚款；违反治安管理规定的，依照《中华人民共和国治安管理处罚法》予以处罚；构成犯罪的，依法追究刑事责任。</w:t>
            </w: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参与人员10人以下的。</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处1000元至2200元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243" w:hRule="atLeast"/>
        </w:trPr>
        <w:tc>
          <w:tcPr>
            <w:tcW w:w="78"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vMerge w:val="continue"/>
            <w:tcBorders>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①参与人员11人至30人的；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lang w:val="en-US" w:eastAsia="zh-CN"/>
              </w:rPr>
              <w:t>造成一定不良后果与负面影响的其他情形。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处2200元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b w:val="0"/>
                <w:bCs w:val="0"/>
                <w:color w:val="auto"/>
                <w:kern w:val="0"/>
                <w:sz w:val="21"/>
                <w:szCs w:val="21"/>
                <w:highlight w:val="none"/>
                <w:lang w:val="en-US" w:eastAsia="zh-CN"/>
              </w:rPr>
              <w:t>3800元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966"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①拒不改正的；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②参与人员31人及以上的；</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w:t>
            </w:r>
            <w:r>
              <w:rPr>
                <w:rFonts w:hint="eastAsia" w:ascii="宋体" w:hAnsi="宋体" w:eastAsia="宋体" w:cs="宋体"/>
                <w:color w:val="auto"/>
                <w:kern w:val="0"/>
                <w:sz w:val="21"/>
                <w:szCs w:val="21"/>
                <w:highlight w:val="none"/>
                <w:lang w:val="en-US" w:eastAsia="zh-CN"/>
              </w:rPr>
              <w:t>实施同一违法行为3次及以上的；</w:t>
            </w:r>
          </w:p>
          <w:p>
            <w:pPr>
              <w:widowControl/>
              <w:spacing w:line="240" w:lineRule="auto"/>
              <w:jc w:val="both"/>
              <w:textAlignment w:val="top"/>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处3800元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至5000元的罚款。</w:t>
            </w:r>
          </w:p>
        </w:tc>
      </w:tr>
      <w:tr>
        <w:tblPrEx>
          <w:tblCellMar>
            <w:top w:w="15" w:type="dxa"/>
            <w:left w:w="15" w:type="dxa"/>
            <w:bottom w:w="15" w:type="dxa"/>
            <w:right w:w="15" w:type="dxa"/>
          </w:tblCellMar>
        </w:tblPrEx>
        <w:trPr>
          <w:trHeight w:val="1081" w:hRule="atLeast"/>
        </w:trPr>
        <w:tc>
          <w:tcPr>
            <w:tcW w:w="78" w:type="pct"/>
            <w:vMerge w:val="restart"/>
            <w:tcBorders>
              <w:left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w:t>
            </w:r>
          </w:p>
        </w:tc>
        <w:tc>
          <w:tcPr>
            <w:tcW w:w="245" w:type="pct"/>
            <w:vMerge w:val="restart"/>
            <w:tcBorders>
              <w:left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对利用举办健身气功活动从事违法活动的行政处罚</w:t>
            </w:r>
          </w:p>
        </w:tc>
        <w:tc>
          <w:tcPr>
            <w:tcW w:w="1338" w:type="pct"/>
            <w:vMerge w:val="restart"/>
            <w:tcBorders>
              <w:left w:val="single" w:color="auto" w:sz="4" w:space="0"/>
              <w:right w:val="single" w:color="auto" w:sz="4" w:space="0"/>
            </w:tcBorders>
            <w:shd w:val="clear" w:color="auto" w:fill="auto"/>
            <w:noWrap w:val="0"/>
            <w:vAlign w:val="center"/>
          </w:tcPr>
          <w:p>
            <w:pPr>
              <w:widowControl w:val="0"/>
              <w:numPr>
                <w:ilvl w:val="0"/>
                <w:numId w:val="0"/>
              </w:num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健身气功管理办法 第二十九条  </w:t>
            </w:r>
          </w:p>
          <w:p>
            <w:pPr>
              <w:widowControl w:val="0"/>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从事健身气功活动，不得进行愚昧迷信或神化个人的宣传，不得夹杂非健身气功内容，不得扰乱社会秩序、损害他人身体健康，不得借机非法敛财，不得出售“信息物”，不得举办“带功报告”“会功”“弘法”“贯顶”及其他类似活动。</w:t>
            </w:r>
          </w:p>
          <w:p>
            <w:pPr>
              <w:widowControl w:val="0"/>
              <w:numPr>
                <w:ilvl w:val="0"/>
                <w:numId w:val="0"/>
              </w:numPr>
              <w:spacing w:line="240" w:lineRule="auto"/>
              <w:ind w:left="0" w:leftChars="0"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健身气功类出版物须由具备养生保健类出版资质的出版机构出版，不得销售、散发未由合法出版机构出版的图书、报刊、音像制品和电子出版物。</w:t>
            </w:r>
          </w:p>
        </w:tc>
        <w:tc>
          <w:tcPr>
            <w:tcW w:w="966" w:type="pct"/>
            <w:vMerge w:val="restart"/>
            <w:tcBorders>
              <w:left w:val="single" w:color="auto" w:sz="4" w:space="0"/>
              <w:right w:val="single" w:color="auto" w:sz="4" w:space="0"/>
            </w:tcBorders>
            <w:shd w:val="clear" w:color="auto" w:fill="auto"/>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第三十八条</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违反本办法第八条和第二十九条规定的，由地方人民政府体育行政部门或其委托的综合行政执法部门责令整改，情节严重的，处以一千元至五千元罚款；违反治安管理规定的，依照《中华人民共和国治安管理处罚法》予以处罚；构成犯罪的，依法追究刑事责任。</w:t>
            </w: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参与人员10人以下的。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处1000元至2200元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255"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vMerge w:val="continue"/>
            <w:tcBorders>
              <w:left w:val="single" w:color="auto" w:sz="4" w:space="0"/>
              <w:bottom w:val="single" w:color="auto" w:sz="4" w:space="0"/>
              <w:right w:val="single" w:color="auto" w:sz="4" w:space="0"/>
            </w:tcBorders>
            <w:shd w:val="clear" w:color="auto" w:fill="auto"/>
            <w:noWrap w:val="0"/>
            <w:vAlign w:val="center"/>
          </w:tcPr>
          <w:p>
            <w:pPr>
              <w:widowControl w:val="0"/>
              <w:numPr>
                <w:ilvl w:val="0"/>
                <w:numId w:val="0"/>
              </w:numPr>
              <w:spacing w:line="240" w:lineRule="auto"/>
              <w:ind w:left="0" w:leftChars="0" w:firstLine="210" w:firstLineChars="100"/>
              <w:jc w:val="both"/>
              <w:rPr>
                <w:rFonts w:hint="eastAsia" w:ascii="宋体" w:hAnsi="宋体" w:eastAsia="宋体" w:cs="宋体"/>
                <w:color w:val="auto"/>
                <w:kern w:val="2"/>
                <w:sz w:val="21"/>
                <w:szCs w:val="21"/>
                <w:highlight w:val="none"/>
                <w:vertAlign w:val="baseline"/>
                <w:lang w:val="en-US" w:eastAsia="zh-CN" w:bidi="ar-SA"/>
              </w:rPr>
            </w:pPr>
          </w:p>
        </w:tc>
        <w:tc>
          <w:tcPr>
            <w:tcW w:w="966" w:type="pct"/>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①参与人员11人至30人的；</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lang w:val="en-US" w:eastAsia="zh-CN"/>
              </w:rPr>
              <w:t>造成一定不良后果与负面影响的其他情形。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处2200元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b w:val="0"/>
                <w:bCs w:val="0"/>
                <w:color w:val="auto"/>
                <w:kern w:val="0"/>
                <w:sz w:val="21"/>
                <w:szCs w:val="21"/>
                <w:highlight w:val="none"/>
                <w:lang w:val="en-US" w:eastAsia="zh-CN"/>
              </w:rPr>
              <w:t>3800元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838"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vMerge w:val="continue"/>
            <w:tcBorders>
              <w:left w:val="single" w:color="auto" w:sz="4" w:space="0"/>
              <w:bottom w:val="single" w:color="auto" w:sz="4" w:space="0"/>
              <w:right w:val="single" w:color="auto" w:sz="4" w:space="0"/>
            </w:tcBorders>
            <w:shd w:val="clear" w:color="auto" w:fill="auto"/>
            <w:noWrap w:val="0"/>
            <w:vAlign w:val="center"/>
          </w:tcPr>
          <w:p>
            <w:pPr>
              <w:widowControl w:val="0"/>
              <w:numPr>
                <w:ilvl w:val="0"/>
                <w:numId w:val="0"/>
              </w:numPr>
              <w:spacing w:line="240" w:lineRule="auto"/>
              <w:ind w:left="0" w:leftChars="0" w:firstLine="210" w:firstLineChars="100"/>
              <w:jc w:val="both"/>
              <w:rPr>
                <w:rFonts w:hint="eastAsia" w:ascii="宋体" w:hAnsi="宋体" w:eastAsia="宋体" w:cs="宋体"/>
                <w:color w:val="auto"/>
                <w:kern w:val="2"/>
                <w:sz w:val="21"/>
                <w:szCs w:val="21"/>
                <w:highlight w:val="none"/>
                <w:vertAlign w:val="baseline"/>
                <w:lang w:val="en-US" w:eastAsia="zh-CN" w:bidi="ar-SA"/>
              </w:rPr>
            </w:pPr>
          </w:p>
        </w:tc>
        <w:tc>
          <w:tcPr>
            <w:tcW w:w="966" w:type="pct"/>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①拒不改正的；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②参与人员31人及以上的；</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w:t>
            </w:r>
            <w:r>
              <w:rPr>
                <w:rFonts w:hint="eastAsia" w:ascii="宋体" w:hAnsi="宋体" w:eastAsia="宋体" w:cs="宋体"/>
                <w:color w:val="auto"/>
                <w:kern w:val="0"/>
                <w:sz w:val="21"/>
                <w:szCs w:val="21"/>
                <w:highlight w:val="none"/>
                <w:lang w:val="en-US" w:eastAsia="zh-CN"/>
              </w:rPr>
              <w:t>实施同一违法行为3次及以上的；</w:t>
            </w:r>
          </w:p>
          <w:p>
            <w:pPr>
              <w:widowControl/>
              <w:spacing w:line="240" w:lineRule="auto"/>
              <w:jc w:val="both"/>
              <w:textAlignment w:val="top"/>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处3800元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至5000元的罚款。</w:t>
            </w:r>
          </w:p>
        </w:tc>
      </w:tr>
      <w:tr>
        <w:tblPrEx>
          <w:tblCellMar>
            <w:top w:w="15" w:type="dxa"/>
            <w:left w:w="15" w:type="dxa"/>
            <w:bottom w:w="15" w:type="dxa"/>
            <w:right w:w="15" w:type="dxa"/>
          </w:tblCellMar>
        </w:tblPrEx>
        <w:trPr>
          <w:trHeight w:val="1019"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p>
        </w:tc>
        <w:tc>
          <w:tcPr>
            <w:tcW w:w="245"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color w:val="auto"/>
                <w:kern w:val="2"/>
                <w:sz w:val="21"/>
                <w:szCs w:val="21"/>
                <w:highlight w:val="none"/>
                <w:vertAlign w:val="baseline"/>
                <w:lang w:val="en-US" w:eastAsia="zh-CN" w:bidi="ar-SA"/>
              </w:rPr>
              <w:t>健身气功活动组织者未按规定履行审批手续的的行政处罚</w:t>
            </w:r>
          </w:p>
        </w:tc>
        <w:tc>
          <w:tcPr>
            <w:tcW w:w="1338"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第二十条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举办全国性、跨省（区、市）的健身气功活动，应当经国家体育总局批准；省（区、市）内举办的健身气功活动，应当经属地人民政府体育行政部门批准；跨地区的健身气功活动，应当经所跨地区共同的上一级人民政府体育行政部门批准。</w:t>
            </w:r>
          </w:p>
          <w:p>
            <w:pPr>
              <w:spacing w:line="240" w:lineRule="auto"/>
              <w:ind w:firstLine="420" w:firstLineChars="2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参加人数在一千人以上的健身气功活动，除报体育行政部门审核批准外，还应当按照《大型群众性活动安全管理条例》的规定经公安机关许可。</w:t>
            </w:r>
          </w:p>
          <w:p>
            <w:pPr>
              <w:spacing w:line="240" w:lineRule="auto"/>
              <w:ind w:firstLine="420" w:firstLineChars="200"/>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第二十三条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开展涉外健身气功活动，按照国家有关外事规定和《体育赛事活动管理办法》办理相关手续。</w:t>
            </w:r>
          </w:p>
          <w:p>
            <w:pPr>
              <w:spacing w:line="240" w:lineRule="auto"/>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第二十四条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涉及香港特别行政区、澳门特别行政区和台湾地区参加的健身气功活动，在遵守国家有关法律及其他相关规定的前提下，参照第二十三条执行。</w:t>
            </w:r>
          </w:p>
        </w:tc>
        <w:tc>
          <w:tcPr>
            <w:tcW w:w="96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第三十九条  第一项</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健身气功活动组织者违反本办法第二十条、二十三条、二十四条规定，由具有审批权限的体育行政部门或其委托的综合行政执法部门按照下列规定予以处理：</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（一）未按规定履行审批手续的，予以整改、取消活动或三万元以下罚款；</w:t>
            </w: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活动未</w:t>
            </w:r>
            <w:r>
              <w:rPr>
                <w:rFonts w:hint="eastAsia" w:ascii="宋体" w:hAnsi="宋体" w:cs="宋体"/>
                <w:b/>
                <w:bCs/>
                <w:color w:val="auto"/>
                <w:kern w:val="0"/>
                <w:sz w:val="21"/>
                <w:szCs w:val="21"/>
                <w:highlight w:val="none"/>
                <w:lang w:val="en-US" w:eastAsia="zh-CN" w:bidi="ar-SA"/>
              </w:rPr>
              <w:t>开始</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整改未达到要求的。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取消活动。</w:t>
            </w:r>
          </w:p>
        </w:tc>
      </w:tr>
      <w:tr>
        <w:tblPrEx>
          <w:tblCellMar>
            <w:top w:w="15" w:type="dxa"/>
            <w:left w:w="15" w:type="dxa"/>
            <w:bottom w:w="15" w:type="dxa"/>
            <w:right w:w="15" w:type="dxa"/>
          </w:tblCellMar>
        </w:tblPrEx>
        <w:trPr>
          <w:trHeight w:val="2498"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15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活动已</w:t>
            </w:r>
            <w:r>
              <w:rPr>
                <w:rFonts w:hint="eastAsia" w:ascii="宋体" w:hAnsi="宋体" w:cs="宋体"/>
                <w:b/>
                <w:bCs/>
                <w:color w:val="auto"/>
                <w:kern w:val="0"/>
                <w:sz w:val="21"/>
                <w:szCs w:val="21"/>
                <w:highlight w:val="none"/>
                <w:lang w:val="en-US" w:eastAsia="zh-CN" w:bidi="ar-SA"/>
              </w:rPr>
              <w:t>开始或已结束</w:t>
            </w:r>
          </w:p>
        </w:tc>
        <w:tc>
          <w:tcPr>
            <w:tcW w:w="16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①活动时间1日（含）以内的；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②参与人员10人以下的；</w:t>
            </w:r>
          </w:p>
          <w:p>
            <w:pPr>
              <w:widowControl/>
              <w:spacing w:line="240" w:lineRule="auto"/>
              <w:jc w:val="both"/>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③造成一定不良后果或负面影响的其他情形。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处21000元（不含）以下的罚款。</w:t>
            </w:r>
          </w:p>
        </w:tc>
      </w:tr>
      <w:tr>
        <w:tblPrEx>
          <w:tblCellMar>
            <w:top w:w="15" w:type="dxa"/>
            <w:left w:w="15" w:type="dxa"/>
            <w:bottom w:w="15" w:type="dxa"/>
            <w:right w:w="15" w:type="dxa"/>
          </w:tblCellMar>
        </w:tblPrEx>
        <w:trPr>
          <w:trHeight w:val="1497"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338"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①活动时间超过1日的；</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②参与人员11人及以上的；</w:t>
            </w:r>
          </w:p>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w:t>
            </w:r>
            <w:r>
              <w:rPr>
                <w:rFonts w:hint="eastAsia" w:ascii="宋体" w:hAnsi="宋体" w:eastAsia="宋体" w:cs="宋体"/>
                <w:color w:val="auto"/>
                <w:kern w:val="0"/>
                <w:sz w:val="21"/>
                <w:szCs w:val="21"/>
                <w:highlight w:val="none"/>
                <w:lang w:val="en-US" w:eastAsia="zh-CN"/>
              </w:rPr>
              <w:t>实施同一违法行为3次及以上的；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④</w:t>
            </w:r>
            <w:r>
              <w:rPr>
                <w:rFonts w:hint="eastAsia" w:ascii="宋体" w:hAnsi="宋体" w:eastAsia="宋体" w:cs="宋体"/>
                <w:color w:val="auto"/>
                <w:kern w:val="0"/>
                <w:sz w:val="21"/>
                <w:szCs w:val="21"/>
                <w:highlight w:val="none"/>
                <w:lang w:val="en-US" w:eastAsia="zh-CN"/>
              </w:rPr>
              <w:t>造成人身财产伤害事故的；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⑤</w:t>
            </w:r>
            <w:r>
              <w:rPr>
                <w:rFonts w:hint="eastAsia" w:ascii="宋体" w:hAnsi="宋体" w:eastAsia="宋体" w:cs="宋体"/>
                <w:color w:val="auto"/>
                <w:sz w:val="21"/>
                <w:szCs w:val="21"/>
                <w:highlight w:val="none"/>
                <w:vertAlign w:val="baseline"/>
                <w:lang w:val="en-US" w:eastAsia="zh-CN"/>
              </w:rPr>
              <w:t>造成严重后果或恶劣影响的其他情形。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处21000元（含）至30000元的罚款。</w:t>
            </w:r>
          </w:p>
        </w:tc>
      </w:tr>
      <w:tr>
        <w:tblPrEx>
          <w:tblCellMar>
            <w:top w:w="15" w:type="dxa"/>
            <w:left w:w="15" w:type="dxa"/>
            <w:bottom w:w="15" w:type="dxa"/>
            <w:right w:w="15" w:type="dxa"/>
          </w:tblCellMar>
        </w:tblPrEx>
        <w:trPr>
          <w:trHeight w:val="730" w:hRule="atLeast"/>
        </w:trPr>
        <w:tc>
          <w:tcPr>
            <w:tcW w:w="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color w:val="auto"/>
                <w:kern w:val="2"/>
                <w:sz w:val="21"/>
                <w:szCs w:val="21"/>
                <w:highlight w:val="none"/>
                <w:vertAlign w:val="baseline"/>
                <w:lang w:val="en-US" w:eastAsia="zh-CN" w:bidi="ar-SA"/>
              </w:rPr>
              <w:t>健身气功活动组织者履行审批手续但未按活动方案执行的行政处罚</w:t>
            </w:r>
          </w:p>
        </w:tc>
        <w:tc>
          <w:tcPr>
            <w:tcW w:w="133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第二十条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举办全国性、跨省（区、市）的健身气功活动，应当经国家体育总局批准；省（区、市）内举办的健身气功活动，应当经属地人民政府体育行政部门批准；跨地区的健身气功活动，应当经所跨地区共同的上一级人民政府体育行政部门批准。</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参加人数在一千人以上的健身气功活动，除报体育行政部门审核批准外，还应当按照《大型群众性活动安全管理条例》的规定经公安机关许可。</w:t>
            </w:r>
          </w:p>
          <w:p>
            <w:pPr>
              <w:spacing w:line="240" w:lineRule="auto"/>
              <w:ind w:firstLine="420" w:firstLineChars="200"/>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第二十三条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开展涉外健身气功活动，按照国家有关外事规定和《体育赛事活动管理办法》办理相关手续。</w:t>
            </w:r>
          </w:p>
          <w:p>
            <w:pPr>
              <w:spacing w:line="240" w:lineRule="auto"/>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第二十四条  </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涉及香港特别行政区、澳门特别行政区和台湾地区参加的健身气功活动，在遵守国家有关法律及其他相关。</w:t>
            </w:r>
          </w:p>
        </w:tc>
        <w:tc>
          <w:tcPr>
            <w:tcW w:w="96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第三十九条 第二项</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健身气功活动组织者违反本办法第二十条、二十三条、二十四条规定，由具有审批权限的体育行政部门或其委托的综合行政执法部门按照下列规定予以处理：</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（二）履行审批手续但未按活动方案执行的，予以警告、通报或一万元以下罚款。</w:t>
            </w: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未对活动造成影响的</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未按活动方案执行，但及时改正，未对活动进程造成影响的。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警告</w:t>
            </w:r>
            <w:r>
              <w:rPr>
                <w:rFonts w:hint="eastAsia" w:ascii="宋体" w:hAnsi="宋体" w:cs="宋体"/>
                <w:color w:val="auto"/>
                <w:kern w:val="0"/>
                <w:sz w:val="21"/>
                <w:szCs w:val="21"/>
                <w:highlight w:val="none"/>
                <w:lang w:val="en-US" w:eastAsia="zh-CN" w:bidi="ar-SA"/>
              </w:rPr>
              <w:t>或</w:t>
            </w:r>
            <w:r>
              <w:rPr>
                <w:rFonts w:hint="eastAsia" w:ascii="宋体" w:hAnsi="宋体" w:eastAsia="宋体" w:cs="宋体"/>
                <w:color w:val="auto"/>
                <w:kern w:val="0"/>
                <w:sz w:val="21"/>
                <w:szCs w:val="21"/>
                <w:highlight w:val="none"/>
                <w:lang w:val="en-US" w:eastAsia="zh-CN" w:bidi="ar-SA"/>
              </w:rPr>
              <w:t>通报</w:t>
            </w:r>
          </w:p>
        </w:tc>
      </w:tr>
      <w:tr>
        <w:tblPrEx>
          <w:tblCellMar>
            <w:top w:w="15" w:type="dxa"/>
            <w:left w:w="15" w:type="dxa"/>
            <w:bottom w:w="15" w:type="dxa"/>
            <w:right w:w="15" w:type="dxa"/>
          </w:tblCellMar>
        </w:tblPrEx>
        <w:trPr>
          <w:trHeight w:val="1490"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15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对活动造成影响的</w:t>
            </w:r>
          </w:p>
        </w:tc>
        <w:tc>
          <w:tcPr>
            <w:tcW w:w="16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实施违法行为时间为1日（含）内，且参与人数10人以下的。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处3000元（含）以下的罚款。</w:t>
            </w:r>
          </w:p>
        </w:tc>
      </w:tr>
      <w:tr>
        <w:tblPrEx>
          <w:tblCellMar>
            <w:top w:w="15" w:type="dxa"/>
            <w:left w:w="15" w:type="dxa"/>
            <w:bottom w:w="15" w:type="dxa"/>
            <w:right w:w="15" w:type="dxa"/>
          </w:tblCellMar>
        </w:tblPrEx>
        <w:trPr>
          <w:trHeight w:val="1638"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vertAlign w:val="baseline"/>
                <w:lang w:val="en-US" w:eastAsia="zh-CN"/>
              </w:rPr>
              <w:t>实施违法行为时间为1日（不含）至3日（含）；</w:t>
            </w:r>
          </w:p>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lang w:val="en-US" w:eastAsia="zh-CN"/>
              </w:rPr>
              <w:t>参与人数11人至30人的。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处3000元（不含）至7000元（不含）的罚款。</w:t>
            </w:r>
          </w:p>
        </w:tc>
      </w:tr>
      <w:tr>
        <w:tblPrEx>
          <w:tblCellMar>
            <w:top w:w="15" w:type="dxa"/>
            <w:left w:w="15" w:type="dxa"/>
            <w:bottom w:w="15" w:type="dxa"/>
            <w:right w:w="15" w:type="dxa"/>
          </w:tblCellMar>
        </w:tblPrEx>
        <w:trPr>
          <w:trHeight w:val="2234"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15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bidi="ar"/>
              </w:rPr>
              <w:t>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lang w:val="en-US" w:eastAsia="zh-CN"/>
              </w:rPr>
              <w:t>实施违法行为时间超过3日的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kern w:val="0"/>
                <w:sz w:val="21"/>
                <w:szCs w:val="21"/>
                <w:highlight w:val="none"/>
                <w:lang w:val="en-US" w:eastAsia="zh-CN" w:bidi="ar"/>
              </w:rPr>
              <w:t>参与人数31人及以上的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bidi="ar"/>
              </w:rPr>
              <w:t>④</w:t>
            </w:r>
            <w:r>
              <w:rPr>
                <w:rFonts w:hint="eastAsia" w:ascii="宋体" w:hAnsi="宋体" w:eastAsia="宋体" w:cs="宋体"/>
                <w:color w:val="auto"/>
                <w:kern w:val="0"/>
                <w:sz w:val="21"/>
                <w:szCs w:val="21"/>
                <w:highlight w:val="none"/>
                <w:lang w:val="en-US" w:eastAsia="zh-CN"/>
              </w:rPr>
              <w:t>造成人身财产伤害事故的；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⑤</w:t>
            </w:r>
            <w:r>
              <w:rPr>
                <w:rFonts w:hint="eastAsia" w:ascii="宋体" w:hAnsi="宋体" w:eastAsia="宋体" w:cs="宋体"/>
                <w:color w:val="auto"/>
                <w:kern w:val="0"/>
                <w:sz w:val="21"/>
                <w:szCs w:val="21"/>
                <w:highlight w:val="none"/>
                <w:lang w:val="en-US" w:eastAsia="zh-CN" w:bidi="ar"/>
              </w:rPr>
              <w:t>造成严重后果或恶劣影响的其他情形。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处7000元（含）至10000元的罚款。</w:t>
            </w:r>
          </w:p>
        </w:tc>
      </w:tr>
      <w:tr>
        <w:tblPrEx>
          <w:tblCellMar>
            <w:top w:w="15" w:type="dxa"/>
            <w:left w:w="15" w:type="dxa"/>
            <w:bottom w:w="15" w:type="dxa"/>
            <w:right w:w="15" w:type="dxa"/>
          </w:tblCellMar>
        </w:tblPrEx>
        <w:trPr>
          <w:trHeight w:val="1306" w:hRule="atLeast"/>
        </w:trPr>
        <w:tc>
          <w:tcPr>
            <w:tcW w:w="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color w:val="auto"/>
                <w:kern w:val="2"/>
                <w:sz w:val="21"/>
                <w:szCs w:val="21"/>
                <w:highlight w:val="none"/>
                <w:vertAlign w:val="baseline"/>
                <w:lang w:val="en-US" w:eastAsia="zh-CN" w:bidi="ar-SA"/>
              </w:rPr>
              <w:t>健身气功站点未参加年检或年检不合格的行政处罚</w:t>
            </w:r>
          </w:p>
        </w:tc>
        <w:tc>
          <w:tcPr>
            <w:tcW w:w="133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第二十八条 第二款</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批准设立健身气功站点的体育行政部门应当向获得批准的站点颁发统一格式的证书，并组织年检。</w:t>
            </w:r>
          </w:p>
        </w:tc>
        <w:tc>
          <w:tcPr>
            <w:tcW w:w="96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健身气功管理办法</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第四十条  第二项</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违反本办法设立健身气功站点的，由具有审批权限的体育行政部门或其委托的综合行政执法部门按照下列规定予以处理：</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（二）未参加年检或年检不合格的，责令整改，情节严重的，对站点负责人处以一千元至五千元罚款；</w:t>
            </w:r>
          </w:p>
        </w:tc>
        <w:tc>
          <w:tcPr>
            <w:tcW w:w="315" w:type="pct"/>
            <w:gridSpan w:val="2"/>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7日（含）内</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且未</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不良</w:t>
            </w:r>
            <w:r>
              <w:rPr>
                <w:rFonts w:hint="eastAsia" w:ascii="宋体" w:hAnsi="宋体" w:eastAsia="宋体" w:cs="宋体"/>
                <w:color w:val="auto"/>
                <w:kern w:val="0"/>
                <w:sz w:val="21"/>
                <w:szCs w:val="21"/>
                <w:highlight w:val="none"/>
              </w:rPr>
              <w:t>后果</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负面影响的</w:t>
            </w:r>
            <w:r>
              <w:rPr>
                <w:rFonts w:hint="eastAsia" w:ascii="宋体" w:hAnsi="宋体" w:eastAsia="宋体" w:cs="宋体"/>
                <w:color w:val="auto"/>
                <w:kern w:val="0"/>
                <w:sz w:val="21"/>
                <w:szCs w:val="21"/>
                <w:highlight w:val="none"/>
                <w:lang w:eastAsia="zh-CN"/>
              </w:rPr>
              <w:t>。</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处1000元（含）至2200元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540"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7日（不含）至15日（含）</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一定不良后果或</w:t>
            </w:r>
            <w:r>
              <w:rPr>
                <w:rFonts w:hint="eastAsia" w:ascii="宋体" w:hAnsi="宋体" w:eastAsia="宋体" w:cs="宋体"/>
                <w:color w:val="auto"/>
                <w:kern w:val="0"/>
                <w:sz w:val="21"/>
                <w:szCs w:val="21"/>
                <w:highlight w:val="none"/>
              </w:rPr>
              <w:t>负面影响</w:t>
            </w:r>
            <w:r>
              <w:rPr>
                <w:rFonts w:hint="eastAsia" w:ascii="宋体" w:hAnsi="宋体" w:eastAsia="宋体" w:cs="宋体"/>
                <w:color w:val="auto"/>
                <w:kern w:val="0"/>
                <w:sz w:val="21"/>
                <w:szCs w:val="21"/>
                <w:highlight w:val="none"/>
                <w:lang w:val="en-US" w:eastAsia="zh-CN"/>
              </w:rPr>
              <w:t>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处2200元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b w:val="0"/>
                <w:bCs w:val="0"/>
                <w:color w:val="auto"/>
                <w:kern w:val="0"/>
                <w:sz w:val="21"/>
                <w:szCs w:val="21"/>
                <w:highlight w:val="none"/>
                <w:lang w:val="en-US" w:eastAsia="zh-CN"/>
              </w:rPr>
              <w:t>3800元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795"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rPr>
              <w:t>拒不改正，或</w:t>
            </w:r>
            <w:r>
              <w:rPr>
                <w:rFonts w:hint="eastAsia" w:ascii="宋体" w:hAnsi="宋体" w:eastAsia="宋体" w:cs="宋体"/>
                <w:color w:val="auto"/>
                <w:kern w:val="0"/>
                <w:sz w:val="21"/>
                <w:szCs w:val="21"/>
                <w:highlight w:val="none"/>
              </w:rPr>
              <w:t>逾期</w:t>
            </w:r>
            <w:r>
              <w:rPr>
                <w:rFonts w:hint="eastAsia" w:ascii="宋体" w:hAnsi="宋体" w:eastAsia="宋体" w:cs="宋体"/>
                <w:color w:val="auto"/>
                <w:kern w:val="0"/>
                <w:sz w:val="21"/>
                <w:szCs w:val="21"/>
                <w:highlight w:val="none"/>
                <w:lang w:val="en-US" w:eastAsia="zh-CN"/>
              </w:rPr>
              <w:t>超过15日未</w:t>
            </w:r>
            <w:r>
              <w:rPr>
                <w:rFonts w:hint="eastAsia" w:ascii="宋体" w:hAnsi="宋体" w:eastAsia="宋体" w:cs="宋体"/>
                <w:color w:val="auto"/>
                <w:kern w:val="0"/>
                <w:sz w:val="21"/>
                <w:szCs w:val="21"/>
                <w:highlight w:val="none"/>
              </w:rPr>
              <w:t>改正</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②实施同一违法行为3次及以上的；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kern w:val="0"/>
                <w:sz w:val="21"/>
                <w:szCs w:val="21"/>
                <w:highlight w:val="none"/>
              </w:rPr>
              <w:t>造成</w:t>
            </w:r>
            <w:r>
              <w:rPr>
                <w:rFonts w:hint="eastAsia" w:ascii="宋体" w:hAnsi="宋体" w:eastAsia="宋体" w:cs="宋体"/>
                <w:color w:val="auto"/>
                <w:kern w:val="0"/>
                <w:sz w:val="21"/>
                <w:szCs w:val="21"/>
                <w:highlight w:val="none"/>
                <w:lang w:val="en-US" w:eastAsia="zh-CN"/>
              </w:rPr>
              <w:t>严重后果或恶劣</w:t>
            </w:r>
            <w:r>
              <w:rPr>
                <w:rFonts w:hint="eastAsia" w:ascii="宋体" w:hAnsi="宋体" w:eastAsia="宋体" w:cs="宋体"/>
                <w:color w:val="auto"/>
                <w:kern w:val="0"/>
                <w:sz w:val="21"/>
                <w:szCs w:val="21"/>
                <w:highlight w:val="none"/>
              </w:rPr>
              <w:t>影响</w:t>
            </w:r>
            <w:r>
              <w:rPr>
                <w:rFonts w:hint="eastAsia" w:ascii="宋体" w:hAnsi="宋体" w:eastAsia="宋体" w:cs="宋体"/>
                <w:color w:val="auto"/>
                <w:kern w:val="0"/>
                <w:sz w:val="21"/>
                <w:szCs w:val="21"/>
                <w:highlight w:val="none"/>
                <w:lang w:val="en-US" w:eastAsia="zh-CN"/>
              </w:rPr>
              <w:t>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处3800元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至5000元的罚款。</w:t>
            </w:r>
          </w:p>
        </w:tc>
      </w:tr>
      <w:tr>
        <w:tblPrEx>
          <w:tblCellMar>
            <w:top w:w="15" w:type="dxa"/>
            <w:left w:w="15" w:type="dxa"/>
            <w:bottom w:w="15" w:type="dxa"/>
            <w:right w:w="15" w:type="dxa"/>
          </w:tblCellMar>
        </w:tblPrEx>
        <w:trPr>
          <w:trHeight w:val="844" w:hRule="atLeast"/>
        </w:trPr>
        <w:tc>
          <w:tcPr>
            <w:tcW w:w="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6</w:t>
            </w:r>
          </w:p>
        </w:tc>
        <w:tc>
          <w:tcPr>
            <w:tcW w:w="24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color w:val="auto"/>
                <w:kern w:val="2"/>
                <w:sz w:val="21"/>
                <w:szCs w:val="21"/>
                <w:highlight w:val="none"/>
                <w:vertAlign w:val="baseline"/>
                <w:lang w:val="en-US" w:eastAsia="zh-CN" w:bidi="ar-SA"/>
              </w:rPr>
              <w:t>健身气功站点开展非国家体育总局审定批准的功法的行政处罚</w:t>
            </w:r>
          </w:p>
        </w:tc>
        <w:tc>
          <w:tcPr>
            <w:tcW w:w="133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第十一条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申请审定健身气功功法，由具有法人资格的单位向当地省级人民政府体育行政部门提出，经省级人民政府体育行政部门组织专家学者进行初审并同意后，向国家体育总局提出申请。</w:t>
            </w:r>
          </w:p>
          <w:p>
            <w:pPr>
              <w:spacing w:line="240" w:lineRule="auto"/>
              <w:jc w:val="both"/>
              <w:rPr>
                <w:rFonts w:hint="eastAsia" w:ascii="宋体" w:hAnsi="宋体" w:eastAsia="宋体" w:cs="宋体"/>
                <w:color w:val="auto"/>
                <w:sz w:val="21"/>
                <w:szCs w:val="21"/>
                <w:highlight w:val="none"/>
                <w:vertAlign w:val="baseline"/>
                <w:lang w:val="en-US" w:eastAsia="zh-CN"/>
              </w:rPr>
            </w:pP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第十二条 </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国家体育总局可根据群众健身需求，组织专家学者编创审定健身气功功法。</w:t>
            </w:r>
          </w:p>
          <w:p>
            <w:pPr>
              <w:numPr>
                <w:ilvl w:val="0"/>
                <w:numId w:val="0"/>
              </w:numPr>
              <w:spacing w:line="240" w:lineRule="auto"/>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bidi="ar-SA"/>
              </w:rPr>
              <w:t xml:space="preserve">健身气功管理办法 </w:t>
            </w:r>
            <w:r>
              <w:rPr>
                <w:rFonts w:hint="eastAsia" w:ascii="宋体" w:hAnsi="宋体" w:eastAsia="宋体" w:cs="宋体"/>
                <w:color w:val="auto"/>
                <w:sz w:val="21"/>
                <w:szCs w:val="21"/>
                <w:highlight w:val="none"/>
                <w:vertAlign w:val="baseline"/>
                <w:lang w:val="en-US" w:eastAsia="zh-CN"/>
              </w:rPr>
              <w:t xml:space="preserve">第十四条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经审定批准的健身气功功法由国家体育总局发布。</w:t>
            </w:r>
          </w:p>
        </w:tc>
        <w:tc>
          <w:tcPr>
            <w:tcW w:w="96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健身气功管理办法</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第四十条  第三项</w:t>
            </w:r>
          </w:p>
          <w:p>
            <w:p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违反本办法设立健身气功站点的，由具有审批权限的体育行政部门或其委托的综合行政执法部门按照下列规定予以处理：</w:t>
            </w:r>
          </w:p>
          <w:p>
            <w:pPr>
              <w:spacing w:line="240" w:lineRule="auto"/>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（三）开展的功法非国家体育总局审定批准的，责令整改，情节严重的，对站点负责人处以一千元至五千元罚款。</w:t>
            </w:r>
          </w:p>
        </w:tc>
        <w:tc>
          <w:tcPr>
            <w:tcW w:w="315" w:type="pct"/>
            <w:gridSpan w:val="2"/>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实施违法行为时间为1日（含）内，且参与人数10人以内的。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处1000元至2200元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1308"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sz w:val="21"/>
                <w:szCs w:val="21"/>
                <w:highlight w:val="none"/>
                <w:vertAlign w:val="baseline"/>
                <w:lang w:val="en-US" w:eastAsia="zh-CN"/>
              </w:rPr>
              <w:t>实施违法行为时间为1日（不含）至3日（含）的；</w:t>
            </w:r>
          </w:p>
          <w:p>
            <w:pPr>
              <w:widowControl/>
              <w:spacing w:line="240" w:lineRule="auto"/>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②</w:t>
            </w:r>
            <w:r>
              <w:rPr>
                <w:rFonts w:hint="eastAsia" w:ascii="宋体" w:hAnsi="宋体" w:eastAsia="宋体" w:cs="宋体"/>
                <w:color w:val="auto"/>
                <w:sz w:val="21"/>
                <w:szCs w:val="21"/>
                <w:highlight w:val="none"/>
                <w:vertAlign w:val="baseline"/>
                <w:lang w:val="en-US" w:eastAsia="zh-CN"/>
              </w:rPr>
              <w:t>参与人数11人至30人的。</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处2200元</w:t>
            </w:r>
            <w:r>
              <w:rPr>
                <w:rFonts w:hint="eastAsia" w:ascii="宋体" w:hAnsi="宋体" w:eastAsia="宋体" w:cs="宋体"/>
                <w:color w:val="auto"/>
                <w:kern w:val="0"/>
                <w:sz w:val="21"/>
                <w:szCs w:val="21"/>
                <w:highlight w:val="none"/>
                <w:lang w:val="en-US" w:eastAsia="zh-CN"/>
              </w:rPr>
              <w:t>（不含）至</w:t>
            </w:r>
            <w:r>
              <w:rPr>
                <w:rFonts w:hint="eastAsia" w:ascii="宋体" w:hAnsi="宋体" w:eastAsia="宋体" w:cs="宋体"/>
                <w:b w:val="0"/>
                <w:bCs w:val="0"/>
                <w:color w:val="auto"/>
                <w:kern w:val="0"/>
                <w:sz w:val="21"/>
                <w:szCs w:val="21"/>
                <w:highlight w:val="none"/>
                <w:lang w:val="en-US" w:eastAsia="zh-CN"/>
              </w:rPr>
              <w:t>3800元</w:t>
            </w:r>
            <w:r>
              <w:rPr>
                <w:rFonts w:hint="eastAsia" w:ascii="宋体" w:hAnsi="宋体" w:eastAsia="宋体" w:cs="宋体"/>
                <w:color w:val="auto"/>
                <w:kern w:val="0"/>
                <w:sz w:val="21"/>
                <w:szCs w:val="21"/>
                <w:highlight w:val="none"/>
                <w:lang w:val="en-US" w:eastAsia="zh-CN"/>
              </w:rPr>
              <w:t>（不含）</w:t>
            </w:r>
            <w:r>
              <w:rPr>
                <w:rFonts w:hint="eastAsia" w:ascii="宋体" w:hAnsi="宋体" w:eastAsia="宋体" w:cs="宋体"/>
                <w:b w:val="0"/>
                <w:bCs w:val="0"/>
                <w:color w:val="auto"/>
                <w:kern w:val="0"/>
                <w:sz w:val="21"/>
                <w:szCs w:val="21"/>
                <w:highlight w:val="none"/>
                <w:lang w:val="en-US" w:eastAsia="zh-CN"/>
              </w:rPr>
              <w:t>的罚款。</w:t>
            </w:r>
          </w:p>
        </w:tc>
      </w:tr>
      <w:tr>
        <w:tblPrEx>
          <w:tblCellMar>
            <w:top w:w="15" w:type="dxa"/>
            <w:left w:w="15" w:type="dxa"/>
            <w:bottom w:w="15" w:type="dxa"/>
            <w:right w:w="15" w:type="dxa"/>
          </w:tblCellMar>
        </w:tblPrEx>
        <w:trPr>
          <w:trHeight w:val="2168"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bCs/>
                <w:color w:val="auto"/>
                <w:kern w:val="0"/>
                <w:sz w:val="21"/>
                <w:szCs w:val="21"/>
                <w:highlight w:val="none"/>
                <w:lang w:val="en-US" w:eastAsia="zh-CN"/>
              </w:rPr>
            </w:pPr>
          </w:p>
        </w:tc>
        <w:tc>
          <w:tcPr>
            <w:tcW w:w="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p>
        </w:tc>
        <w:tc>
          <w:tcPr>
            <w:tcW w:w="133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kern w:val="2"/>
                <w:sz w:val="21"/>
                <w:szCs w:val="21"/>
                <w:highlight w:val="none"/>
                <w:vertAlign w:val="baseline"/>
                <w:lang w:val="en-US" w:eastAsia="zh-CN" w:bidi="ar-SA"/>
              </w:rPr>
            </w:pPr>
          </w:p>
        </w:tc>
        <w:tc>
          <w:tcPr>
            <w:tcW w:w="31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37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bidi="ar"/>
              </w:rPr>
              <w:t>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vertAlign w:val="baseline"/>
                <w:lang w:val="en-US" w:eastAsia="zh-CN"/>
              </w:rPr>
              <w:t>实施违法行为时间超过3日的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kern w:val="0"/>
                <w:sz w:val="21"/>
                <w:szCs w:val="21"/>
                <w:highlight w:val="none"/>
                <w:lang w:val="en-US" w:eastAsia="zh-CN" w:bidi="ar"/>
              </w:rPr>
              <w:t>参与人数31人及以上的</w:t>
            </w:r>
            <w:r>
              <w:rPr>
                <w:rFonts w:hint="eastAsia" w:ascii="宋体" w:hAnsi="宋体" w:eastAsia="宋体" w:cs="宋体"/>
                <w:color w:val="auto"/>
                <w:kern w:val="0"/>
                <w:sz w:val="21"/>
                <w:szCs w:val="21"/>
                <w:highlight w:val="none"/>
                <w:lang w:eastAsia="zh-CN" w:bidi="ar"/>
              </w:rPr>
              <w:t>；</w:t>
            </w:r>
          </w:p>
          <w:p>
            <w:pPr>
              <w:widowControl/>
              <w:spacing w:line="24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④</w:t>
            </w:r>
            <w:r>
              <w:rPr>
                <w:rFonts w:hint="eastAsia" w:ascii="宋体" w:hAnsi="宋体" w:eastAsia="宋体" w:cs="宋体"/>
                <w:color w:val="auto"/>
                <w:kern w:val="0"/>
                <w:sz w:val="21"/>
                <w:szCs w:val="21"/>
                <w:highlight w:val="none"/>
                <w:lang w:val="en-US" w:eastAsia="zh-CN"/>
              </w:rPr>
              <w:t>造成人身财产伤害事故的；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⑤</w:t>
            </w:r>
            <w:r>
              <w:rPr>
                <w:rFonts w:hint="eastAsia" w:ascii="宋体" w:hAnsi="宋体" w:eastAsia="宋体" w:cs="宋体"/>
                <w:color w:val="auto"/>
                <w:kern w:val="0"/>
                <w:sz w:val="21"/>
                <w:szCs w:val="21"/>
                <w:highlight w:val="none"/>
                <w:lang w:val="en-US" w:eastAsia="zh-CN" w:bidi="ar"/>
              </w:rPr>
              <w:t>造成严重后果或恶劣影响的其他情形。</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处3800元</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b w:val="0"/>
                <w:bCs w:val="0"/>
                <w:color w:val="auto"/>
                <w:kern w:val="0"/>
                <w:sz w:val="21"/>
                <w:szCs w:val="21"/>
                <w:highlight w:val="none"/>
                <w:lang w:val="en-US" w:eastAsia="zh-CN"/>
              </w:rPr>
              <w:t>至5000元的罚款。</w:t>
            </w:r>
          </w:p>
        </w:tc>
      </w:tr>
    </w:tbl>
    <w:p>
      <w:pPr>
        <w:numPr>
          <w:ilvl w:val="0"/>
          <w:numId w:val="0"/>
        </w:numPr>
        <w:spacing w:line="240" w:lineRule="auto"/>
        <w:rPr>
          <w:rFonts w:hint="eastAsia" w:ascii="宋体" w:hAnsi="宋体" w:eastAsia="宋体" w:cs="宋体"/>
          <w:b/>
          <w:bCs/>
          <w:color w:val="auto"/>
          <w:sz w:val="21"/>
          <w:szCs w:val="21"/>
          <w:highlight w:val="none"/>
          <w:lang w:val="en-US" w:eastAsia="zh-CN"/>
        </w:rPr>
      </w:pPr>
    </w:p>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六、体育彩票类（5项）</w:t>
      </w:r>
    </w:p>
    <w:p>
      <w:pPr>
        <w:numPr>
          <w:ilvl w:val="0"/>
          <w:numId w:val="0"/>
        </w:numPr>
        <w:spacing w:line="240" w:lineRule="auto"/>
        <w:rPr>
          <w:rFonts w:hint="eastAsia" w:ascii="宋体" w:hAnsi="宋体" w:eastAsia="宋体" w:cs="宋体"/>
          <w:b/>
          <w:bCs/>
          <w:color w:val="auto"/>
          <w:sz w:val="21"/>
          <w:szCs w:val="21"/>
          <w:highlight w:val="none"/>
          <w:lang w:val="en-US" w:eastAsia="zh-CN"/>
        </w:rPr>
      </w:pPr>
    </w:p>
    <w:tbl>
      <w:tblPr>
        <w:tblStyle w:val="4"/>
        <w:tblpPr w:leftFromText="180" w:rightFromText="180" w:vertAnchor="text" w:horzAnchor="page" w:tblpX="696" w:tblpY="1"/>
        <w:tblOverlap w:val="never"/>
        <w:tblW w:w="4999" w:type="pct"/>
        <w:tblInd w:w="0" w:type="dxa"/>
        <w:tblLayout w:type="autofit"/>
        <w:tblCellMar>
          <w:top w:w="15" w:type="dxa"/>
          <w:left w:w="15" w:type="dxa"/>
          <w:bottom w:w="15" w:type="dxa"/>
          <w:right w:w="15" w:type="dxa"/>
        </w:tblCellMar>
      </w:tblPr>
      <w:tblGrid>
        <w:gridCol w:w="241"/>
        <w:gridCol w:w="848"/>
        <w:gridCol w:w="3329"/>
        <w:gridCol w:w="3315"/>
        <w:gridCol w:w="670"/>
        <w:gridCol w:w="4389"/>
        <w:gridCol w:w="2633"/>
      </w:tblGrid>
      <w:tr>
        <w:tblPrEx>
          <w:tblCellMar>
            <w:top w:w="15" w:type="dxa"/>
            <w:left w:w="15" w:type="dxa"/>
            <w:bottom w:w="15" w:type="dxa"/>
            <w:right w:w="15" w:type="dxa"/>
          </w:tblCellMar>
        </w:tblPrEx>
        <w:trPr>
          <w:trHeight w:val="392" w:hRule="atLeast"/>
        </w:trPr>
        <w:tc>
          <w:tcPr>
            <w:tcW w:w="78"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序号</w:t>
            </w:r>
          </w:p>
        </w:tc>
        <w:tc>
          <w:tcPr>
            <w:tcW w:w="275"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事项名称</w:t>
            </w:r>
          </w:p>
        </w:tc>
        <w:tc>
          <w:tcPr>
            <w:tcW w:w="2153" w:type="pct"/>
            <w:gridSpan w:val="2"/>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法律依据</w:t>
            </w:r>
          </w:p>
        </w:tc>
        <w:tc>
          <w:tcPr>
            <w:tcW w:w="217"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裁量</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阶次</w:t>
            </w:r>
          </w:p>
        </w:tc>
        <w:tc>
          <w:tcPr>
            <w:tcW w:w="1422"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适用条件</w:t>
            </w:r>
          </w:p>
        </w:tc>
        <w:tc>
          <w:tcPr>
            <w:tcW w:w="853" w:type="pct"/>
            <w:vMerge w:val="restart"/>
            <w:tcBorders>
              <w:top w:val="single" w:color="auto" w:sz="4" w:space="0"/>
              <w:left w:val="single" w:color="auto" w:sz="4" w:space="0"/>
              <w:right w:val="single" w:color="auto" w:sz="4" w:space="0"/>
            </w:tcBorders>
            <w:shd w:val="clear" w:color="auto" w:fill="D7D7D7" w:themeFill="background1" w:themeFillShade="D8"/>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处罚标准</w:t>
            </w:r>
          </w:p>
        </w:tc>
      </w:tr>
      <w:tr>
        <w:tblPrEx>
          <w:tblCellMar>
            <w:top w:w="15" w:type="dxa"/>
            <w:left w:w="15" w:type="dxa"/>
            <w:bottom w:w="15" w:type="dxa"/>
            <w:right w:w="15" w:type="dxa"/>
          </w:tblCellMar>
        </w:tblPrEx>
        <w:trPr>
          <w:trHeight w:val="312" w:hRule="atLeast"/>
        </w:trPr>
        <w:tc>
          <w:tcPr>
            <w:tcW w:w="78"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275"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spacing w:line="24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违法依据</w:t>
            </w:r>
          </w:p>
        </w:tc>
        <w:tc>
          <w:tcPr>
            <w:tcW w:w="1073" w:type="pct"/>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spacing w:line="240" w:lineRule="auto"/>
              <w:ind w:firstLine="210" w:firstLineChars="100"/>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处罚依据</w:t>
            </w:r>
          </w:p>
        </w:tc>
        <w:tc>
          <w:tcPr>
            <w:tcW w:w="217"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p>
        </w:tc>
        <w:tc>
          <w:tcPr>
            <w:tcW w:w="1422"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p>
        </w:tc>
        <w:tc>
          <w:tcPr>
            <w:tcW w:w="853"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p>
        </w:tc>
      </w:tr>
      <w:tr>
        <w:tblPrEx>
          <w:tblCellMar>
            <w:top w:w="15" w:type="dxa"/>
            <w:left w:w="15" w:type="dxa"/>
            <w:bottom w:w="15" w:type="dxa"/>
            <w:right w:w="15" w:type="dxa"/>
          </w:tblCellMar>
        </w:tblPrEx>
        <w:trPr>
          <w:trHeight w:val="90"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w:t>
            </w:r>
          </w:p>
        </w:tc>
        <w:tc>
          <w:tcPr>
            <w:tcW w:w="275"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对彩票代销者委托他人代销彩票或者转借、出租、出售彩票投注专用设备的行政处罚</w:t>
            </w:r>
          </w:p>
        </w:tc>
        <w:tc>
          <w:tcPr>
            <w:tcW w:w="1079"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第十五条　第二款</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彩票代销者不得委托他人代销彩票。</w:t>
            </w:r>
          </w:p>
          <w:p>
            <w:pPr>
              <w:spacing w:line="240" w:lineRule="auto"/>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第十六条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彩票销售机构应当为彩票代销者配置彩票投注专用设备。彩票投注专用设备属于彩票销售机构所有，彩票代销者不得转借、出租、出售。</w:t>
            </w:r>
          </w:p>
        </w:tc>
        <w:tc>
          <w:tcPr>
            <w:tcW w:w="107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第四十一条</w:t>
            </w:r>
            <w:r>
              <w:rPr>
                <w:rFonts w:hint="eastAsia" w:ascii="宋体" w:hAnsi="宋体" w:cs="宋体"/>
                <w:color w:val="auto"/>
                <w:sz w:val="21"/>
                <w:szCs w:val="21"/>
                <w:highlight w:val="none"/>
                <w:vertAlign w:val="baseline"/>
                <w:lang w:val="en-US" w:eastAsia="zh-CN"/>
              </w:rPr>
              <w:t xml:space="preserve"> 第一项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彩票代销者有下列行为之一的，由民政部门、体育行政部门责令改正，处2000元以上1万元以下罚款；有违法所得的，没收违法所得：</w:t>
            </w:r>
          </w:p>
          <w:p>
            <w:pPr>
              <w:numPr>
                <w:ilvl w:val="0"/>
                <w:numId w:val="0"/>
              </w:numPr>
              <w:spacing w:line="240" w:lineRule="auto"/>
              <w:ind w:firstLine="210" w:firstLineChars="10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（一）委托他人代销彩票或者转借、出租、出售彩票投注专用设备的；</w:t>
            </w:r>
          </w:p>
        </w:tc>
        <w:tc>
          <w:tcPr>
            <w:tcW w:w="21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，且未造成不良后果的。</w:t>
            </w:r>
          </w:p>
        </w:tc>
        <w:tc>
          <w:tcPr>
            <w:tcW w:w="85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处2000元</w:t>
            </w:r>
            <w:r>
              <w:rPr>
                <w:rFonts w:hint="eastAsia" w:ascii="宋体" w:hAnsi="宋体" w:eastAsia="宋体" w:cs="宋体"/>
                <w:color w:val="auto"/>
                <w:kern w:val="0"/>
                <w:sz w:val="21"/>
                <w:szCs w:val="21"/>
                <w:highlight w:val="none"/>
                <w:lang w:val="en-US" w:eastAsia="zh-CN"/>
              </w:rPr>
              <w:t>至44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259"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不含）至5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rPr>
              <w:t>造成一定不良后果或负面影响的其他情形</w:t>
            </w:r>
            <w:r>
              <w:rPr>
                <w:rFonts w:hint="eastAsia" w:ascii="宋体" w:hAnsi="宋体" w:eastAsia="宋体" w:cs="宋体"/>
                <w:color w:val="auto"/>
                <w:kern w:val="0"/>
                <w:sz w:val="21"/>
                <w:szCs w:val="21"/>
                <w:highlight w:val="none"/>
              </w:rPr>
              <w:t>。</w:t>
            </w:r>
          </w:p>
        </w:tc>
        <w:tc>
          <w:tcPr>
            <w:tcW w:w="85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（不含）至76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03"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超过5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③实施</w:t>
            </w:r>
            <w:r>
              <w:rPr>
                <w:rFonts w:hint="eastAsia" w:ascii="宋体" w:hAnsi="宋体" w:cs="宋体"/>
                <w:color w:val="auto"/>
                <w:sz w:val="21"/>
                <w:szCs w:val="21"/>
                <w:highlight w:val="none"/>
                <w:vertAlign w:val="baseline"/>
                <w:lang w:val="en-US" w:eastAsia="zh-CN"/>
              </w:rPr>
              <w:t>同一</w:t>
            </w:r>
            <w:r>
              <w:rPr>
                <w:rFonts w:hint="eastAsia" w:ascii="宋体" w:hAnsi="宋体" w:eastAsia="宋体" w:cs="宋体"/>
                <w:color w:val="auto"/>
                <w:sz w:val="21"/>
                <w:szCs w:val="21"/>
                <w:highlight w:val="none"/>
                <w:vertAlign w:val="baseline"/>
                <w:lang w:val="en-US" w:eastAsia="zh-CN"/>
              </w:rPr>
              <w:t>违法行为3次及以上的；</w:t>
            </w:r>
          </w:p>
          <w:p>
            <w:pPr>
              <w:widowControl/>
              <w:spacing w:line="240"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853"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kern w:val="0"/>
                <w:sz w:val="21"/>
                <w:szCs w:val="21"/>
                <w:highlight w:val="none"/>
              </w:rPr>
              <w:t>10000元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291"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w:t>
            </w:r>
          </w:p>
        </w:tc>
        <w:tc>
          <w:tcPr>
            <w:tcW w:w="275"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对彩票代销者进行虚假性、误导性宣传的行政处罚</w:t>
            </w:r>
          </w:p>
        </w:tc>
        <w:tc>
          <w:tcPr>
            <w:tcW w:w="1079"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第十八条　</w:t>
            </w:r>
            <w:r>
              <w:rPr>
                <w:rFonts w:hint="eastAsia" w:ascii="宋体" w:hAnsi="宋体" w:cs="宋体"/>
                <w:color w:val="auto"/>
                <w:sz w:val="21"/>
                <w:szCs w:val="21"/>
                <w:highlight w:val="none"/>
                <w:vertAlign w:val="baseline"/>
                <w:lang w:val="en-US" w:eastAsia="zh-CN"/>
              </w:rPr>
              <w:t>第一项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彩票发行机构、彩票销售机构、彩票代销者不得有下列行为：</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（一）进行虚假性、误导性宣传；</w:t>
            </w:r>
          </w:p>
        </w:tc>
        <w:tc>
          <w:tcPr>
            <w:tcW w:w="1073"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第四十一条</w:t>
            </w:r>
            <w:r>
              <w:rPr>
                <w:rFonts w:hint="eastAsia" w:ascii="宋体" w:hAnsi="宋体" w:cs="宋体"/>
                <w:color w:val="auto"/>
                <w:sz w:val="21"/>
                <w:szCs w:val="21"/>
                <w:highlight w:val="none"/>
                <w:vertAlign w:val="baseline"/>
                <w:lang w:val="en-US" w:eastAsia="zh-CN"/>
              </w:rPr>
              <w:t xml:space="preserve"> 第二项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彩票代销者有下列行为之一的，由民政部门、体育行政部门责令改正，处2000元以上1万元以下罚款；有违法所得的，没收违法所得：</w:t>
            </w:r>
          </w:p>
          <w:p>
            <w:pPr>
              <w:widowControl w:val="0"/>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（二）进行虚假性、误导性宣传的；</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，且未造成不良后果的。</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处2000元</w:t>
            </w:r>
            <w:r>
              <w:rPr>
                <w:rFonts w:hint="eastAsia" w:ascii="宋体" w:hAnsi="宋体" w:eastAsia="宋体" w:cs="宋体"/>
                <w:color w:val="auto"/>
                <w:kern w:val="0"/>
                <w:sz w:val="21"/>
                <w:szCs w:val="21"/>
                <w:highlight w:val="none"/>
                <w:lang w:val="en-US" w:eastAsia="zh-CN"/>
              </w:rPr>
              <w:t>至44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400"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不含）至5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rPr>
              <w:t>造成一定不良后果或负面影响的其他情形</w:t>
            </w:r>
            <w:r>
              <w:rPr>
                <w:rFonts w:hint="eastAsia" w:ascii="宋体" w:hAnsi="宋体" w:eastAsia="宋体" w:cs="宋体"/>
                <w:color w:val="auto"/>
                <w:kern w:val="0"/>
                <w:sz w:val="21"/>
                <w:szCs w:val="21"/>
                <w:highlight w:val="none"/>
              </w:rPr>
              <w:t>。</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（不含）至76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931"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超过5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③实施</w:t>
            </w:r>
            <w:r>
              <w:rPr>
                <w:rFonts w:hint="eastAsia" w:ascii="宋体" w:hAnsi="宋体" w:cs="宋体"/>
                <w:color w:val="auto"/>
                <w:sz w:val="21"/>
                <w:szCs w:val="21"/>
                <w:highlight w:val="none"/>
                <w:vertAlign w:val="baseline"/>
                <w:lang w:val="en-US" w:eastAsia="zh-CN"/>
              </w:rPr>
              <w:t>同一</w:t>
            </w:r>
            <w:r>
              <w:rPr>
                <w:rFonts w:hint="eastAsia" w:ascii="宋体" w:hAnsi="宋体" w:eastAsia="宋体" w:cs="宋体"/>
                <w:color w:val="auto"/>
                <w:sz w:val="21"/>
                <w:szCs w:val="21"/>
                <w:highlight w:val="none"/>
                <w:vertAlign w:val="baseline"/>
                <w:lang w:val="en-US" w:eastAsia="zh-CN"/>
              </w:rPr>
              <w:t>违法行为3次及以上的；</w:t>
            </w:r>
          </w:p>
          <w:p>
            <w:pPr>
              <w:widowControl/>
              <w:spacing w:line="240"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kern w:val="0"/>
                <w:sz w:val="21"/>
                <w:szCs w:val="21"/>
                <w:highlight w:val="none"/>
              </w:rPr>
              <w:t>10000元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307"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p>
        </w:tc>
        <w:tc>
          <w:tcPr>
            <w:tcW w:w="275"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对彩票代销者进行不正当竞争的行政处罚</w:t>
            </w:r>
          </w:p>
        </w:tc>
        <w:tc>
          <w:tcPr>
            <w:tcW w:w="1079"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第十八条　</w:t>
            </w:r>
            <w:r>
              <w:rPr>
                <w:rFonts w:hint="eastAsia" w:ascii="宋体" w:hAnsi="宋体" w:cs="宋体"/>
                <w:color w:val="auto"/>
                <w:sz w:val="21"/>
                <w:szCs w:val="21"/>
                <w:highlight w:val="none"/>
                <w:vertAlign w:val="baseline"/>
                <w:lang w:val="en-US" w:eastAsia="zh-CN"/>
              </w:rPr>
              <w:t>第二项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彩票发行机构、彩票销售机构、彩票代销者不得有下列行为：</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（二）以诋毁同业者等手段进行不正当竞争；</w:t>
            </w:r>
          </w:p>
        </w:tc>
        <w:tc>
          <w:tcPr>
            <w:tcW w:w="1073"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第四十一条</w:t>
            </w:r>
            <w:r>
              <w:rPr>
                <w:rFonts w:hint="eastAsia" w:ascii="宋体" w:hAnsi="宋体" w:cs="宋体"/>
                <w:color w:val="auto"/>
                <w:sz w:val="21"/>
                <w:szCs w:val="21"/>
                <w:highlight w:val="none"/>
                <w:vertAlign w:val="baseline"/>
                <w:lang w:val="en-US" w:eastAsia="zh-CN"/>
              </w:rPr>
              <w:t xml:space="preserve"> 第三项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彩票代销者有下列行为之一的，由民政部门、体育行政部门责令改正，处2000元以上1万元以下罚款；有违法所得的，没收违法所得：</w:t>
            </w:r>
          </w:p>
          <w:p>
            <w:pPr>
              <w:widowControl w:val="0"/>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（三）以诋毁同业者等手段进行不正当竞争的；</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，且未造成不良后果的。</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处2000元</w:t>
            </w:r>
            <w:r>
              <w:rPr>
                <w:rFonts w:hint="eastAsia" w:ascii="宋体" w:hAnsi="宋体" w:eastAsia="宋体" w:cs="宋体"/>
                <w:color w:val="auto"/>
                <w:kern w:val="0"/>
                <w:sz w:val="21"/>
                <w:szCs w:val="21"/>
                <w:highlight w:val="none"/>
                <w:lang w:val="en-US" w:eastAsia="zh-CN"/>
              </w:rPr>
              <w:t>至44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307"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不含）至5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rPr>
              <w:t>造成一定不良后果或负面影响的其他情形</w:t>
            </w:r>
            <w:r>
              <w:rPr>
                <w:rFonts w:hint="eastAsia" w:ascii="宋体" w:hAnsi="宋体" w:eastAsia="宋体" w:cs="宋体"/>
                <w:color w:val="auto"/>
                <w:kern w:val="0"/>
                <w:sz w:val="21"/>
                <w:szCs w:val="21"/>
                <w:highlight w:val="none"/>
              </w:rPr>
              <w:t>。</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（不含）至76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931"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left w:val="single" w:color="auto" w:sz="4" w:space="0"/>
              <w:bottom w:val="single" w:color="auto" w:sz="4" w:space="0"/>
              <w:right w:val="single" w:color="auto" w:sz="4" w:space="0"/>
            </w:tcBorders>
            <w:noWrap w:val="0"/>
            <w:vAlign w:val="center"/>
          </w:tcPr>
          <w:p>
            <w:pPr>
              <w:widowControl w:val="0"/>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超过5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③实施</w:t>
            </w:r>
            <w:r>
              <w:rPr>
                <w:rFonts w:hint="eastAsia" w:ascii="宋体" w:hAnsi="宋体" w:cs="宋体"/>
                <w:color w:val="auto"/>
                <w:sz w:val="21"/>
                <w:szCs w:val="21"/>
                <w:highlight w:val="none"/>
                <w:vertAlign w:val="baseline"/>
                <w:lang w:val="en-US" w:eastAsia="zh-CN"/>
              </w:rPr>
              <w:t>同一</w:t>
            </w:r>
            <w:r>
              <w:rPr>
                <w:rFonts w:hint="eastAsia" w:ascii="宋体" w:hAnsi="宋体" w:eastAsia="宋体" w:cs="宋体"/>
                <w:color w:val="auto"/>
                <w:sz w:val="21"/>
                <w:szCs w:val="21"/>
                <w:highlight w:val="none"/>
                <w:vertAlign w:val="baseline"/>
                <w:lang w:val="en-US" w:eastAsia="zh-CN"/>
              </w:rPr>
              <w:t>违法行为3次及以上的；</w:t>
            </w:r>
          </w:p>
          <w:p>
            <w:pPr>
              <w:widowControl/>
              <w:spacing w:line="240"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kern w:val="0"/>
                <w:sz w:val="21"/>
                <w:szCs w:val="21"/>
                <w:highlight w:val="none"/>
              </w:rPr>
              <w:t>10000元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401" w:hRule="atLeast"/>
        </w:trPr>
        <w:tc>
          <w:tcPr>
            <w:tcW w:w="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w:t>
            </w:r>
          </w:p>
        </w:tc>
        <w:tc>
          <w:tcPr>
            <w:tcW w:w="2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对彩票代销者向未成年人销售彩票的行政处罚</w:t>
            </w:r>
          </w:p>
        </w:tc>
        <w:tc>
          <w:tcPr>
            <w:tcW w:w="10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第十八条　</w:t>
            </w:r>
            <w:r>
              <w:rPr>
                <w:rFonts w:hint="eastAsia" w:ascii="宋体" w:hAnsi="宋体" w:cs="宋体"/>
                <w:color w:val="auto"/>
                <w:sz w:val="21"/>
                <w:szCs w:val="21"/>
                <w:highlight w:val="none"/>
                <w:vertAlign w:val="baseline"/>
                <w:lang w:val="en-US" w:eastAsia="zh-CN"/>
              </w:rPr>
              <w:t>第三项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彩票发行机构、彩票销售机构、彩票代销者不得有下列行为：</w:t>
            </w:r>
          </w:p>
          <w:p>
            <w:pPr>
              <w:numPr>
                <w:ilvl w:val="0"/>
                <w:numId w:val="0"/>
              </w:num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（三）向未成年人销售彩票；</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第四十一条</w:t>
            </w:r>
            <w:r>
              <w:rPr>
                <w:rFonts w:hint="eastAsia" w:ascii="宋体" w:hAnsi="宋体" w:cs="宋体"/>
                <w:color w:val="auto"/>
                <w:sz w:val="21"/>
                <w:szCs w:val="21"/>
                <w:highlight w:val="none"/>
                <w:vertAlign w:val="baseline"/>
                <w:lang w:val="en-US" w:eastAsia="zh-CN"/>
              </w:rPr>
              <w:t xml:space="preserve"> 第四项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彩票代销者有下列行为之一的，由民政部门、体育行政部门责令改正，处2000元以上1万元以下罚款；有违法所得的，没收违法所得：</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（四）向未成年人销售彩票的；</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，且未造成不良后果的。</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处2000元</w:t>
            </w:r>
            <w:r>
              <w:rPr>
                <w:rFonts w:hint="eastAsia" w:ascii="宋体" w:hAnsi="宋体" w:eastAsia="宋体" w:cs="宋体"/>
                <w:color w:val="auto"/>
                <w:kern w:val="0"/>
                <w:sz w:val="21"/>
                <w:szCs w:val="21"/>
                <w:highlight w:val="none"/>
                <w:lang w:val="en-US" w:eastAsia="zh-CN"/>
              </w:rPr>
              <w:t>至44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355"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不含）至5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rPr>
              <w:t>造成一定不良后果或负面影响的其他情形</w:t>
            </w:r>
            <w:r>
              <w:rPr>
                <w:rFonts w:hint="eastAsia" w:ascii="宋体" w:hAnsi="宋体" w:eastAsia="宋体" w:cs="宋体"/>
                <w:color w:val="auto"/>
                <w:kern w:val="0"/>
                <w:sz w:val="21"/>
                <w:szCs w:val="21"/>
                <w:highlight w:val="none"/>
              </w:rPr>
              <w:t>。</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（不含）至76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922" w:hRule="atLeast"/>
        </w:trPr>
        <w:tc>
          <w:tcPr>
            <w:tcW w:w="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超过5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③实施</w:t>
            </w:r>
            <w:r>
              <w:rPr>
                <w:rFonts w:hint="eastAsia" w:ascii="宋体" w:hAnsi="宋体" w:cs="宋体"/>
                <w:color w:val="auto"/>
                <w:sz w:val="21"/>
                <w:szCs w:val="21"/>
                <w:highlight w:val="none"/>
                <w:vertAlign w:val="baseline"/>
                <w:lang w:val="en-US" w:eastAsia="zh-CN"/>
              </w:rPr>
              <w:t>同一</w:t>
            </w:r>
            <w:r>
              <w:rPr>
                <w:rFonts w:hint="eastAsia" w:ascii="宋体" w:hAnsi="宋体" w:eastAsia="宋体" w:cs="宋体"/>
                <w:color w:val="auto"/>
                <w:sz w:val="21"/>
                <w:szCs w:val="21"/>
                <w:highlight w:val="none"/>
                <w:vertAlign w:val="baseline"/>
                <w:lang w:val="en-US" w:eastAsia="zh-CN"/>
              </w:rPr>
              <w:t>违法行为3次及以上的；</w:t>
            </w:r>
          </w:p>
          <w:p>
            <w:pPr>
              <w:widowControl/>
              <w:spacing w:line="240"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kern w:val="0"/>
                <w:sz w:val="21"/>
                <w:szCs w:val="21"/>
                <w:highlight w:val="none"/>
              </w:rPr>
              <w:t>10000元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152" w:hRule="atLeast"/>
        </w:trPr>
        <w:tc>
          <w:tcPr>
            <w:tcW w:w="78" w:type="pct"/>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5</w:t>
            </w:r>
          </w:p>
        </w:tc>
        <w:tc>
          <w:tcPr>
            <w:tcW w:w="275" w:type="pct"/>
            <w:vMerge w:val="restart"/>
            <w:tcBorders>
              <w:top w:val="single" w:color="auto" w:sz="4" w:space="0"/>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对彩票代销者以赊销或者信用方式销售彩票的行政处罚</w:t>
            </w:r>
          </w:p>
        </w:tc>
        <w:tc>
          <w:tcPr>
            <w:tcW w:w="1079"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第十八条　</w:t>
            </w:r>
            <w:r>
              <w:rPr>
                <w:rFonts w:hint="eastAsia" w:ascii="宋体" w:hAnsi="宋体" w:cs="宋体"/>
                <w:color w:val="auto"/>
                <w:sz w:val="21"/>
                <w:szCs w:val="21"/>
                <w:highlight w:val="none"/>
                <w:vertAlign w:val="baseline"/>
                <w:lang w:val="en-US" w:eastAsia="zh-CN"/>
              </w:rPr>
              <w:t>第四项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彩票发行机构、彩票销售机构、彩票代销者不得有下列行为：</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（四）以赊销或者信用方式销售彩票。</w:t>
            </w:r>
          </w:p>
        </w:tc>
        <w:tc>
          <w:tcPr>
            <w:tcW w:w="1073" w:type="pct"/>
            <w:vMerge w:val="restart"/>
            <w:tcBorders>
              <w:top w:val="single" w:color="auto" w:sz="4" w:space="0"/>
              <w:left w:val="single" w:color="auto" w:sz="4" w:space="0"/>
              <w:right w:val="single" w:color="auto" w:sz="4" w:space="0"/>
            </w:tcBorders>
            <w:noWrap w:val="0"/>
            <w:vAlign w:val="center"/>
          </w:tcPr>
          <w:p>
            <w:pPr>
              <w:spacing w:line="240" w:lineRule="auto"/>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彩票管理条例 第四十一条</w:t>
            </w:r>
            <w:r>
              <w:rPr>
                <w:rFonts w:hint="eastAsia" w:ascii="宋体" w:hAnsi="宋体" w:cs="宋体"/>
                <w:color w:val="auto"/>
                <w:sz w:val="21"/>
                <w:szCs w:val="21"/>
                <w:highlight w:val="none"/>
                <w:vertAlign w:val="baseline"/>
                <w:lang w:val="en-US" w:eastAsia="zh-CN"/>
              </w:rPr>
              <w:t xml:space="preserve"> 第五项</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彩票代销者有下列行为之一的，由民政部门、体育行政部门责令改正，处2000元以上1万元以下罚款；有违法所得的，没收违法所得：</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（五）以赊销或者信用方式销售彩票的。 </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从轻</w:t>
            </w:r>
          </w:p>
          <w:p>
            <w:pPr>
              <w:widowControl/>
              <w:spacing w:line="240" w:lineRule="auto"/>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rPr>
              <w:t>以下</w:t>
            </w:r>
            <w:r>
              <w:rPr>
                <w:rFonts w:hint="eastAsia" w:ascii="宋体" w:hAnsi="宋体" w:eastAsia="宋体" w:cs="宋体"/>
                <w:color w:val="auto"/>
                <w:kern w:val="0"/>
                <w:sz w:val="21"/>
                <w:szCs w:val="21"/>
                <w:highlight w:val="none"/>
                <w:lang w:val="en-US" w:eastAsia="zh-CN"/>
              </w:rPr>
              <w:t>，且未造成不良后果的。</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有违法所得的，</w:t>
            </w: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处2000元</w:t>
            </w:r>
            <w:r>
              <w:rPr>
                <w:rFonts w:hint="eastAsia" w:ascii="宋体" w:hAnsi="宋体" w:eastAsia="宋体" w:cs="宋体"/>
                <w:color w:val="auto"/>
                <w:kern w:val="0"/>
                <w:sz w:val="21"/>
                <w:szCs w:val="21"/>
                <w:highlight w:val="none"/>
                <w:lang w:val="en-US" w:eastAsia="zh-CN"/>
              </w:rPr>
              <w:t>至44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348" w:hRule="atLeast"/>
        </w:trPr>
        <w:tc>
          <w:tcPr>
            <w:tcW w:w="78" w:type="pct"/>
            <w:vMerge w:val="continue"/>
            <w:tcBorders>
              <w:left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left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不含）至5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rPr>
              <w:t>造成一定不良后果或负面影响的其他情形</w:t>
            </w:r>
            <w:r>
              <w:rPr>
                <w:rFonts w:hint="eastAsia" w:ascii="宋体" w:hAnsi="宋体" w:eastAsia="宋体" w:cs="宋体"/>
                <w:color w:val="auto"/>
                <w:kern w:val="0"/>
                <w:sz w:val="21"/>
                <w:szCs w:val="21"/>
                <w:highlight w:val="none"/>
              </w:rPr>
              <w:t>。</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44</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（不含）至76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（不含）的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r>
        <w:tblPrEx>
          <w:tblCellMar>
            <w:top w:w="15" w:type="dxa"/>
            <w:left w:w="15" w:type="dxa"/>
            <w:bottom w:w="15" w:type="dxa"/>
            <w:right w:w="15" w:type="dxa"/>
          </w:tblCellMar>
        </w:tblPrEx>
        <w:trPr>
          <w:trHeight w:val="1910" w:hRule="atLeast"/>
        </w:trPr>
        <w:tc>
          <w:tcPr>
            <w:tcW w:w="78"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5" w:type="pct"/>
            <w:vMerge w:val="continue"/>
            <w:tcBorders>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079" w:type="pct"/>
            <w:vMerge w:val="continue"/>
            <w:tcBorders>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1073" w:type="pct"/>
            <w:vMerge w:val="continue"/>
            <w:tcBorders>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1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①拒不改正的；</w:t>
            </w:r>
          </w:p>
          <w:p>
            <w:pPr>
              <w:widowControl/>
              <w:spacing w:line="240" w:lineRule="auto"/>
              <w:jc w:val="left"/>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②</w:t>
            </w:r>
            <w:r>
              <w:rPr>
                <w:rFonts w:hint="eastAsia" w:ascii="宋体" w:hAnsi="宋体" w:eastAsia="宋体" w:cs="宋体"/>
                <w:color w:val="auto"/>
                <w:kern w:val="0"/>
                <w:sz w:val="21"/>
                <w:szCs w:val="21"/>
                <w:highlight w:val="none"/>
              </w:rPr>
              <w:t>违法所得</w:t>
            </w:r>
            <w:r>
              <w:rPr>
                <w:rFonts w:hint="eastAsia" w:ascii="宋体" w:hAnsi="宋体" w:eastAsia="宋体" w:cs="宋体"/>
                <w:color w:val="auto"/>
                <w:kern w:val="0"/>
                <w:sz w:val="21"/>
                <w:szCs w:val="21"/>
                <w:highlight w:val="none"/>
                <w:lang w:val="en-US" w:eastAsia="zh-CN"/>
              </w:rPr>
              <w:t>超过5</w:t>
            </w:r>
            <w:r>
              <w:rPr>
                <w:rFonts w:hint="eastAsia" w:ascii="宋体" w:hAnsi="宋体" w:eastAsia="宋体" w:cs="宋体"/>
                <w:color w:val="auto"/>
                <w:kern w:val="0"/>
                <w:sz w:val="21"/>
                <w:szCs w:val="21"/>
                <w:highlight w:val="none"/>
              </w:rPr>
              <w:t>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③实施</w:t>
            </w:r>
            <w:r>
              <w:rPr>
                <w:rFonts w:hint="eastAsia" w:ascii="宋体" w:hAnsi="宋体" w:cs="宋体"/>
                <w:color w:val="auto"/>
                <w:sz w:val="21"/>
                <w:szCs w:val="21"/>
                <w:highlight w:val="none"/>
                <w:vertAlign w:val="baseline"/>
                <w:lang w:val="en-US" w:eastAsia="zh-CN"/>
              </w:rPr>
              <w:t>同一</w:t>
            </w:r>
            <w:r>
              <w:rPr>
                <w:rFonts w:hint="eastAsia" w:ascii="宋体" w:hAnsi="宋体" w:eastAsia="宋体" w:cs="宋体"/>
                <w:color w:val="auto"/>
                <w:sz w:val="21"/>
                <w:szCs w:val="21"/>
                <w:highlight w:val="none"/>
                <w:vertAlign w:val="baseline"/>
                <w:lang w:val="en-US" w:eastAsia="zh-CN"/>
              </w:rPr>
              <w:t>违法行为3次及以上的；</w:t>
            </w:r>
          </w:p>
          <w:p>
            <w:pPr>
              <w:widowControl/>
              <w:spacing w:line="240"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④造成严重后果或恶劣影响的其他情形。</w:t>
            </w:r>
          </w:p>
        </w:tc>
        <w:tc>
          <w:tcPr>
            <w:tcW w:w="85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没收违法所得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val="en-US" w:eastAsia="zh-CN"/>
              </w:rPr>
              <w:t>76</w:t>
            </w:r>
            <w:r>
              <w:rPr>
                <w:rFonts w:hint="eastAsia" w:ascii="宋体" w:hAnsi="宋体" w:eastAsia="宋体" w:cs="宋体"/>
                <w:color w:val="auto"/>
                <w:kern w:val="0"/>
                <w:sz w:val="21"/>
                <w:szCs w:val="21"/>
                <w:highlight w:val="none"/>
              </w:rPr>
              <w:t>00元</w:t>
            </w:r>
            <w:r>
              <w:rPr>
                <w:rFonts w:hint="eastAsia" w:ascii="宋体" w:hAnsi="宋体" w:eastAsia="宋体" w:cs="宋体"/>
                <w:color w:val="auto"/>
                <w:kern w:val="0"/>
                <w:sz w:val="21"/>
                <w:szCs w:val="21"/>
                <w:highlight w:val="none"/>
                <w:lang w:val="en-US" w:eastAsia="zh-CN"/>
              </w:rPr>
              <w:t>（含）至</w:t>
            </w:r>
            <w:r>
              <w:rPr>
                <w:rFonts w:hint="eastAsia" w:ascii="宋体" w:hAnsi="宋体" w:eastAsia="宋体" w:cs="宋体"/>
                <w:color w:val="auto"/>
                <w:kern w:val="0"/>
                <w:sz w:val="21"/>
                <w:szCs w:val="21"/>
                <w:highlight w:val="none"/>
              </w:rPr>
              <w:t>10000元</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罚款</w:t>
            </w:r>
            <w:r>
              <w:rPr>
                <w:rFonts w:hint="eastAsia" w:ascii="宋体" w:hAnsi="宋体" w:eastAsia="宋体" w:cs="宋体"/>
                <w:color w:val="auto"/>
                <w:kern w:val="0"/>
                <w:sz w:val="21"/>
                <w:szCs w:val="21"/>
                <w:highlight w:val="none"/>
                <w:lang w:eastAsia="zh-CN"/>
              </w:rPr>
              <w:t>。</w:t>
            </w:r>
          </w:p>
        </w:tc>
      </w:tr>
    </w:tbl>
    <w:p/>
    <w:p>
      <w:pPr>
        <w:spacing w:line="240" w:lineRule="auto"/>
        <w:rPr>
          <w:rFonts w:hint="eastAsia" w:ascii="宋体" w:hAnsi="宋体" w:eastAsia="宋体" w:cs="宋体"/>
          <w:color w:val="auto"/>
          <w:sz w:val="21"/>
          <w:szCs w:val="21"/>
          <w:highlight w:val="none"/>
          <w:lang w:eastAsia="zh-CN"/>
        </w:rPr>
      </w:pPr>
    </w:p>
    <w:p>
      <w:pPr>
        <w:numPr>
          <w:ilvl w:val="0"/>
          <w:numId w:val="0"/>
        </w:numPr>
        <w:spacing w:line="240" w:lineRule="auto"/>
        <w:rPr>
          <w:rFonts w:hint="eastAsia" w:ascii="黑体" w:hAnsi="黑体" w:eastAsia="黑体" w:cs="黑体"/>
          <w:b w:val="0"/>
          <w:bCs w:val="0"/>
          <w:color w:val="auto"/>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七、其他（1项）</w:t>
      </w:r>
    </w:p>
    <w:p>
      <w:pPr>
        <w:numPr>
          <w:ilvl w:val="0"/>
          <w:numId w:val="0"/>
        </w:numPr>
        <w:spacing w:line="240" w:lineRule="auto"/>
        <w:rPr>
          <w:rFonts w:hint="eastAsia" w:ascii="宋体" w:hAnsi="宋体" w:eastAsia="宋体" w:cs="宋体"/>
          <w:b/>
          <w:bCs/>
          <w:color w:val="auto"/>
          <w:sz w:val="21"/>
          <w:szCs w:val="21"/>
          <w:highlight w:val="none"/>
          <w:lang w:val="en-US" w:eastAsia="zh-CN"/>
        </w:rPr>
      </w:pPr>
    </w:p>
    <w:tbl>
      <w:tblPr>
        <w:tblStyle w:val="4"/>
        <w:tblpPr w:leftFromText="180" w:rightFromText="180" w:vertAnchor="text" w:horzAnchor="page" w:tblpX="696" w:tblpY="1"/>
        <w:tblOverlap w:val="never"/>
        <w:tblW w:w="4999" w:type="pct"/>
        <w:tblInd w:w="0" w:type="dxa"/>
        <w:tblLayout w:type="autofit"/>
        <w:tblCellMar>
          <w:top w:w="15" w:type="dxa"/>
          <w:left w:w="15" w:type="dxa"/>
          <w:bottom w:w="15" w:type="dxa"/>
          <w:right w:w="15" w:type="dxa"/>
        </w:tblCellMar>
      </w:tblPr>
      <w:tblGrid>
        <w:gridCol w:w="250"/>
        <w:gridCol w:w="858"/>
        <w:gridCol w:w="5481"/>
        <w:gridCol w:w="2586"/>
        <w:gridCol w:w="586"/>
        <w:gridCol w:w="537"/>
        <w:gridCol w:w="2275"/>
        <w:gridCol w:w="2852"/>
      </w:tblGrid>
      <w:tr>
        <w:tblPrEx>
          <w:tblCellMar>
            <w:top w:w="15" w:type="dxa"/>
            <w:left w:w="15" w:type="dxa"/>
            <w:bottom w:w="15" w:type="dxa"/>
            <w:right w:w="15" w:type="dxa"/>
          </w:tblCellMar>
        </w:tblPrEx>
        <w:trPr>
          <w:trHeight w:val="1212" w:hRule="atLeast"/>
        </w:trPr>
        <w:tc>
          <w:tcPr>
            <w:tcW w:w="8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w:t>
            </w:r>
          </w:p>
        </w:tc>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color w:val="auto"/>
                <w:sz w:val="21"/>
                <w:szCs w:val="21"/>
                <w:highlight w:val="none"/>
                <w:vertAlign w:val="baseline"/>
              </w:rPr>
              <w:t>从事航空体育运动的单位</w:t>
            </w:r>
            <w:r>
              <w:rPr>
                <w:rFonts w:hint="eastAsia" w:ascii="宋体" w:hAnsi="宋体" w:eastAsia="宋体" w:cs="宋体"/>
                <w:color w:val="auto"/>
                <w:sz w:val="21"/>
                <w:szCs w:val="21"/>
                <w:highlight w:val="none"/>
                <w:vertAlign w:val="baseline"/>
                <w:lang w:val="en-US" w:eastAsia="zh-CN"/>
              </w:rPr>
              <w:t>不规范经营的行政处罚</w:t>
            </w:r>
          </w:p>
        </w:tc>
        <w:tc>
          <w:tcPr>
            <w:tcW w:w="17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航空体育运动管理办法 第十条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事航空体育运动的单位和有关人员应当按照《中华人民共和国民用航空法》通用航空相关规定向民用航空主管部门申请从业许可或备案。从事航空体育运动的单位同时应当将有关资料及批准文件（复印件）报当地县级体育行政部门备案，并逐级向省级体育行政部门备案。备案内容包括法人资质（营业执照、民办非企业单位登记证书）、民用航空器或航空体育运动器材资质、从业人员资质、场地设施情况、开展项目内容、空域批准文件（不需使用空域的除外）等；备案内容发生变更的，应当及时向备案部门报备。</w:t>
            </w:r>
          </w:p>
          <w:p>
            <w:pPr>
              <w:spacing w:line="240" w:lineRule="auto"/>
              <w:jc w:val="both"/>
              <w:rPr>
                <w:rFonts w:hint="eastAsia" w:ascii="宋体" w:hAnsi="宋体" w:eastAsia="宋体" w:cs="宋体"/>
                <w:color w:val="auto"/>
                <w:sz w:val="21"/>
                <w:szCs w:val="21"/>
                <w:highlight w:val="none"/>
                <w:vertAlign w:val="baseline"/>
                <w:lang w:val="en-US" w:eastAsia="zh-CN"/>
              </w:rPr>
            </w:pP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航空体育运动管理办法 第十一条 </w:t>
            </w:r>
          </w:p>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从事航空体育运动的单位应当严格遵守国家法律法规，执行民用航空主管部门、体育行政部门有关技术和安全标准，采取有效措施，避免破坏自然环境或对公众造成伤害。</w:t>
            </w:r>
          </w:p>
        </w:tc>
        <w:tc>
          <w:tcPr>
            <w:tcW w:w="83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航空体育运动管理办法</w:t>
            </w:r>
          </w:p>
          <w:p>
            <w:pPr>
              <w:spacing w:line="240" w:lineRule="auto"/>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 xml:space="preserve">第二十八条 </w:t>
            </w:r>
          </w:p>
          <w:p>
            <w:pPr>
              <w:spacing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从事航空体育运动的单位违反本办法第十条、第十一条规定的，由所在地体育行政部门责令改正。拒不改正的，根据情节轻重，给予警告、通报批评或十万元以下罚款等处罚。</w:t>
            </w:r>
          </w:p>
        </w:tc>
        <w:tc>
          <w:tcPr>
            <w:tcW w:w="36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未造成危害后果的</w:t>
            </w:r>
          </w:p>
        </w:tc>
        <w:tc>
          <w:tcPr>
            <w:tcW w:w="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CN"/>
              </w:rPr>
              <w:t>躲避或消极应对行政执法人员依法执行职务。</w:t>
            </w:r>
          </w:p>
        </w:tc>
        <w:tc>
          <w:tcPr>
            <w:tcW w:w="924"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警告</w:t>
            </w:r>
            <w:r>
              <w:rPr>
                <w:rFonts w:hint="eastAsia" w:ascii="宋体" w:hAnsi="宋体" w:cs="宋体"/>
                <w:color w:val="auto"/>
                <w:sz w:val="21"/>
                <w:szCs w:val="21"/>
                <w:highlight w:val="none"/>
                <w:vertAlign w:val="baseline"/>
                <w:lang w:val="en-US" w:eastAsia="zh-CN"/>
              </w:rPr>
              <w:t>或</w:t>
            </w:r>
            <w:r>
              <w:rPr>
                <w:rFonts w:hint="eastAsia" w:ascii="宋体" w:hAnsi="宋体" w:eastAsia="宋体" w:cs="宋体"/>
                <w:color w:val="auto"/>
                <w:sz w:val="21"/>
                <w:szCs w:val="21"/>
                <w:highlight w:val="none"/>
                <w:vertAlign w:val="baseline"/>
                <w:lang w:val="en-US" w:eastAsia="zh-CN"/>
              </w:rPr>
              <w:t>通报批评。</w:t>
            </w:r>
          </w:p>
        </w:tc>
      </w:tr>
      <w:tr>
        <w:tblPrEx>
          <w:tblCellMar>
            <w:top w:w="15" w:type="dxa"/>
            <w:left w:w="15" w:type="dxa"/>
            <w:bottom w:w="15" w:type="dxa"/>
            <w:right w:w="15" w:type="dxa"/>
          </w:tblCellMar>
        </w:tblPrEx>
        <w:trPr>
          <w:trHeight w:val="1612" w:hRule="atLeast"/>
        </w:trPr>
        <w:tc>
          <w:tcPr>
            <w:tcW w:w="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77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83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rPr>
            </w:pPr>
          </w:p>
        </w:tc>
        <w:tc>
          <w:tcPr>
            <w:tcW w:w="19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造成危害后果的</w:t>
            </w:r>
          </w:p>
        </w:tc>
        <w:tc>
          <w:tcPr>
            <w:tcW w:w="17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一般</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阻碍或者拒不配合行政执法人员依法执行职务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造成一定不良结果与负面影响的。</w:t>
            </w:r>
          </w:p>
        </w:tc>
        <w:tc>
          <w:tcPr>
            <w:tcW w:w="924"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处七万元（不含）以下的罚款。</w:t>
            </w:r>
          </w:p>
        </w:tc>
      </w:tr>
      <w:tr>
        <w:tblPrEx>
          <w:tblCellMar>
            <w:top w:w="15" w:type="dxa"/>
            <w:left w:w="15" w:type="dxa"/>
            <w:bottom w:w="15" w:type="dxa"/>
            <w:right w:w="15" w:type="dxa"/>
          </w:tblCellMar>
        </w:tblPrEx>
        <w:trPr>
          <w:trHeight w:val="1640" w:hRule="atLeast"/>
        </w:trPr>
        <w:tc>
          <w:tcPr>
            <w:tcW w:w="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p>
        </w:tc>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b w:val="0"/>
                <w:bCs w:val="0"/>
                <w:color w:val="auto"/>
                <w:kern w:val="0"/>
                <w:sz w:val="21"/>
                <w:szCs w:val="21"/>
                <w:highlight w:val="none"/>
              </w:rPr>
            </w:pPr>
          </w:p>
        </w:tc>
        <w:tc>
          <w:tcPr>
            <w:tcW w:w="177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10" w:firstLineChars="100"/>
              <w:jc w:val="both"/>
              <w:rPr>
                <w:rFonts w:hint="eastAsia" w:ascii="宋体" w:hAnsi="宋体" w:eastAsia="宋体" w:cs="宋体"/>
                <w:color w:val="auto"/>
                <w:sz w:val="21"/>
                <w:szCs w:val="21"/>
                <w:highlight w:val="none"/>
                <w:vertAlign w:val="baseline"/>
                <w:lang w:val="en-US" w:eastAsia="zh-CN"/>
              </w:rPr>
            </w:pPr>
          </w:p>
        </w:tc>
        <w:tc>
          <w:tcPr>
            <w:tcW w:w="83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1"/>
                <w:szCs w:val="21"/>
                <w:highlight w:val="none"/>
                <w:vertAlign w:val="baseli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p>
        </w:tc>
        <w:tc>
          <w:tcPr>
            <w:tcW w:w="17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从重</w:t>
            </w:r>
          </w:p>
          <w:p>
            <w:pPr>
              <w:widowControl/>
              <w:spacing w:line="240" w:lineRule="auto"/>
              <w:jc w:val="center"/>
              <w:textAlignment w:val="top"/>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处罚</w:t>
            </w:r>
          </w:p>
        </w:tc>
        <w:tc>
          <w:tcPr>
            <w:tcW w:w="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具有以下情形之一的：</w:t>
            </w:r>
          </w:p>
          <w:p>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sz w:val="21"/>
                <w:szCs w:val="21"/>
                <w:highlight w:val="none"/>
                <w:lang w:val="en-US" w:eastAsia="zh-CN"/>
              </w:rPr>
              <w:t>拒不配合，且</w:t>
            </w:r>
            <w:r>
              <w:rPr>
                <w:rFonts w:hint="eastAsia" w:ascii="宋体" w:hAnsi="宋体" w:eastAsia="宋体" w:cs="宋体"/>
                <w:color w:val="auto"/>
                <w:sz w:val="21"/>
                <w:szCs w:val="21"/>
                <w:highlight w:val="none"/>
              </w:rPr>
              <w:t>用</w:t>
            </w:r>
            <w:r>
              <w:rPr>
                <w:rFonts w:hint="eastAsia" w:ascii="宋体" w:hAnsi="宋体" w:eastAsia="宋体" w:cs="宋体"/>
                <w:color w:val="auto"/>
                <w:sz w:val="21"/>
                <w:szCs w:val="21"/>
                <w:highlight w:val="none"/>
                <w:lang w:val="en-US" w:eastAsia="zh-CN"/>
              </w:rPr>
              <w:t>言语攻击、肢体冲突等</w:t>
            </w:r>
            <w:r>
              <w:rPr>
                <w:rFonts w:hint="eastAsia" w:ascii="宋体" w:hAnsi="宋体" w:eastAsia="宋体" w:cs="宋体"/>
                <w:color w:val="auto"/>
                <w:sz w:val="21"/>
                <w:szCs w:val="21"/>
                <w:highlight w:val="none"/>
              </w:rPr>
              <w:t>暴力手段阻挠执法人员</w:t>
            </w:r>
            <w:r>
              <w:rPr>
                <w:rFonts w:hint="eastAsia" w:ascii="宋体" w:hAnsi="宋体" w:eastAsia="宋体" w:cs="宋体"/>
                <w:color w:val="auto"/>
                <w:kern w:val="0"/>
                <w:sz w:val="21"/>
                <w:szCs w:val="21"/>
                <w:highlight w:val="none"/>
              </w:rPr>
              <w:t>依法执行职务的</w:t>
            </w:r>
            <w:r>
              <w:rPr>
                <w:rFonts w:hint="eastAsia" w:ascii="宋体" w:hAnsi="宋体" w:eastAsia="宋体" w:cs="宋体"/>
                <w:color w:val="auto"/>
                <w:kern w:val="0"/>
                <w:sz w:val="21"/>
                <w:szCs w:val="21"/>
                <w:highlight w:val="none"/>
                <w:lang w:eastAsia="zh-CN"/>
              </w:rPr>
              <w:t>；</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②严重破坏自然环境的；</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w:t>
            </w:r>
            <w:r>
              <w:rPr>
                <w:rFonts w:hint="eastAsia" w:ascii="宋体" w:hAnsi="宋体" w:eastAsia="宋体" w:cs="宋体"/>
                <w:color w:val="auto"/>
                <w:kern w:val="2"/>
                <w:sz w:val="21"/>
                <w:szCs w:val="21"/>
                <w:highlight w:val="none"/>
                <w:lang w:val="en-US" w:eastAsia="zh-CN" w:bidi="ar-SA"/>
              </w:rPr>
              <w:t>造成人身财产损害的</w:t>
            </w:r>
            <w:r>
              <w:rPr>
                <w:rFonts w:hint="eastAsia" w:ascii="宋体" w:hAnsi="宋体" w:eastAsia="宋体" w:cs="宋体"/>
                <w:color w:val="auto"/>
                <w:kern w:val="0"/>
                <w:sz w:val="21"/>
                <w:szCs w:val="21"/>
                <w:highlight w:val="none"/>
                <w:lang w:val="en-US" w:eastAsia="zh-CN"/>
              </w:rPr>
              <w:t>；</w:t>
            </w:r>
          </w:p>
          <w:p>
            <w:pPr>
              <w:widowControl/>
              <w:spacing w:line="240" w:lineRule="auto"/>
              <w:jc w:val="both"/>
              <w:textAlignment w:val="top"/>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④造成严重后果与恶劣影响的其他情形。</w:t>
            </w:r>
          </w:p>
        </w:tc>
        <w:tc>
          <w:tcPr>
            <w:tcW w:w="924"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textAlignment w:val="top"/>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处七万元（含）至十万的罚款。</w:t>
            </w:r>
          </w:p>
        </w:tc>
      </w:tr>
    </w:tbl>
    <w:p>
      <w:pPr>
        <w:spacing w:line="240" w:lineRule="auto"/>
        <w:rPr>
          <w:rFonts w:hint="eastAsia" w:ascii="宋体" w:hAnsi="宋体" w:eastAsia="宋体" w:cs="宋体"/>
          <w:color w:val="auto"/>
          <w:sz w:val="21"/>
          <w:szCs w:val="21"/>
          <w:highlight w:val="none"/>
          <w:lang w:eastAsia="zh-CN"/>
        </w:rPr>
      </w:pPr>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新宋体">
    <w:panose1 w:val="02010609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DhmZWI2NzIyNWUwZjAwMDRkNjQ5NjVlNThhZmYifQ=="/>
  </w:docVars>
  <w:rsids>
    <w:rsidRoot w:val="FFA4C514"/>
    <w:rsid w:val="0F71277B"/>
    <w:rsid w:val="1BDAADB5"/>
    <w:rsid w:val="1DBB347D"/>
    <w:rsid w:val="24FFD53B"/>
    <w:rsid w:val="269E6A4A"/>
    <w:rsid w:val="27BF1DB4"/>
    <w:rsid w:val="2EFE2BCB"/>
    <w:rsid w:val="2FE5674D"/>
    <w:rsid w:val="31DDE874"/>
    <w:rsid w:val="31FC815D"/>
    <w:rsid w:val="33F347AA"/>
    <w:rsid w:val="33FCEB2E"/>
    <w:rsid w:val="35FB0D29"/>
    <w:rsid w:val="36FFB787"/>
    <w:rsid w:val="37650522"/>
    <w:rsid w:val="37F501C0"/>
    <w:rsid w:val="39A9A772"/>
    <w:rsid w:val="3AFEB6F7"/>
    <w:rsid w:val="3B6FE51E"/>
    <w:rsid w:val="3B7A20FA"/>
    <w:rsid w:val="3C778DB0"/>
    <w:rsid w:val="3E7E408A"/>
    <w:rsid w:val="3EFE82A1"/>
    <w:rsid w:val="3F7EB2EA"/>
    <w:rsid w:val="3FA6E3E2"/>
    <w:rsid w:val="3FEE0140"/>
    <w:rsid w:val="43FBE089"/>
    <w:rsid w:val="4EFFB8CF"/>
    <w:rsid w:val="4FBBCBF9"/>
    <w:rsid w:val="4FE7A711"/>
    <w:rsid w:val="52F70F6B"/>
    <w:rsid w:val="52FF0B41"/>
    <w:rsid w:val="57DF3D66"/>
    <w:rsid w:val="57FFC090"/>
    <w:rsid w:val="5A9FFC0A"/>
    <w:rsid w:val="5BEAE5F5"/>
    <w:rsid w:val="5C593E48"/>
    <w:rsid w:val="5DF68B01"/>
    <w:rsid w:val="5EF7EB41"/>
    <w:rsid w:val="5FD5EFAD"/>
    <w:rsid w:val="5FD72287"/>
    <w:rsid w:val="5FF710BA"/>
    <w:rsid w:val="60EAD572"/>
    <w:rsid w:val="63FB585C"/>
    <w:rsid w:val="67EF439A"/>
    <w:rsid w:val="67FA8825"/>
    <w:rsid w:val="6B25790D"/>
    <w:rsid w:val="6BFE2906"/>
    <w:rsid w:val="6DFCAC89"/>
    <w:rsid w:val="6E7EDE0E"/>
    <w:rsid w:val="6FEF00A1"/>
    <w:rsid w:val="6FFEC5C9"/>
    <w:rsid w:val="6FFF668B"/>
    <w:rsid w:val="6FFF6D4A"/>
    <w:rsid w:val="71FC8E9E"/>
    <w:rsid w:val="72FB8D9C"/>
    <w:rsid w:val="73E9B338"/>
    <w:rsid w:val="74D79B6D"/>
    <w:rsid w:val="7574839F"/>
    <w:rsid w:val="757FE33E"/>
    <w:rsid w:val="773D61BB"/>
    <w:rsid w:val="77B71731"/>
    <w:rsid w:val="77DFA4B1"/>
    <w:rsid w:val="77EF1EB9"/>
    <w:rsid w:val="77FF7C8A"/>
    <w:rsid w:val="7995AC2E"/>
    <w:rsid w:val="7A874A8C"/>
    <w:rsid w:val="7B35C261"/>
    <w:rsid w:val="7B7FBA1A"/>
    <w:rsid w:val="7BFF9352"/>
    <w:rsid w:val="7CBECE79"/>
    <w:rsid w:val="7CFE1374"/>
    <w:rsid w:val="7D73EC56"/>
    <w:rsid w:val="7DAFA211"/>
    <w:rsid w:val="7DE25C55"/>
    <w:rsid w:val="7DEF970A"/>
    <w:rsid w:val="7DF7DA3A"/>
    <w:rsid w:val="7DFBAC89"/>
    <w:rsid w:val="7EBFE017"/>
    <w:rsid w:val="7EDF95F9"/>
    <w:rsid w:val="7F3717C3"/>
    <w:rsid w:val="7F3FD13E"/>
    <w:rsid w:val="7F5F7948"/>
    <w:rsid w:val="7F7FB05C"/>
    <w:rsid w:val="7FAFFF5A"/>
    <w:rsid w:val="7FC2984E"/>
    <w:rsid w:val="7FD4E49A"/>
    <w:rsid w:val="7FEB8C87"/>
    <w:rsid w:val="7FEFBAD6"/>
    <w:rsid w:val="7FFB8B6F"/>
    <w:rsid w:val="7FFF80D4"/>
    <w:rsid w:val="7FFFEEC7"/>
    <w:rsid w:val="86FE242B"/>
    <w:rsid w:val="8DD6452D"/>
    <w:rsid w:val="9379C726"/>
    <w:rsid w:val="97FFB068"/>
    <w:rsid w:val="9DFFC082"/>
    <w:rsid w:val="AF7EA8D2"/>
    <w:rsid w:val="AFEB0A33"/>
    <w:rsid w:val="AFEB2596"/>
    <w:rsid w:val="AFF4AF73"/>
    <w:rsid w:val="B27F062A"/>
    <w:rsid w:val="B59F8BF5"/>
    <w:rsid w:val="B6EF8ED2"/>
    <w:rsid w:val="B7BFE71F"/>
    <w:rsid w:val="B8B6AAF8"/>
    <w:rsid w:val="BBBE6DC1"/>
    <w:rsid w:val="BD5F8725"/>
    <w:rsid w:val="BE9C657F"/>
    <w:rsid w:val="BEBD86EB"/>
    <w:rsid w:val="BF7ABA0C"/>
    <w:rsid w:val="BF7F4EB2"/>
    <w:rsid w:val="BFF7A66E"/>
    <w:rsid w:val="BFFB01FD"/>
    <w:rsid w:val="BFFD637D"/>
    <w:rsid w:val="BFFFAA70"/>
    <w:rsid w:val="C57F5FDC"/>
    <w:rsid w:val="C5BB955D"/>
    <w:rsid w:val="CD174A63"/>
    <w:rsid w:val="CDD9F9EF"/>
    <w:rsid w:val="CDFF0D69"/>
    <w:rsid w:val="CF25ECCE"/>
    <w:rsid w:val="CF7E69EB"/>
    <w:rsid w:val="CFB9ED56"/>
    <w:rsid w:val="D68D20D2"/>
    <w:rsid w:val="D6F4C6A2"/>
    <w:rsid w:val="DA4F939F"/>
    <w:rsid w:val="DBEA8F50"/>
    <w:rsid w:val="DBF7017D"/>
    <w:rsid w:val="DDFF2B8A"/>
    <w:rsid w:val="DEF5B282"/>
    <w:rsid w:val="DFCFE412"/>
    <w:rsid w:val="DFDDAE6D"/>
    <w:rsid w:val="DFDEDC42"/>
    <w:rsid w:val="DFEE29F2"/>
    <w:rsid w:val="DFF99345"/>
    <w:rsid w:val="DFFF47FB"/>
    <w:rsid w:val="E3F6B560"/>
    <w:rsid w:val="E4AD2D34"/>
    <w:rsid w:val="E69E83C0"/>
    <w:rsid w:val="E6DE4E5D"/>
    <w:rsid w:val="E77B7D05"/>
    <w:rsid w:val="E79E16C8"/>
    <w:rsid w:val="EAE3F260"/>
    <w:rsid w:val="EB77AEF5"/>
    <w:rsid w:val="EC4FF16E"/>
    <w:rsid w:val="ED394725"/>
    <w:rsid w:val="EDF4A28F"/>
    <w:rsid w:val="F01D7882"/>
    <w:rsid w:val="F3DF2DB0"/>
    <w:rsid w:val="F5BCC3B2"/>
    <w:rsid w:val="F5FF79A3"/>
    <w:rsid w:val="F6BF478E"/>
    <w:rsid w:val="F6E3E3C6"/>
    <w:rsid w:val="F75E1CFA"/>
    <w:rsid w:val="F7736191"/>
    <w:rsid w:val="F777CE6F"/>
    <w:rsid w:val="F7C57205"/>
    <w:rsid w:val="F7D909FC"/>
    <w:rsid w:val="F7DD61EC"/>
    <w:rsid w:val="F7F70E72"/>
    <w:rsid w:val="F91D9240"/>
    <w:rsid w:val="F9FD0E0B"/>
    <w:rsid w:val="FADC865E"/>
    <w:rsid w:val="FB1F1281"/>
    <w:rsid w:val="FB3CAEE3"/>
    <w:rsid w:val="FBDB1048"/>
    <w:rsid w:val="FCD62718"/>
    <w:rsid w:val="FD1ED3A4"/>
    <w:rsid w:val="FDDDAC54"/>
    <w:rsid w:val="FDDFE883"/>
    <w:rsid w:val="FDF8BF66"/>
    <w:rsid w:val="FDFDD3B0"/>
    <w:rsid w:val="FE7BD564"/>
    <w:rsid w:val="FE7F8E84"/>
    <w:rsid w:val="FEB598A9"/>
    <w:rsid w:val="FEF0A40B"/>
    <w:rsid w:val="FEF746E7"/>
    <w:rsid w:val="FF578EC7"/>
    <w:rsid w:val="FF7F179B"/>
    <w:rsid w:val="FF7FA478"/>
    <w:rsid w:val="FFA4C514"/>
    <w:rsid w:val="FFBF0805"/>
    <w:rsid w:val="FFCF7A15"/>
    <w:rsid w:val="FFE9B684"/>
    <w:rsid w:val="FFF6443C"/>
    <w:rsid w:val="FFF785E2"/>
    <w:rsid w:val="FFF99BDC"/>
    <w:rsid w:val="FFFB1BEB"/>
    <w:rsid w:val="FFFF2718"/>
    <w:rsid w:val="FFFF5380"/>
    <w:rsid w:val="FFFF8376"/>
    <w:rsid w:val="FFFF8D19"/>
    <w:rsid w:val="FFFFB789"/>
    <w:rsid w:val="FFFFE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235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2024-08-23T14:13:00Z</dcterms:created>
  <dc:creator>冯侃侃</dc:creator>
  <cp:lastModifiedBy>user</cp:lastModifiedBy>
  <dcterms:modified xsi:type="dcterms:W3CDTF">2024-11-27T14:35:41Z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8FBDBFCF107BCF5593644567B308EB90_43</vt:lpwstr>
  </property>
</Properties>
</file>