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08423">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bCs w:val="0"/>
          <w:i w:val="0"/>
          <w:iCs w:val="0"/>
          <w:caps w:val="0"/>
          <w:color w:val="030303"/>
          <w:spacing w:val="0"/>
          <w:sz w:val="44"/>
          <w:szCs w:val="44"/>
          <w:shd w:val="clear" w:fill="FFFFFF"/>
          <w:lang w:val="en-US" w:eastAsia="zh-CN"/>
        </w:rPr>
      </w:pPr>
      <w:r>
        <w:rPr>
          <w:rFonts w:hint="eastAsia" w:ascii="方正小标宋_GBK" w:hAnsi="方正小标宋_GBK" w:eastAsia="方正小标宋_GBK" w:cs="方正小标宋_GBK"/>
          <w:b w:val="0"/>
          <w:bCs w:val="0"/>
          <w:i w:val="0"/>
          <w:iCs w:val="0"/>
          <w:caps w:val="0"/>
          <w:color w:val="030303"/>
          <w:spacing w:val="0"/>
          <w:sz w:val="44"/>
          <w:szCs w:val="44"/>
          <w:shd w:val="clear" w:fill="FFFFFF"/>
          <w:lang w:val="en-US" w:eastAsia="zh-CN"/>
        </w:rPr>
        <w:t>关于</w:t>
      </w:r>
      <w:r>
        <w:rPr>
          <w:rFonts w:hint="eastAsia" w:ascii="方正小标宋_GBK" w:hAnsi="方正小标宋_GBK" w:eastAsia="方正小标宋_GBK" w:cs="方正小标宋_GBK"/>
          <w:b w:val="0"/>
          <w:bCs w:val="0"/>
          <w:i w:val="0"/>
          <w:iCs w:val="0"/>
          <w:caps w:val="0"/>
          <w:color w:val="030303"/>
          <w:spacing w:val="0"/>
          <w:sz w:val="44"/>
          <w:szCs w:val="44"/>
          <w:shd w:val="clear" w:fill="FFFFFF"/>
        </w:rPr>
        <w:t>规范</w:t>
      </w:r>
      <w:r>
        <w:rPr>
          <w:rFonts w:hint="eastAsia" w:ascii="方正小标宋_GBK" w:hAnsi="方正小标宋_GBK" w:eastAsia="方正小标宋_GBK" w:cs="方正小标宋_GBK"/>
          <w:b w:val="0"/>
          <w:bCs w:val="0"/>
          <w:i w:val="0"/>
          <w:iCs w:val="0"/>
          <w:caps w:val="0"/>
          <w:color w:val="030303"/>
          <w:spacing w:val="0"/>
          <w:sz w:val="44"/>
          <w:szCs w:val="44"/>
          <w:shd w:val="clear" w:fill="FFFFFF"/>
          <w:lang w:val="en-US" w:eastAsia="zh-CN"/>
        </w:rPr>
        <w:t>杭州市</w:t>
      </w:r>
      <w:r>
        <w:rPr>
          <w:rFonts w:hint="eastAsia" w:ascii="方正小标宋_GBK" w:hAnsi="方正小标宋_GBK" w:eastAsia="方正小标宋_GBK" w:cs="方正小标宋_GBK"/>
          <w:b w:val="0"/>
          <w:bCs w:val="0"/>
          <w:i w:val="0"/>
          <w:iCs w:val="0"/>
          <w:caps w:val="0"/>
          <w:color w:val="030303"/>
          <w:spacing w:val="0"/>
          <w:sz w:val="44"/>
          <w:szCs w:val="44"/>
          <w:shd w:val="clear" w:fill="FFFFFF"/>
          <w:lang w:eastAsia="zh-CN"/>
        </w:rPr>
        <w:t>钱塘区</w:t>
      </w:r>
      <w:r>
        <w:rPr>
          <w:rFonts w:hint="eastAsia" w:ascii="方正小标宋_GBK" w:hAnsi="方正小标宋_GBK" w:eastAsia="方正小标宋_GBK" w:cs="方正小标宋_GBK"/>
          <w:b w:val="0"/>
          <w:bCs w:val="0"/>
          <w:i w:val="0"/>
          <w:iCs w:val="0"/>
          <w:caps w:val="0"/>
          <w:color w:val="030303"/>
          <w:spacing w:val="0"/>
          <w:sz w:val="44"/>
          <w:szCs w:val="44"/>
          <w:shd w:val="clear" w:fill="FFFFFF"/>
        </w:rPr>
        <w:t>经济适用住房上市交易</w:t>
      </w:r>
      <w:r>
        <w:rPr>
          <w:rFonts w:hint="eastAsia" w:ascii="方正小标宋_GBK" w:hAnsi="方正小标宋_GBK" w:eastAsia="方正小标宋_GBK" w:cs="方正小标宋_GBK"/>
          <w:b w:val="0"/>
          <w:bCs w:val="0"/>
          <w:i w:val="0"/>
          <w:iCs w:val="0"/>
          <w:caps w:val="0"/>
          <w:color w:val="030303"/>
          <w:spacing w:val="0"/>
          <w:sz w:val="44"/>
          <w:szCs w:val="44"/>
          <w:shd w:val="clear" w:fill="FFFFFF"/>
          <w:lang w:eastAsia="zh-CN"/>
        </w:rPr>
        <w:t>和回购管理的</w:t>
      </w:r>
      <w:r>
        <w:rPr>
          <w:rFonts w:hint="eastAsia" w:ascii="方正小标宋_GBK" w:hAnsi="方正小标宋_GBK" w:eastAsia="方正小标宋_GBK" w:cs="方正小标宋_GBK"/>
          <w:b w:val="0"/>
          <w:bCs w:val="0"/>
          <w:i w:val="0"/>
          <w:iCs w:val="0"/>
          <w:caps w:val="0"/>
          <w:color w:val="030303"/>
          <w:spacing w:val="0"/>
          <w:sz w:val="44"/>
          <w:szCs w:val="44"/>
          <w:shd w:val="clear" w:fill="FFFFFF"/>
          <w:lang w:val="en-US" w:eastAsia="zh-CN"/>
        </w:rPr>
        <w:t>实施意见</w:t>
      </w:r>
    </w:p>
    <w:p w14:paraId="52EDB5CF">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bCs w:val="0"/>
          <w:i w:val="0"/>
          <w:iCs w:val="0"/>
          <w:caps w:val="0"/>
          <w:color w:val="030303"/>
          <w:spacing w:val="0"/>
          <w:sz w:val="44"/>
          <w:szCs w:val="44"/>
          <w:shd w:val="clear" w:fill="FFFFFF"/>
          <w:lang w:val="en-US" w:eastAsia="zh-CN"/>
        </w:rPr>
      </w:pPr>
      <w:r>
        <w:rPr>
          <w:rFonts w:hint="eastAsia" w:ascii="方正小标宋_GBK" w:hAnsi="方正小标宋_GBK" w:eastAsia="方正小标宋_GBK" w:cs="方正小标宋_GBK"/>
          <w:b w:val="0"/>
          <w:bCs w:val="0"/>
          <w:i w:val="0"/>
          <w:iCs w:val="0"/>
          <w:caps w:val="0"/>
          <w:color w:val="030303"/>
          <w:spacing w:val="0"/>
          <w:sz w:val="44"/>
          <w:szCs w:val="44"/>
          <w:shd w:val="clear" w:fill="FFFFFF"/>
          <w:lang w:val="en-US" w:eastAsia="zh-CN"/>
        </w:rPr>
        <w:t>（征求意见稿）</w:t>
      </w:r>
    </w:p>
    <w:p w14:paraId="6C3EFFC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30303"/>
          <w:spacing w:val="0"/>
          <w:sz w:val="32"/>
          <w:szCs w:val="32"/>
          <w:shd w:val="clear" w:fill="FFFFFF"/>
        </w:rPr>
      </w:pPr>
    </w:p>
    <w:p w14:paraId="2B8BCC4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30303"/>
          <w:spacing w:val="0"/>
          <w:sz w:val="32"/>
          <w:szCs w:val="32"/>
        </w:rPr>
      </w:pPr>
      <w:r>
        <w:rPr>
          <w:rFonts w:hint="eastAsia" w:ascii="仿宋_GB2312" w:hAnsi="仿宋_GB2312" w:eastAsia="仿宋_GB2312" w:cs="仿宋_GB2312"/>
          <w:i w:val="0"/>
          <w:iCs w:val="0"/>
          <w:caps w:val="0"/>
          <w:color w:val="030303"/>
          <w:spacing w:val="0"/>
          <w:sz w:val="32"/>
          <w:szCs w:val="32"/>
          <w:shd w:val="clear" w:fill="FFFFFF"/>
        </w:rPr>
        <w:t>为进一步加强我区经济适用住房管理，完善经济适用住房制度，规范经济适用住房上市交易，根据</w:t>
      </w:r>
      <w:r>
        <w:rPr>
          <w:rFonts w:hint="eastAsia" w:ascii="仿宋_GB2312" w:hAnsi="仿宋_GB2312" w:eastAsia="仿宋_GB2312" w:cs="仿宋_GB2312"/>
          <w:i w:val="0"/>
          <w:iCs w:val="0"/>
          <w:caps w:val="0"/>
          <w:color w:val="030303"/>
          <w:spacing w:val="0"/>
          <w:sz w:val="32"/>
          <w:szCs w:val="32"/>
          <w:shd w:val="clear" w:fill="FFFFFF"/>
          <w:lang w:eastAsia="zh-CN"/>
        </w:rPr>
        <w:t>《</w:t>
      </w:r>
      <w:r>
        <w:rPr>
          <w:rFonts w:hint="eastAsia" w:ascii="仿宋_GB2312" w:hAnsi="仿宋_GB2312" w:eastAsia="仿宋_GB2312" w:cs="仿宋_GB2312"/>
          <w:color w:val="000000"/>
          <w:kern w:val="0"/>
          <w:sz w:val="32"/>
          <w:szCs w:val="32"/>
          <w:lang w:val="en-US" w:eastAsia="zh-CN" w:bidi="ar"/>
        </w:rPr>
        <w:t>杭州市人民政府办公厅关于规范杭州市区经济适用住房上市交易和回购管理的实施意见（试行）》（杭政办〔2013〕3号）</w:t>
      </w:r>
      <w:r>
        <w:rPr>
          <w:rFonts w:hint="eastAsia" w:ascii="仿宋_GB2312" w:hAnsi="仿宋_GB2312" w:eastAsia="仿宋_GB2312" w:cs="仿宋_GB2312"/>
          <w:i w:val="0"/>
          <w:iCs w:val="0"/>
          <w:caps w:val="0"/>
          <w:color w:val="030303"/>
          <w:spacing w:val="0"/>
          <w:sz w:val="32"/>
          <w:szCs w:val="32"/>
          <w:shd w:val="clear" w:fill="FFFFFF"/>
        </w:rPr>
        <w:t>等文件精神，</w:t>
      </w:r>
      <w:r>
        <w:rPr>
          <w:rFonts w:hint="eastAsia" w:ascii="仿宋_GB2312" w:hAnsi="仿宋_GB2312" w:eastAsia="仿宋_GB2312" w:cs="仿宋_GB2312"/>
          <w:i w:val="0"/>
          <w:iCs w:val="0"/>
          <w:caps w:val="0"/>
          <w:color w:val="030303"/>
          <w:spacing w:val="0"/>
          <w:sz w:val="32"/>
          <w:szCs w:val="32"/>
          <w:shd w:val="clear" w:fill="FFFFFF"/>
          <w:lang w:val="en-US" w:eastAsia="zh-CN"/>
        </w:rPr>
        <w:t>结合我区实际，特制定本实施意见。</w:t>
      </w:r>
    </w:p>
    <w:p w14:paraId="697605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30303"/>
          <w:spacing w:val="0"/>
          <w:sz w:val="32"/>
          <w:szCs w:val="32"/>
        </w:rPr>
      </w:pPr>
      <w:r>
        <w:rPr>
          <w:rFonts w:hint="eastAsia" w:ascii="黑体" w:hAnsi="黑体" w:eastAsia="黑体" w:cs="黑体"/>
          <w:i w:val="0"/>
          <w:iCs w:val="0"/>
          <w:caps w:val="0"/>
          <w:color w:val="030303"/>
          <w:spacing w:val="0"/>
          <w:sz w:val="32"/>
          <w:szCs w:val="32"/>
          <w:shd w:val="clear" w:fill="FFFFFF"/>
        </w:rPr>
        <w:t>一、明确经济适用住房上市交易有关政策</w:t>
      </w:r>
    </w:p>
    <w:p w14:paraId="057507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30303"/>
          <w:spacing w:val="0"/>
          <w:sz w:val="32"/>
          <w:szCs w:val="32"/>
        </w:rPr>
      </w:pPr>
      <w:r>
        <w:rPr>
          <w:rFonts w:hint="eastAsia" w:ascii="仿宋_GB2312" w:hAnsi="仿宋_GB2312" w:eastAsia="仿宋_GB2312" w:cs="仿宋_GB2312"/>
          <w:i w:val="0"/>
          <w:iCs w:val="0"/>
          <w:caps w:val="0"/>
          <w:color w:val="030303"/>
          <w:spacing w:val="0"/>
          <w:sz w:val="32"/>
          <w:szCs w:val="32"/>
          <w:shd w:val="clear" w:fill="FFFFFF"/>
        </w:rPr>
        <w:t>经济适用住房上市交易，是指经济适用住房购房人在取得完全产权后，可采用买卖、赠与等方式处置该住房的行为。经济适用住房购房人在签订购房合同（含预售合同）之日起满5年后，可通过补交土地收益等价款取得完全产权。</w:t>
      </w:r>
    </w:p>
    <w:p w14:paraId="60F588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30303"/>
          <w:spacing w:val="0"/>
          <w:sz w:val="32"/>
          <w:szCs w:val="32"/>
        </w:rPr>
      </w:pPr>
      <w:r>
        <w:rPr>
          <w:rFonts w:hint="eastAsia" w:ascii="仿宋_GB2312" w:hAnsi="仿宋_GB2312" w:eastAsia="仿宋_GB2312" w:cs="仿宋_GB2312"/>
          <w:i w:val="0"/>
          <w:iCs w:val="0"/>
          <w:caps w:val="0"/>
          <w:color w:val="030303"/>
          <w:spacing w:val="0"/>
          <w:sz w:val="32"/>
          <w:szCs w:val="32"/>
          <w:shd w:val="clear" w:fill="FFFFFF"/>
        </w:rPr>
        <w:t>经济适用住房购房人取得完全产权，不改变其已享受经济适用住房的事实。</w:t>
      </w:r>
    </w:p>
    <w:p w14:paraId="537116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30303"/>
          <w:spacing w:val="0"/>
          <w:sz w:val="32"/>
          <w:szCs w:val="32"/>
          <w:lang w:eastAsia="zh-CN"/>
        </w:rPr>
      </w:pPr>
      <w:r>
        <w:rPr>
          <w:rFonts w:hint="eastAsia" w:ascii="楷体_GB2312" w:hAnsi="楷体_GB2312" w:eastAsia="楷体_GB2312" w:cs="楷体_GB2312"/>
          <w:i w:val="0"/>
          <w:iCs w:val="0"/>
          <w:caps w:val="0"/>
          <w:color w:val="030303"/>
          <w:spacing w:val="0"/>
          <w:sz w:val="32"/>
          <w:szCs w:val="32"/>
          <w:shd w:val="clear" w:fill="FFFFFF"/>
          <w:lang w:eastAsia="zh-CN"/>
        </w:rPr>
        <w:t>（一）</w:t>
      </w:r>
      <w:r>
        <w:rPr>
          <w:rFonts w:hint="eastAsia" w:ascii="楷体_GB2312" w:hAnsi="楷体_GB2312" w:eastAsia="楷体_GB2312" w:cs="楷体_GB2312"/>
          <w:i w:val="0"/>
          <w:iCs w:val="0"/>
          <w:caps w:val="0"/>
          <w:color w:val="030303"/>
          <w:spacing w:val="0"/>
          <w:sz w:val="32"/>
          <w:szCs w:val="32"/>
          <w:shd w:val="clear" w:fill="FFFFFF"/>
        </w:rPr>
        <w:t>上市交易政策的适用范围</w:t>
      </w:r>
    </w:p>
    <w:p w14:paraId="1F96A167">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在2004年9月1日前已签订购房合同（含预售合同）的，</w:t>
      </w:r>
      <w:r>
        <w:rPr>
          <w:rFonts w:hint="eastAsia" w:ascii="仿宋_GB2312" w:hAnsi="宋体" w:eastAsia="仿宋_GB2312" w:cs="仿宋_GB2312"/>
          <w:color w:val="000000"/>
          <w:kern w:val="0"/>
          <w:sz w:val="32"/>
          <w:szCs w:val="32"/>
          <w:lang w:val="en-US" w:eastAsia="zh-CN" w:bidi="ar"/>
        </w:rPr>
        <w:t>上市交易时按照《杭州市区经济适用住房上市交易计缴土地出让金等相关费用办法》（杭价服〔2004〕43号）的规定标准计算相应的费用。其余经济适用住房上市交易时均按照本意见的规定执行。</w:t>
      </w:r>
    </w:p>
    <w:p w14:paraId="25E039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30303"/>
          <w:spacing w:val="0"/>
          <w:sz w:val="32"/>
          <w:szCs w:val="32"/>
        </w:rPr>
      </w:pPr>
      <w:r>
        <w:rPr>
          <w:rFonts w:hint="eastAsia" w:ascii="楷体_GB2312" w:hAnsi="楷体_GB2312" w:eastAsia="楷体_GB2312" w:cs="楷体_GB2312"/>
          <w:i w:val="0"/>
          <w:iCs w:val="0"/>
          <w:caps w:val="0"/>
          <w:color w:val="030303"/>
          <w:spacing w:val="0"/>
          <w:sz w:val="32"/>
          <w:szCs w:val="32"/>
          <w:shd w:val="clear" w:fill="FFFFFF"/>
          <w:lang w:eastAsia="zh-CN"/>
        </w:rPr>
        <w:t>（二）</w:t>
      </w:r>
      <w:r>
        <w:rPr>
          <w:rFonts w:hint="eastAsia" w:ascii="楷体_GB2312" w:hAnsi="楷体_GB2312" w:eastAsia="楷体_GB2312" w:cs="楷体_GB2312"/>
          <w:i w:val="0"/>
          <w:iCs w:val="0"/>
          <w:caps w:val="0"/>
          <w:color w:val="030303"/>
          <w:spacing w:val="0"/>
          <w:sz w:val="32"/>
          <w:szCs w:val="32"/>
          <w:shd w:val="clear" w:fill="FFFFFF"/>
        </w:rPr>
        <w:t>土地收益等价款的补交范围和标准</w:t>
      </w:r>
    </w:p>
    <w:p w14:paraId="6DB5BD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30303"/>
          <w:spacing w:val="0"/>
          <w:sz w:val="32"/>
          <w:szCs w:val="32"/>
        </w:rPr>
      </w:pPr>
      <w:r>
        <w:rPr>
          <w:rFonts w:hint="eastAsia" w:ascii="仿宋_GB2312" w:hAnsi="仿宋_GB2312" w:eastAsia="仿宋_GB2312" w:cs="仿宋_GB2312"/>
          <w:i w:val="0"/>
          <w:iCs w:val="0"/>
          <w:caps w:val="0"/>
          <w:color w:val="030303"/>
          <w:spacing w:val="0"/>
          <w:sz w:val="32"/>
          <w:szCs w:val="32"/>
          <w:shd w:val="clear" w:fill="FFFFFF"/>
        </w:rPr>
        <w:t>经济适用住房购房人按照经济适用住房价格购买的面积部分，在取得完全产权时，需补交土地收益等价款。超出核定面积按市场价格购买的面积部分，不列入补交土地收益等价款的范围。</w:t>
      </w:r>
    </w:p>
    <w:p w14:paraId="1529E3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30303"/>
          <w:spacing w:val="0"/>
          <w:sz w:val="32"/>
          <w:szCs w:val="32"/>
        </w:rPr>
      </w:pPr>
      <w:r>
        <w:rPr>
          <w:rFonts w:hint="eastAsia" w:ascii="仿宋_GB2312" w:hAnsi="仿宋_GB2312" w:eastAsia="仿宋_GB2312" w:cs="仿宋_GB2312"/>
          <w:i w:val="0"/>
          <w:iCs w:val="0"/>
          <w:caps w:val="0"/>
          <w:color w:val="030303"/>
          <w:spacing w:val="0"/>
          <w:sz w:val="32"/>
          <w:szCs w:val="32"/>
          <w:shd w:val="clear" w:fill="FFFFFF"/>
        </w:rPr>
        <w:t>经济适用住房购房人拥有房屋有限产权，通过补交土地收益等价款取得完全产权的，应按照届时公布的评估价与当时经济适用住房购买价之间差价的55%向政府补交土地收益等价款，原购买时缴交的税费在计算差价时予以扣除。具体计算公式如下：</w:t>
      </w:r>
    </w:p>
    <w:p w14:paraId="44554263">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03030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30303"/>
          <w:spacing w:val="0"/>
          <w:kern w:val="0"/>
          <w:sz w:val="32"/>
          <w:szCs w:val="32"/>
          <w:shd w:val="clear" w:fill="FFFFFF"/>
          <w:lang w:val="en-US" w:eastAsia="zh-CN" w:bidi="ar"/>
        </w:rPr>
        <w:t>需补交的土地收益等价款=[(公布的评估单价(需计算过)-经济适用住房购买时单价)×按经济适用住房价格购买的面积]×55%-购买时缴交的税费。</w:t>
      </w:r>
    </w:p>
    <w:p w14:paraId="0CB32C09">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3030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30303"/>
          <w:spacing w:val="0"/>
          <w:kern w:val="0"/>
          <w:sz w:val="32"/>
          <w:szCs w:val="32"/>
          <w:shd w:val="clear" w:fill="FFFFFF"/>
          <w:lang w:val="en-US" w:eastAsia="zh-CN" w:bidi="ar"/>
        </w:rPr>
        <w:t>政府公布的评估单价需进行年限和楼层折旧，具体方法为：</w:t>
      </w:r>
    </w:p>
    <w:p w14:paraId="77916962">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03030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30303"/>
          <w:spacing w:val="0"/>
          <w:kern w:val="0"/>
          <w:sz w:val="32"/>
          <w:szCs w:val="32"/>
          <w:shd w:val="clear" w:fill="FFFFFF"/>
          <w:lang w:val="en-US" w:eastAsia="zh-CN" w:bidi="ar"/>
        </w:rPr>
        <w:t>1.年限折旧，年限折扣率标准为每年2%,年限自经济适用房购房合同(含预售合同)签订之日起至向财税部门缴纳土地收益价款之日止(不满一年按一年算),一套房屋计算年限最长为10年，最高折扣率为20%。</w:t>
      </w:r>
    </w:p>
    <w:p w14:paraId="412CB565">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03030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30303"/>
          <w:spacing w:val="0"/>
          <w:kern w:val="0"/>
          <w:sz w:val="32"/>
          <w:szCs w:val="32"/>
          <w:shd w:val="clear" w:fill="FFFFFF"/>
          <w:lang w:val="en-US" w:eastAsia="zh-CN" w:bidi="ar"/>
        </w:rPr>
        <w:t>2.楼层价差见下表</w:t>
      </w:r>
    </w:p>
    <w:tbl>
      <w:tblPr>
        <w:tblStyle w:val="8"/>
        <w:tblW w:w="7829" w:type="dxa"/>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3"/>
        <w:gridCol w:w="979"/>
        <w:gridCol w:w="979"/>
        <w:gridCol w:w="978"/>
        <w:gridCol w:w="979"/>
        <w:gridCol w:w="979"/>
        <w:gridCol w:w="969"/>
        <w:gridCol w:w="983"/>
      </w:tblGrid>
      <w:tr w14:paraId="5308D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trPr>
        <w:tc>
          <w:tcPr>
            <w:tcW w:w="983" w:type="dxa"/>
            <w:tcBorders>
              <w:tl2br w:val="single" w:color="000000" w:sz="4" w:space="0"/>
            </w:tcBorders>
            <w:vAlign w:val="top"/>
          </w:tcPr>
          <w:p w14:paraId="18E72C78">
            <w:pPr>
              <w:pStyle w:val="7"/>
              <w:spacing w:before="83" w:line="240" w:lineRule="auto"/>
              <w:ind w:left="560" w:leftChars="35" w:right="62" w:hanging="487" w:hangingChars="20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所在层</w:t>
            </w:r>
          </w:p>
          <w:p w14:paraId="01F7516A">
            <w:pPr>
              <w:pStyle w:val="7"/>
              <w:spacing w:before="83" w:line="240" w:lineRule="auto"/>
              <w:ind w:left="83" w:right="62" w:hanging="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总层</w:t>
            </w:r>
          </w:p>
          <w:p w14:paraId="40990A32">
            <w:pPr>
              <w:pStyle w:val="7"/>
              <w:spacing w:before="83" w:line="240" w:lineRule="auto"/>
              <w:ind w:left="83" w:right="62" w:hanging="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数</w:t>
            </w:r>
          </w:p>
        </w:tc>
        <w:tc>
          <w:tcPr>
            <w:tcW w:w="979" w:type="dxa"/>
            <w:vAlign w:val="center"/>
          </w:tcPr>
          <w:p w14:paraId="61404B0D">
            <w:pPr>
              <w:pStyle w:val="7"/>
              <w:spacing w:before="91" w:line="240" w:lineRule="auto"/>
              <w:ind w:left="341"/>
              <w:jc w:val="both"/>
              <w:rPr>
                <w:rFonts w:hint="eastAsia" w:ascii="仿宋_GB2312" w:hAnsi="仿宋_GB2312" w:eastAsia="仿宋_GB2312" w:cs="仿宋_GB2312"/>
                <w:sz w:val="24"/>
                <w:szCs w:val="24"/>
              </w:rPr>
            </w:pPr>
            <w:r>
              <w:rPr>
                <w:rFonts w:hint="eastAsia" w:ascii="仿宋_GB2312" w:hAnsi="仿宋_GB2312" w:eastAsia="仿宋_GB2312" w:cs="仿宋_GB2312"/>
                <w:position w:val="-5"/>
                <w:sz w:val="24"/>
                <w:szCs w:val="24"/>
              </w:rPr>
              <w:t>一</w:t>
            </w:r>
          </w:p>
        </w:tc>
        <w:tc>
          <w:tcPr>
            <w:tcW w:w="979" w:type="dxa"/>
            <w:vAlign w:val="center"/>
          </w:tcPr>
          <w:p w14:paraId="6EE74D78">
            <w:pPr>
              <w:pStyle w:val="7"/>
              <w:spacing w:before="91" w:line="240" w:lineRule="auto"/>
              <w:ind w:left="343"/>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p>
        </w:tc>
        <w:tc>
          <w:tcPr>
            <w:tcW w:w="978" w:type="dxa"/>
            <w:vAlign w:val="center"/>
          </w:tcPr>
          <w:p w14:paraId="47577F76">
            <w:pPr>
              <w:pStyle w:val="7"/>
              <w:spacing w:before="91" w:line="240" w:lineRule="auto"/>
              <w:ind w:left="343"/>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w:t>
            </w:r>
          </w:p>
        </w:tc>
        <w:tc>
          <w:tcPr>
            <w:tcW w:w="979" w:type="dxa"/>
            <w:vAlign w:val="center"/>
          </w:tcPr>
          <w:p w14:paraId="258B549B">
            <w:pPr>
              <w:pStyle w:val="7"/>
              <w:spacing w:before="91" w:line="240" w:lineRule="auto"/>
              <w:ind w:left="345"/>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w:t>
            </w:r>
          </w:p>
        </w:tc>
        <w:tc>
          <w:tcPr>
            <w:tcW w:w="979" w:type="dxa"/>
            <w:vAlign w:val="center"/>
          </w:tcPr>
          <w:p w14:paraId="1DA8F2D9">
            <w:pPr>
              <w:pStyle w:val="7"/>
              <w:spacing w:before="91" w:line="240" w:lineRule="auto"/>
              <w:ind w:left="34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w:t>
            </w:r>
          </w:p>
        </w:tc>
        <w:tc>
          <w:tcPr>
            <w:tcW w:w="969" w:type="dxa"/>
            <w:vAlign w:val="center"/>
          </w:tcPr>
          <w:p w14:paraId="5C542CC4">
            <w:pPr>
              <w:pStyle w:val="7"/>
              <w:spacing w:before="91" w:line="240" w:lineRule="auto"/>
              <w:ind w:left="33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w:t>
            </w:r>
          </w:p>
        </w:tc>
        <w:tc>
          <w:tcPr>
            <w:tcW w:w="983" w:type="dxa"/>
            <w:vAlign w:val="center"/>
          </w:tcPr>
          <w:p w14:paraId="10ADC9E3">
            <w:pPr>
              <w:pStyle w:val="7"/>
              <w:spacing w:before="91" w:line="240" w:lineRule="auto"/>
              <w:ind w:left="34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w:t>
            </w:r>
          </w:p>
        </w:tc>
      </w:tr>
      <w:tr w14:paraId="07419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83" w:type="dxa"/>
            <w:vAlign w:val="top"/>
          </w:tcPr>
          <w:p w14:paraId="53536C84">
            <w:pPr>
              <w:pStyle w:val="7"/>
              <w:spacing w:before="68" w:line="240" w:lineRule="auto"/>
              <w:ind w:left="34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w:t>
            </w:r>
          </w:p>
        </w:tc>
        <w:tc>
          <w:tcPr>
            <w:tcW w:w="979" w:type="dxa"/>
            <w:vAlign w:val="top"/>
          </w:tcPr>
          <w:p w14:paraId="32BFA74A">
            <w:pPr>
              <w:pStyle w:val="7"/>
              <w:spacing w:before="91" w:line="240" w:lineRule="auto"/>
              <w:ind w:left="271"/>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w:t>
            </w:r>
          </w:p>
        </w:tc>
        <w:tc>
          <w:tcPr>
            <w:tcW w:w="979" w:type="dxa"/>
            <w:vAlign w:val="top"/>
          </w:tcPr>
          <w:p w14:paraId="7D82167A">
            <w:pPr>
              <w:pStyle w:val="7"/>
              <w:spacing w:before="91" w:line="240" w:lineRule="auto"/>
              <w:ind w:left="272"/>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-1%</w:t>
            </w:r>
          </w:p>
        </w:tc>
        <w:tc>
          <w:tcPr>
            <w:tcW w:w="978" w:type="dxa"/>
            <w:vAlign w:val="center"/>
          </w:tcPr>
          <w:p w14:paraId="53737EA4">
            <w:pPr>
              <w:pStyle w:val="7"/>
              <w:spacing w:before="96" w:line="240" w:lineRule="auto"/>
              <w:jc w:val="center"/>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lang w:val="en-US" w:eastAsia="zh-CN"/>
              </w:rPr>
              <w:t>0</w:t>
            </w:r>
          </w:p>
        </w:tc>
        <w:tc>
          <w:tcPr>
            <w:tcW w:w="979" w:type="dxa"/>
            <w:vAlign w:val="top"/>
          </w:tcPr>
          <w:p w14:paraId="7E708394">
            <w:pPr>
              <w:pStyle w:val="7"/>
              <w:spacing w:before="91" w:line="240" w:lineRule="auto"/>
              <w:ind w:left="4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79" w:type="dxa"/>
            <w:vAlign w:val="top"/>
          </w:tcPr>
          <w:p w14:paraId="5BDE38B3">
            <w:pPr>
              <w:spacing w:line="240" w:lineRule="auto"/>
              <w:rPr>
                <w:rFonts w:hint="eastAsia" w:ascii="仿宋_GB2312" w:hAnsi="仿宋_GB2312" w:eastAsia="仿宋_GB2312" w:cs="仿宋_GB2312"/>
                <w:sz w:val="24"/>
                <w:szCs w:val="24"/>
              </w:rPr>
            </w:pPr>
          </w:p>
        </w:tc>
        <w:tc>
          <w:tcPr>
            <w:tcW w:w="969" w:type="dxa"/>
            <w:vAlign w:val="top"/>
          </w:tcPr>
          <w:p w14:paraId="5CC92041">
            <w:pPr>
              <w:spacing w:line="240" w:lineRule="auto"/>
              <w:rPr>
                <w:rFonts w:hint="eastAsia" w:ascii="仿宋_GB2312" w:hAnsi="仿宋_GB2312" w:eastAsia="仿宋_GB2312" w:cs="仿宋_GB2312"/>
                <w:sz w:val="24"/>
                <w:szCs w:val="24"/>
              </w:rPr>
            </w:pPr>
          </w:p>
        </w:tc>
        <w:tc>
          <w:tcPr>
            <w:tcW w:w="983" w:type="dxa"/>
            <w:vAlign w:val="top"/>
          </w:tcPr>
          <w:p w14:paraId="4525DD02">
            <w:pPr>
              <w:spacing w:line="240" w:lineRule="auto"/>
              <w:rPr>
                <w:rFonts w:hint="eastAsia" w:ascii="仿宋_GB2312" w:hAnsi="仿宋_GB2312" w:eastAsia="仿宋_GB2312" w:cs="仿宋_GB2312"/>
                <w:sz w:val="24"/>
                <w:szCs w:val="24"/>
              </w:rPr>
            </w:pPr>
          </w:p>
        </w:tc>
      </w:tr>
      <w:tr w14:paraId="78191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83" w:type="dxa"/>
            <w:vAlign w:val="top"/>
          </w:tcPr>
          <w:p w14:paraId="3E4A3AFC">
            <w:pPr>
              <w:pStyle w:val="7"/>
              <w:spacing w:before="81" w:line="240" w:lineRule="auto"/>
              <w:ind w:left="34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w:t>
            </w:r>
          </w:p>
        </w:tc>
        <w:tc>
          <w:tcPr>
            <w:tcW w:w="979" w:type="dxa"/>
            <w:vAlign w:val="top"/>
          </w:tcPr>
          <w:p w14:paraId="1CEA6734">
            <w:pPr>
              <w:pStyle w:val="7"/>
              <w:spacing w:before="93" w:line="240" w:lineRule="auto"/>
              <w:ind w:left="271"/>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w:t>
            </w:r>
          </w:p>
        </w:tc>
        <w:tc>
          <w:tcPr>
            <w:tcW w:w="979" w:type="dxa"/>
            <w:vAlign w:val="top"/>
          </w:tcPr>
          <w:p w14:paraId="7A2F515B">
            <w:pPr>
              <w:pStyle w:val="7"/>
              <w:spacing w:before="93" w:line="240" w:lineRule="auto"/>
              <w:ind w:left="272"/>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-1%</w:t>
            </w:r>
          </w:p>
        </w:tc>
        <w:tc>
          <w:tcPr>
            <w:tcW w:w="978" w:type="dxa"/>
            <w:vAlign w:val="center"/>
          </w:tcPr>
          <w:p w14:paraId="2E47D329">
            <w:pPr>
              <w:pStyle w:val="7"/>
              <w:spacing w:before="96" w:line="240" w:lineRule="auto"/>
              <w:jc w:val="center"/>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0</w:t>
            </w:r>
          </w:p>
        </w:tc>
        <w:tc>
          <w:tcPr>
            <w:tcW w:w="979" w:type="dxa"/>
            <w:vAlign w:val="top"/>
          </w:tcPr>
          <w:p w14:paraId="168A378F">
            <w:pPr>
              <w:pStyle w:val="7"/>
              <w:spacing w:before="93" w:line="240" w:lineRule="auto"/>
              <w:ind w:left="275"/>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+1%</w:t>
            </w:r>
          </w:p>
        </w:tc>
        <w:tc>
          <w:tcPr>
            <w:tcW w:w="979" w:type="dxa"/>
            <w:vAlign w:val="top"/>
          </w:tcPr>
          <w:p w14:paraId="45703382">
            <w:pPr>
              <w:pStyle w:val="7"/>
              <w:spacing w:before="93" w:line="240" w:lineRule="auto"/>
              <w:ind w:left="276"/>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-1%</w:t>
            </w:r>
          </w:p>
        </w:tc>
        <w:tc>
          <w:tcPr>
            <w:tcW w:w="969" w:type="dxa"/>
            <w:vAlign w:val="top"/>
          </w:tcPr>
          <w:p w14:paraId="3F6B0EC1">
            <w:pPr>
              <w:spacing w:line="240" w:lineRule="auto"/>
              <w:rPr>
                <w:rFonts w:hint="eastAsia" w:ascii="仿宋_GB2312" w:hAnsi="仿宋_GB2312" w:eastAsia="仿宋_GB2312" w:cs="仿宋_GB2312"/>
                <w:sz w:val="24"/>
                <w:szCs w:val="24"/>
              </w:rPr>
            </w:pPr>
          </w:p>
        </w:tc>
        <w:tc>
          <w:tcPr>
            <w:tcW w:w="983" w:type="dxa"/>
            <w:vAlign w:val="top"/>
          </w:tcPr>
          <w:p w14:paraId="35BFD445">
            <w:pPr>
              <w:spacing w:line="240" w:lineRule="auto"/>
              <w:rPr>
                <w:rFonts w:hint="eastAsia" w:ascii="仿宋_GB2312" w:hAnsi="仿宋_GB2312" w:eastAsia="仿宋_GB2312" w:cs="仿宋_GB2312"/>
                <w:sz w:val="24"/>
                <w:szCs w:val="24"/>
              </w:rPr>
            </w:pPr>
          </w:p>
        </w:tc>
      </w:tr>
      <w:tr w14:paraId="3D10F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83" w:type="dxa"/>
            <w:vAlign w:val="top"/>
          </w:tcPr>
          <w:p w14:paraId="34282AFE">
            <w:pPr>
              <w:pStyle w:val="7"/>
              <w:spacing w:before="72" w:line="240" w:lineRule="auto"/>
              <w:ind w:left="34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w:t>
            </w:r>
          </w:p>
        </w:tc>
        <w:tc>
          <w:tcPr>
            <w:tcW w:w="979" w:type="dxa"/>
            <w:vAlign w:val="top"/>
          </w:tcPr>
          <w:p w14:paraId="7942DEC9">
            <w:pPr>
              <w:pStyle w:val="7"/>
              <w:spacing w:before="93" w:line="240" w:lineRule="auto"/>
              <w:ind w:left="271"/>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w:t>
            </w:r>
          </w:p>
        </w:tc>
        <w:tc>
          <w:tcPr>
            <w:tcW w:w="979" w:type="dxa"/>
            <w:vAlign w:val="top"/>
          </w:tcPr>
          <w:p w14:paraId="6639C365">
            <w:pPr>
              <w:pStyle w:val="7"/>
              <w:spacing w:before="93" w:line="240" w:lineRule="auto"/>
              <w:ind w:left="272"/>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-1%</w:t>
            </w:r>
          </w:p>
        </w:tc>
        <w:tc>
          <w:tcPr>
            <w:tcW w:w="978" w:type="dxa"/>
            <w:vAlign w:val="center"/>
          </w:tcPr>
          <w:p w14:paraId="00DE786B">
            <w:pPr>
              <w:pStyle w:val="7"/>
              <w:spacing w:before="96" w:line="240" w:lineRule="auto"/>
              <w:jc w:val="center"/>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0</w:t>
            </w:r>
          </w:p>
        </w:tc>
        <w:tc>
          <w:tcPr>
            <w:tcW w:w="979" w:type="dxa"/>
            <w:vAlign w:val="top"/>
          </w:tcPr>
          <w:p w14:paraId="214FB8BD">
            <w:pPr>
              <w:pStyle w:val="7"/>
              <w:spacing w:before="93" w:line="240" w:lineRule="auto"/>
              <w:ind w:left="275"/>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w:t>
            </w:r>
          </w:p>
        </w:tc>
        <w:tc>
          <w:tcPr>
            <w:tcW w:w="979" w:type="dxa"/>
            <w:vAlign w:val="top"/>
          </w:tcPr>
          <w:p w14:paraId="73178485">
            <w:pPr>
              <w:pStyle w:val="7"/>
              <w:spacing w:before="93" w:line="240" w:lineRule="auto"/>
              <w:ind w:left="276"/>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+1%</w:t>
            </w:r>
          </w:p>
        </w:tc>
        <w:tc>
          <w:tcPr>
            <w:tcW w:w="969" w:type="dxa"/>
            <w:vAlign w:val="top"/>
          </w:tcPr>
          <w:p w14:paraId="44837ECA">
            <w:pPr>
              <w:pStyle w:val="7"/>
              <w:spacing w:before="93" w:line="240" w:lineRule="auto"/>
              <w:ind w:left="268"/>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w:t>
            </w:r>
          </w:p>
        </w:tc>
        <w:tc>
          <w:tcPr>
            <w:tcW w:w="983" w:type="dxa"/>
            <w:vAlign w:val="top"/>
          </w:tcPr>
          <w:p w14:paraId="23C88B17">
            <w:pPr>
              <w:spacing w:line="240" w:lineRule="auto"/>
              <w:rPr>
                <w:rFonts w:hint="eastAsia" w:ascii="仿宋_GB2312" w:hAnsi="仿宋_GB2312" w:eastAsia="仿宋_GB2312" w:cs="仿宋_GB2312"/>
                <w:sz w:val="24"/>
                <w:szCs w:val="24"/>
              </w:rPr>
            </w:pPr>
          </w:p>
        </w:tc>
      </w:tr>
      <w:tr w14:paraId="1D1B0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83" w:type="dxa"/>
            <w:vAlign w:val="top"/>
          </w:tcPr>
          <w:p w14:paraId="1E1045C3">
            <w:pPr>
              <w:pStyle w:val="7"/>
              <w:spacing w:before="84" w:line="240" w:lineRule="auto"/>
              <w:ind w:left="34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w:t>
            </w:r>
          </w:p>
        </w:tc>
        <w:tc>
          <w:tcPr>
            <w:tcW w:w="979" w:type="dxa"/>
            <w:vAlign w:val="top"/>
          </w:tcPr>
          <w:p w14:paraId="2C8F25A2">
            <w:pPr>
              <w:pStyle w:val="7"/>
              <w:spacing w:before="96" w:line="240" w:lineRule="auto"/>
              <w:ind w:left="271"/>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w:t>
            </w:r>
          </w:p>
        </w:tc>
        <w:tc>
          <w:tcPr>
            <w:tcW w:w="979" w:type="dxa"/>
            <w:vAlign w:val="top"/>
          </w:tcPr>
          <w:p w14:paraId="6B5318D7">
            <w:pPr>
              <w:pStyle w:val="7"/>
              <w:spacing w:before="96" w:line="240" w:lineRule="auto"/>
              <w:ind w:left="272"/>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-1%</w:t>
            </w:r>
          </w:p>
        </w:tc>
        <w:tc>
          <w:tcPr>
            <w:tcW w:w="978" w:type="dxa"/>
            <w:vAlign w:val="center"/>
          </w:tcPr>
          <w:p w14:paraId="0EEABF48">
            <w:pPr>
              <w:pStyle w:val="7"/>
              <w:spacing w:before="96" w:line="240" w:lineRule="auto"/>
              <w:jc w:val="center"/>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0</w:t>
            </w:r>
          </w:p>
        </w:tc>
        <w:tc>
          <w:tcPr>
            <w:tcW w:w="979" w:type="dxa"/>
            <w:vAlign w:val="top"/>
          </w:tcPr>
          <w:p w14:paraId="2351B335">
            <w:pPr>
              <w:pStyle w:val="7"/>
              <w:spacing w:before="96" w:line="240" w:lineRule="auto"/>
              <w:ind w:left="275"/>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w:t>
            </w:r>
          </w:p>
        </w:tc>
        <w:tc>
          <w:tcPr>
            <w:tcW w:w="979" w:type="dxa"/>
            <w:vAlign w:val="top"/>
          </w:tcPr>
          <w:p w14:paraId="38B5F465">
            <w:pPr>
              <w:pStyle w:val="7"/>
              <w:spacing w:before="96" w:line="240" w:lineRule="auto"/>
              <w:ind w:left="276"/>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+1%</w:t>
            </w:r>
          </w:p>
        </w:tc>
        <w:tc>
          <w:tcPr>
            <w:tcW w:w="969" w:type="dxa"/>
            <w:vAlign w:val="top"/>
          </w:tcPr>
          <w:p w14:paraId="3007EBA7">
            <w:pPr>
              <w:pStyle w:val="7"/>
              <w:spacing w:before="96" w:line="240" w:lineRule="auto"/>
              <w:ind w:left="40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83" w:type="dxa"/>
            <w:vAlign w:val="top"/>
          </w:tcPr>
          <w:p w14:paraId="162B87E3">
            <w:pPr>
              <w:pStyle w:val="7"/>
              <w:spacing w:before="96" w:line="240" w:lineRule="auto"/>
              <w:ind w:left="279"/>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-3%</w:t>
            </w:r>
          </w:p>
        </w:tc>
      </w:tr>
      <w:tr w14:paraId="208BE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983" w:type="dxa"/>
            <w:vAlign w:val="top"/>
          </w:tcPr>
          <w:p w14:paraId="1971F40C">
            <w:pPr>
              <w:pStyle w:val="7"/>
              <w:tabs>
                <w:tab w:val="left" w:pos="275"/>
              </w:tabs>
              <w:spacing w:before="90" w:line="240" w:lineRule="auto"/>
              <w:ind w:right="76"/>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八层</w:t>
            </w:r>
            <w:r>
              <w:rPr>
                <w:rFonts w:hint="eastAsia" w:ascii="仿宋_GB2312" w:hAnsi="仿宋_GB2312" w:eastAsia="仿宋_GB2312" w:cs="仿宋_GB2312"/>
                <w:spacing w:val="41"/>
                <w:sz w:val="24"/>
                <w:szCs w:val="24"/>
              </w:rPr>
              <w:t>以上</w:t>
            </w:r>
            <w:r>
              <w:rPr>
                <w:rFonts w:hint="eastAsia" w:ascii="仿宋_GB2312" w:hAnsi="仿宋_GB2312" w:eastAsia="仿宋_GB2312" w:cs="仿宋_GB2312"/>
                <w:spacing w:val="6"/>
                <w:sz w:val="24"/>
                <w:szCs w:val="24"/>
              </w:rPr>
              <w:t>(含</w:t>
            </w:r>
            <w:r>
              <w:rPr>
                <w:rFonts w:hint="eastAsia" w:ascii="仿宋_GB2312" w:hAnsi="仿宋_GB2312" w:eastAsia="仿宋_GB2312" w:cs="仿宋_GB2312"/>
                <w:spacing w:val="20"/>
                <w:sz w:val="24"/>
                <w:szCs w:val="24"/>
              </w:rPr>
              <w:t>八层)</w:t>
            </w:r>
          </w:p>
        </w:tc>
        <w:tc>
          <w:tcPr>
            <w:tcW w:w="6846" w:type="dxa"/>
            <w:gridSpan w:val="7"/>
            <w:vAlign w:val="top"/>
          </w:tcPr>
          <w:p w14:paraId="44717717">
            <w:pPr>
              <w:pStyle w:val="7"/>
              <w:spacing w:before="294" w:line="240" w:lineRule="auto"/>
              <w:ind w:left="112" w:right="187" w:firstLine="79"/>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楼层为单数的以中间层为0,楼层为双数的以中间二层</w:t>
            </w:r>
            <w:r>
              <w:rPr>
                <w:rFonts w:hint="eastAsia" w:ascii="仿宋_GB2312" w:hAnsi="仿宋_GB2312" w:eastAsia="仿宋_GB2312" w:cs="仿宋_GB2312"/>
                <w:spacing w:val="3"/>
                <w:sz w:val="24"/>
                <w:szCs w:val="24"/>
              </w:rPr>
              <w:t>为0,每增减一层，每层相应增减1%。顶层按次顶层价</w:t>
            </w:r>
            <w:r>
              <w:rPr>
                <w:rFonts w:hint="eastAsia" w:ascii="仿宋_GB2312" w:hAnsi="仿宋_GB2312" w:eastAsia="仿宋_GB2312" w:cs="仿宋_GB2312"/>
                <w:spacing w:val="-1"/>
                <w:sz w:val="24"/>
                <w:szCs w:val="24"/>
              </w:rPr>
              <w:t>格计算。</w:t>
            </w:r>
          </w:p>
        </w:tc>
      </w:tr>
    </w:tbl>
    <w:p w14:paraId="4CDA7747">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030303"/>
          <w:spacing w:val="0"/>
          <w:sz w:val="32"/>
          <w:szCs w:val="32"/>
          <w:highlight w:val="none"/>
          <w:lang w:eastAsia="zh-CN"/>
        </w:rPr>
      </w:pPr>
      <w:r>
        <w:rPr>
          <w:rFonts w:hint="eastAsia" w:ascii="仿宋_GB2312" w:hAnsi="仿宋_GB2312" w:eastAsia="仿宋_GB2312" w:cs="仿宋_GB2312"/>
          <w:i w:val="0"/>
          <w:iCs w:val="0"/>
          <w:caps w:val="0"/>
          <w:color w:val="030303"/>
          <w:spacing w:val="0"/>
          <w:sz w:val="32"/>
          <w:szCs w:val="32"/>
          <w:highlight w:val="none"/>
          <w:shd w:val="clear" w:fill="FFFFFF"/>
          <w:lang w:eastAsia="zh-CN"/>
        </w:rPr>
        <w:t>区财政局负责土地收益等价款收缴的管理工作，区税务局具体办理收缴工作。</w:t>
      </w:r>
    </w:p>
    <w:p w14:paraId="592B18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30303"/>
          <w:spacing w:val="0"/>
          <w:sz w:val="32"/>
          <w:szCs w:val="32"/>
          <w:highlight w:val="none"/>
        </w:rPr>
      </w:pPr>
      <w:r>
        <w:rPr>
          <w:rFonts w:hint="eastAsia" w:ascii="楷体_GB2312" w:hAnsi="楷体_GB2312" w:eastAsia="楷体_GB2312" w:cs="楷体_GB2312"/>
          <w:i w:val="0"/>
          <w:iCs w:val="0"/>
          <w:caps w:val="0"/>
          <w:color w:val="030303"/>
          <w:spacing w:val="0"/>
          <w:sz w:val="32"/>
          <w:szCs w:val="32"/>
          <w:highlight w:val="none"/>
          <w:shd w:val="clear" w:fill="FFFFFF"/>
          <w:lang w:eastAsia="zh-CN"/>
        </w:rPr>
        <w:t>（三）经济适用住房上市交易的</w:t>
      </w:r>
      <w:r>
        <w:rPr>
          <w:rFonts w:hint="eastAsia" w:ascii="楷体_GB2312" w:hAnsi="楷体_GB2312" w:eastAsia="楷体_GB2312" w:cs="楷体_GB2312"/>
          <w:i w:val="0"/>
          <w:iCs w:val="0"/>
          <w:caps w:val="0"/>
          <w:color w:val="030303"/>
          <w:spacing w:val="0"/>
          <w:sz w:val="32"/>
          <w:szCs w:val="32"/>
          <w:highlight w:val="none"/>
          <w:shd w:val="clear" w:fill="FFFFFF"/>
        </w:rPr>
        <w:t>办理程序</w:t>
      </w:r>
    </w:p>
    <w:p w14:paraId="6040E9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30303"/>
          <w:spacing w:val="0"/>
          <w:sz w:val="32"/>
          <w:szCs w:val="32"/>
          <w:highlight w:val="none"/>
        </w:rPr>
      </w:pPr>
      <w:r>
        <w:rPr>
          <w:rFonts w:hint="eastAsia" w:ascii="仿宋_GB2312" w:hAnsi="仿宋_GB2312" w:eastAsia="仿宋_GB2312" w:cs="仿宋_GB2312"/>
          <w:i w:val="0"/>
          <w:iCs w:val="0"/>
          <w:caps w:val="0"/>
          <w:color w:val="030303"/>
          <w:spacing w:val="0"/>
          <w:sz w:val="32"/>
          <w:szCs w:val="32"/>
          <w:highlight w:val="none"/>
          <w:shd w:val="clear" w:fill="FFFFFF"/>
        </w:rPr>
        <w:t>经济适用住房购房人买卖、赠与该住房的，在向</w:t>
      </w:r>
      <w:r>
        <w:rPr>
          <w:rFonts w:hint="eastAsia" w:ascii="仿宋_GB2312" w:hAnsi="仿宋_GB2312" w:eastAsia="仿宋_GB2312" w:cs="仿宋_GB2312"/>
          <w:i w:val="0"/>
          <w:iCs w:val="0"/>
          <w:caps w:val="0"/>
          <w:color w:val="030303"/>
          <w:spacing w:val="0"/>
          <w:sz w:val="32"/>
          <w:szCs w:val="32"/>
          <w:highlight w:val="none"/>
          <w:shd w:val="clear" w:fill="FFFFFF"/>
          <w:lang w:eastAsia="zh-CN"/>
        </w:rPr>
        <w:t>区财政局</w:t>
      </w:r>
      <w:r>
        <w:rPr>
          <w:rFonts w:hint="eastAsia" w:ascii="仿宋_GB2312" w:hAnsi="仿宋_GB2312" w:eastAsia="仿宋_GB2312" w:cs="仿宋_GB2312"/>
          <w:i w:val="0"/>
          <w:iCs w:val="0"/>
          <w:caps w:val="0"/>
          <w:color w:val="030303"/>
          <w:spacing w:val="0"/>
          <w:sz w:val="32"/>
          <w:szCs w:val="32"/>
          <w:highlight w:val="none"/>
          <w:shd w:val="clear" w:fill="FFFFFF"/>
        </w:rPr>
        <w:t>缴纳土地收益等价款后，持房屋所有权证、所有权人的身份证明、缴交土地收益等价款的证明等资料，先向</w:t>
      </w:r>
      <w:r>
        <w:rPr>
          <w:rFonts w:hint="default" w:ascii="仿宋_GB2312" w:hAnsi="仿宋_GB2312" w:eastAsia="仿宋_GB2312" w:cs="仿宋_GB2312"/>
          <w:i w:val="0"/>
          <w:iCs w:val="0"/>
          <w:caps w:val="0"/>
          <w:color w:val="030303"/>
          <w:spacing w:val="0"/>
          <w:sz w:val="32"/>
          <w:szCs w:val="32"/>
          <w:highlight w:val="none"/>
          <w:shd w:val="clear" w:fill="FFFFFF"/>
          <w:woUserID w:val="1"/>
        </w:rPr>
        <w:t>市规划资源局钱塘分局</w:t>
      </w:r>
      <w:r>
        <w:rPr>
          <w:rFonts w:hint="eastAsia" w:ascii="仿宋_GB2312" w:hAnsi="仿宋_GB2312" w:eastAsia="仿宋_GB2312" w:cs="仿宋_GB2312"/>
          <w:i w:val="0"/>
          <w:iCs w:val="0"/>
          <w:caps w:val="0"/>
          <w:color w:val="030303"/>
          <w:spacing w:val="0"/>
          <w:sz w:val="32"/>
          <w:szCs w:val="32"/>
          <w:highlight w:val="none"/>
          <w:shd w:val="clear" w:fill="FFFFFF"/>
        </w:rPr>
        <w:t>申请办理关于房屋性质转为完全产权的变更登记手续，再办理其他相关的转移登记手续。</w:t>
      </w:r>
    </w:p>
    <w:p w14:paraId="01372C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30303"/>
          <w:spacing w:val="0"/>
          <w:sz w:val="32"/>
          <w:szCs w:val="32"/>
          <w:highlight w:val="none"/>
          <w:shd w:val="clear" w:fill="FFFFFF"/>
          <w:lang w:eastAsia="zh-CN"/>
        </w:rPr>
      </w:pPr>
      <w:r>
        <w:rPr>
          <w:rFonts w:hint="eastAsia" w:ascii="楷体_GB2312" w:hAnsi="楷体_GB2312" w:eastAsia="楷体_GB2312" w:cs="楷体_GB2312"/>
          <w:i w:val="0"/>
          <w:iCs w:val="0"/>
          <w:caps w:val="0"/>
          <w:color w:val="030303"/>
          <w:spacing w:val="0"/>
          <w:sz w:val="32"/>
          <w:szCs w:val="32"/>
          <w:highlight w:val="none"/>
          <w:shd w:val="clear" w:fill="FFFFFF"/>
          <w:lang w:eastAsia="zh-CN"/>
        </w:rPr>
        <w:t>（四）经济适用住房市场价格的委托评估</w:t>
      </w:r>
    </w:p>
    <w:p w14:paraId="6629AA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30303"/>
          <w:spacing w:val="0"/>
          <w:sz w:val="32"/>
          <w:szCs w:val="32"/>
          <w:highlight w:val="none"/>
        </w:rPr>
      </w:pPr>
      <w:r>
        <w:rPr>
          <w:rFonts w:hint="eastAsia" w:ascii="仿宋_GB2312" w:hAnsi="仿宋_GB2312" w:eastAsia="仿宋_GB2312" w:cs="仿宋_GB2312"/>
          <w:i w:val="0"/>
          <w:iCs w:val="0"/>
          <w:caps w:val="0"/>
          <w:color w:val="030303"/>
          <w:spacing w:val="0"/>
          <w:sz w:val="32"/>
          <w:szCs w:val="32"/>
          <w:highlight w:val="none"/>
          <w:shd w:val="clear" w:fill="FFFFFF"/>
        </w:rPr>
        <w:t>区</w:t>
      </w:r>
      <w:r>
        <w:rPr>
          <w:rFonts w:hint="eastAsia" w:ascii="仿宋_GB2312" w:hAnsi="仿宋_GB2312" w:eastAsia="仿宋_GB2312" w:cs="仿宋_GB2312"/>
          <w:i w:val="0"/>
          <w:iCs w:val="0"/>
          <w:caps w:val="0"/>
          <w:color w:val="030303"/>
          <w:spacing w:val="0"/>
          <w:sz w:val="32"/>
          <w:szCs w:val="32"/>
          <w:highlight w:val="none"/>
          <w:shd w:val="clear" w:fill="FFFFFF"/>
          <w:lang w:eastAsia="zh-CN"/>
        </w:rPr>
        <w:t>发改局</w:t>
      </w:r>
      <w:r>
        <w:rPr>
          <w:rFonts w:hint="eastAsia" w:ascii="仿宋_GB2312" w:hAnsi="仿宋_GB2312" w:eastAsia="仿宋_GB2312" w:cs="仿宋_GB2312"/>
          <w:i w:val="0"/>
          <w:iCs w:val="0"/>
          <w:caps w:val="0"/>
          <w:color w:val="030303"/>
          <w:spacing w:val="0"/>
          <w:sz w:val="32"/>
          <w:szCs w:val="32"/>
          <w:highlight w:val="none"/>
          <w:shd w:val="clear" w:fill="FFFFFF"/>
        </w:rPr>
        <w:t>会同</w:t>
      </w:r>
      <w:r>
        <w:rPr>
          <w:rFonts w:hint="eastAsia" w:ascii="仿宋_GB2312" w:hAnsi="仿宋_GB2312" w:eastAsia="仿宋_GB2312" w:cs="仿宋_GB2312"/>
          <w:i w:val="0"/>
          <w:iCs w:val="0"/>
          <w:caps w:val="0"/>
          <w:color w:val="030303"/>
          <w:spacing w:val="0"/>
          <w:sz w:val="32"/>
          <w:szCs w:val="32"/>
          <w:highlight w:val="none"/>
          <w:shd w:val="clear" w:fill="FFFFFF"/>
          <w:lang w:eastAsia="zh-CN"/>
        </w:rPr>
        <w:t>区</w:t>
      </w:r>
      <w:r>
        <w:rPr>
          <w:rFonts w:hint="eastAsia" w:ascii="仿宋_GB2312" w:hAnsi="仿宋_GB2312" w:eastAsia="仿宋_GB2312" w:cs="仿宋_GB2312"/>
          <w:i w:val="0"/>
          <w:iCs w:val="0"/>
          <w:caps w:val="0"/>
          <w:color w:val="030303"/>
          <w:spacing w:val="0"/>
          <w:sz w:val="32"/>
          <w:szCs w:val="32"/>
          <w:highlight w:val="none"/>
          <w:shd w:val="clear" w:fill="FFFFFF"/>
        </w:rPr>
        <w:t>财政</w:t>
      </w:r>
      <w:r>
        <w:rPr>
          <w:rFonts w:hint="eastAsia" w:ascii="仿宋_GB2312" w:hAnsi="仿宋_GB2312" w:eastAsia="仿宋_GB2312" w:cs="仿宋_GB2312"/>
          <w:i w:val="0"/>
          <w:iCs w:val="0"/>
          <w:caps w:val="0"/>
          <w:color w:val="030303"/>
          <w:spacing w:val="0"/>
          <w:sz w:val="32"/>
          <w:szCs w:val="32"/>
          <w:highlight w:val="none"/>
          <w:shd w:val="clear" w:fill="FFFFFF"/>
          <w:lang w:eastAsia="zh-CN"/>
        </w:rPr>
        <w:t>局</w:t>
      </w:r>
      <w:r>
        <w:rPr>
          <w:rFonts w:hint="eastAsia" w:ascii="仿宋_GB2312" w:hAnsi="仿宋_GB2312" w:eastAsia="仿宋_GB2312" w:cs="仿宋_GB2312"/>
          <w:i w:val="0"/>
          <w:iCs w:val="0"/>
          <w:caps w:val="0"/>
          <w:color w:val="030303"/>
          <w:spacing w:val="0"/>
          <w:sz w:val="32"/>
          <w:szCs w:val="32"/>
          <w:highlight w:val="none"/>
          <w:shd w:val="clear" w:fill="FFFFFF"/>
        </w:rPr>
        <w:t>委托具有相应资质的评估公司对经济适用住房市场价格进行评估，并经区政府确定后每年向社会公布一次。经济适用住房购房人补交土地收益等价款取得完全产权时，应按照最近公布的经济适用住房评估价格计算需补交的土地收益等价款。</w:t>
      </w:r>
    </w:p>
    <w:p w14:paraId="243FD3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30303"/>
          <w:spacing w:val="0"/>
          <w:sz w:val="32"/>
          <w:szCs w:val="32"/>
          <w:highlight w:val="none"/>
        </w:rPr>
      </w:pPr>
      <w:r>
        <w:rPr>
          <w:rFonts w:hint="eastAsia" w:ascii="楷体_GB2312" w:hAnsi="楷体_GB2312" w:eastAsia="楷体_GB2312" w:cs="楷体_GB2312"/>
          <w:i w:val="0"/>
          <w:iCs w:val="0"/>
          <w:caps w:val="0"/>
          <w:color w:val="030303"/>
          <w:spacing w:val="0"/>
          <w:sz w:val="32"/>
          <w:szCs w:val="32"/>
          <w:highlight w:val="none"/>
          <w:shd w:val="clear" w:fill="FFFFFF"/>
          <w:lang w:eastAsia="zh-CN"/>
        </w:rPr>
        <w:t>（五）</w:t>
      </w:r>
      <w:r>
        <w:rPr>
          <w:rFonts w:hint="eastAsia" w:ascii="楷体_GB2312" w:hAnsi="楷体_GB2312" w:eastAsia="楷体_GB2312" w:cs="楷体_GB2312"/>
          <w:i w:val="0"/>
          <w:iCs w:val="0"/>
          <w:caps w:val="0"/>
          <w:color w:val="030303"/>
          <w:spacing w:val="0"/>
          <w:sz w:val="32"/>
          <w:szCs w:val="32"/>
          <w:highlight w:val="none"/>
          <w:shd w:val="clear" w:fill="FFFFFF"/>
        </w:rPr>
        <w:t>土地使用权的出让年限</w:t>
      </w:r>
    </w:p>
    <w:p w14:paraId="35DEF5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30303"/>
          <w:spacing w:val="0"/>
          <w:sz w:val="32"/>
          <w:szCs w:val="32"/>
          <w:highlight w:val="none"/>
        </w:rPr>
      </w:pPr>
      <w:r>
        <w:rPr>
          <w:rFonts w:hint="eastAsia" w:ascii="仿宋_GB2312" w:hAnsi="仿宋_GB2312" w:eastAsia="仿宋_GB2312" w:cs="仿宋_GB2312"/>
          <w:i w:val="0"/>
          <w:iCs w:val="0"/>
          <w:caps w:val="0"/>
          <w:color w:val="030303"/>
          <w:spacing w:val="0"/>
          <w:sz w:val="32"/>
          <w:szCs w:val="32"/>
          <w:highlight w:val="none"/>
          <w:shd w:val="clear" w:fill="FFFFFF"/>
          <w:lang w:eastAsia="zh-CN"/>
        </w:rPr>
        <w:t>市规划资源局钱塘分局</w:t>
      </w:r>
      <w:r>
        <w:rPr>
          <w:rFonts w:hint="eastAsia" w:ascii="仿宋_GB2312" w:hAnsi="仿宋_GB2312" w:eastAsia="仿宋_GB2312" w:cs="仿宋_GB2312"/>
          <w:i w:val="0"/>
          <w:iCs w:val="0"/>
          <w:caps w:val="0"/>
          <w:color w:val="030303"/>
          <w:spacing w:val="0"/>
          <w:sz w:val="32"/>
          <w:szCs w:val="32"/>
          <w:highlight w:val="none"/>
          <w:shd w:val="clear" w:fill="FFFFFF"/>
        </w:rPr>
        <w:t>根据相关资料办理经济适用住房土地变更登记，核发</w:t>
      </w:r>
      <w:r>
        <w:rPr>
          <w:rFonts w:hint="eastAsia" w:ascii="仿宋_GB2312" w:hAnsi="仿宋_GB2312" w:eastAsia="仿宋_GB2312" w:cs="仿宋_GB2312"/>
          <w:i w:val="0"/>
          <w:iCs w:val="0"/>
          <w:caps w:val="0"/>
          <w:color w:val="030303"/>
          <w:spacing w:val="0"/>
          <w:sz w:val="32"/>
          <w:szCs w:val="32"/>
          <w:highlight w:val="none"/>
          <w:shd w:val="clear" w:fill="FFFFFF"/>
          <w:lang w:val="en-US" w:eastAsia="zh-CN"/>
        </w:rPr>
        <w:t>完全产权的不动产权证书</w:t>
      </w:r>
      <w:r>
        <w:rPr>
          <w:rFonts w:hint="eastAsia" w:ascii="仿宋_GB2312" w:hAnsi="仿宋_GB2312" w:eastAsia="仿宋_GB2312" w:cs="仿宋_GB2312"/>
          <w:i w:val="0"/>
          <w:iCs w:val="0"/>
          <w:caps w:val="0"/>
          <w:color w:val="030303"/>
          <w:spacing w:val="0"/>
          <w:sz w:val="32"/>
          <w:szCs w:val="32"/>
          <w:highlight w:val="none"/>
          <w:shd w:val="clear" w:fill="FFFFFF"/>
        </w:rPr>
        <w:t>，土地使用权的出让年限为70年，自土地收益等价款票据填发之日起计算。</w:t>
      </w:r>
    </w:p>
    <w:p w14:paraId="6ECEF92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i w:val="0"/>
          <w:iCs w:val="0"/>
          <w:caps w:val="0"/>
          <w:color w:val="030303"/>
          <w:spacing w:val="0"/>
          <w:kern w:val="0"/>
          <w:sz w:val="32"/>
          <w:szCs w:val="32"/>
          <w:highlight w:val="none"/>
          <w:shd w:val="clear" w:fill="FFFFFF"/>
          <w:lang w:val="en-US" w:eastAsia="zh-CN" w:bidi="ar"/>
        </w:rPr>
      </w:pPr>
      <w:r>
        <w:rPr>
          <w:rFonts w:hint="eastAsia" w:ascii="黑体" w:hAnsi="黑体" w:eastAsia="黑体" w:cs="黑体"/>
          <w:i w:val="0"/>
          <w:iCs w:val="0"/>
          <w:caps w:val="0"/>
          <w:color w:val="030303"/>
          <w:spacing w:val="0"/>
          <w:sz w:val="32"/>
          <w:szCs w:val="32"/>
          <w:highlight w:val="none"/>
          <w:shd w:val="clear" w:fill="FFFFFF"/>
          <w:lang w:eastAsia="zh-CN"/>
        </w:rPr>
        <w:t>二、</w:t>
      </w:r>
      <w:r>
        <w:rPr>
          <w:rFonts w:hint="eastAsia" w:ascii="黑体" w:hAnsi="黑体" w:eastAsia="黑体" w:cs="黑体"/>
          <w:spacing w:val="-2"/>
          <w:sz w:val="32"/>
          <w:szCs w:val="32"/>
          <w:highlight w:val="none"/>
        </w:rPr>
        <w:t>加强经济适用住房</w:t>
      </w:r>
      <w:r>
        <w:rPr>
          <w:rFonts w:hint="eastAsia" w:ascii="黑体" w:hAnsi="黑体" w:eastAsia="黑体" w:cs="黑体"/>
          <w:spacing w:val="-2"/>
          <w:sz w:val="32"/>
          <w:szCs w:val="32"/>
          <w:highlight w:val="none"/>
          <w:lang w:eastAsia="zh-CN"/>
        </w:rPr>
        <w:t>的</w:t>
      </w:r>
      <w:r>
        <w:rPr>
          <w:rFonts w:hint="eastAsia" w:ascii="黑体" w:hAnsi="黑体" w:eastAsia="黑体" w:cs="黑体"/>
          <w:spacing w:val="-2"/>
          <w:sz w:val="32"/>
          <w:szCs w:val="32"/>
          <w:highlight w:val="none"/>
        </w:rPr>
        <w:t>回购管理</w:t>
      </w:r>
    </w:p>
    <w:p w14:paraId="3AAF34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030303"/>
          <w:spacing w:val="0"/>
          <w:sz w:val="32"/>
          <w:szCs w:val="32"/>
          <w:highlight w:val="none"/>
          <w:shd w:val="clear" w:fill="FFFFFF"/>
          <w:lang w:eastAsia="zh-CN"/>
        </w:rPr>
      </w:pPr>
      <w:r>
        <w:rPr>
          <w:rFonts w:hint="eastAsia" w:ascii="楷体_GB2312" w:hAnsi="楷体_GB2312" w:eastAsia="楷体_GB2312" w:cs="楷体_GB2312"/>
          <w:i w:val="0"/>
          <w:iCs w:val="0"/>
          <w:caps w:val="0"/>
          <w:color w:val="030303"/>
          <w:spacing w:val="0"/>
          <w:sz w:val="32"/>
          <w:szCs w:val="32"/>
          <w:highlight w:val="none"/>
          <w:shd w:val="clear" w:fill="FFFFFF"/>
          <w:lang w:eastAsia="zh-CN"/>
        </w:rPr>
        <w:t>（一）回购经济适用住房的范围</w:t>
      </w:r>
    </w:p>
    <w:p w14:paraId="0F8D815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i w:val="0"/>
          <w:iCs w:val="0"/>
          <w:caps w:val="0"/>
          <w:color w:val="030303"/>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030303"/>
          <w:spacing w:val="0"/>
          <w:kern w:val="0"/>
          <w:sz w:val="32"/>
          <w:szCs w:val="32"/>
          <w:highlight w:val="none"/>
          <w:shd w:val="clear" w:fill="FFFFFF"/>
          <w:lang w:val="en-US" w:eastAsia="zh-CN" w:bidi="ar"/>
        </w:rPr>
        <w:t>经济适用住房购房人未满5年限制年限，因各种原因确需转让的，可向区住建局申请回购，并提交原购房合同、房屋所有权证、身份证明等材料。区住建局进行审核，并入户踏勘及确认该套房屋相关各项费用结清后，与购房人签订回购协议。</w:t>
      </w:r>
    </w:p>
    <w:p w14:paraId="1A210B7F">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4"/>
        <w:textAlignment w:val="auto"/>
        <w:rPr>
          <w:rFonts w:hint="eastAsia" w:ascii="仿宋_GB2312" w:hAnsi="仿宋_GB2312" w:eastAsia="仿宋_GB2312" w:cs="仿宋_GB2312"/>
          <w:i w:val="0"/>
          <w:iCs w:val="0"/>
          <w:caps w:val="0"/>
          <w:color w:val="030303"/>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030303"/>
          <w:spacing w:val="0"/>
          <w:kern w:val="0"/>
          <w:sz w:val="32"/>
          <w:szCs w:val="32"/>
          <w:highlight w:val="none"/>
          <w:shd w:val="clear" w:fill="FFFFFF"/>
          <w:lang w:val="en-US" w:eastAsia="zh-CN" w:bidi="ar"/>
        </w:rPr>
        <w:t>本意见施行后购买经济适用住房的家庭，在5年内通过购置、继承、受赠等方式获得其他住房，不再符合经济适用住房保障条件的，已购经济适用住房应由区住建局按规定回购；满5年后通过购置、继承、受赠等方式获得其他住房，不再符合经济适用住房保障条件的，已购经济适用住房可由区住建局按规定回购，或由经济适用住房购房人补交土地收益等价款后取得完全产权。</w:t>
      </w:r>
      <w:r>
        <w:rPr>
          <w:rFonts w:hint="default" w:ascii="仿宋_GB2312" w:hAnsi="仿宋_GB2312" w:eastAsia="仿宋_GB2312" w:cs="仿宋_GB2312"/>
          <w:i w:val="0"/>
          <w:iCs w:val="0"/>
          <w:caps w:val="0"/>
          <w:color w:val="030303"/>
          <w:spacing w:val="0"/>
          <w:kern w:val="0"/>
          <w:sz w:val="32"/>
          <w:szCs w:val="32"/>
          <w:highlight w:val="none"/>
          <w:shd w:val="clear" w:fill="FFFFFF"/>
          <w:lang w:eastAsia="zh-CN" w:bidi="ar"/>
          <w:woUserID w:val="1"/>
        </w:rPr>
        <w:t>市规划资源局钱塘分局</w:t>
      </w:r>
      <w:r>
        <w:rPr>
          <w:rFonts w:hint="eastAsia" w:ascii="仿宋_GB2312" w:hAnsi="仿宋_GB2312" w:eastAsia="仿宋_GB2312" w:cs="仿宋_GB2312"/>
          <w:i w:val="0"/>
          <w:iCs w:val="0"/>
          <w:caps w:val="0"/>
          <w:color w:val="030303"/>
          <w:spacing w:val="0"/>
          <w:kern w:val="0"/>
          <w:sz w:val="32"/>
          <w:szCs w:val="32"/>
          <w:highlight w:val="none"/>
          <w:shd w:val="clear" w:fill="FFFFFF"/>
          <w:lang w:val="en-US" w:eastAsia="zh-CN" w:bidi="ar"/>
        </w:rPr>
        <w:t>办理房屋权属登记时，应比对区住建局提供的有关信息，对已购经济适用住房的家庭，不能提供区住建局出具的书面意见的，应暂停办理权属登记，并及时通报区住建局。已购经济适用住房未按规定回购或取得完全产权，且拒不执行政府退出管理决定的，可依法申请人民法院强制执行。</w:t>
      </w:r>
    </w:p>
    <w:p w14:paraId="1228885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i w:val="0"/>
          <w:iCs w:val="0"/>
          <w:caps w:val="0"/>
          <w:color w:val="030303"/>
          <w:spacing w:val="0"/>
          <w:kern w:val="0"/>
          <w:sz w:val="32"/>
          <w:szCs w:val="32"/>
          <w:highlight w:val="none"/>
          <w:shd w:val="clear" w:fill="FFFFFF"/>
          <w:lang w:val="en-US" w:eastAsia="zh-CN" w:bidi="ar"/>
        </w:rPr>
      </w:pPr>
      <w:r>
        <w:rPr>
          <w:rFonts w:hint="eastAsia" w:ascii="楷体_GB2312" w:hAnsi="楷体_GB2312" w:eastAsia="楷体_GB2312" w:cs="楷体_GB2312"/>
          <w:i w:val="0"/>
          <w:iCs w:val="0"/>
          <w:caps w:val="0"/>
          <w:color w:val="030303"/>
          <w:spacing w:val="0"/>
          <w:kern w:val="0"/>
          <w:sz w:val="32"/>
          <w:szCs w:val="32"/>
          <w:highlight w:val="none"/>
          <w:shd w:val="clear" w:fill="FFFFFF"/>
          <w:lang w:val="en-US" w:eastAsia="zh-CN" w:bidi="ar"/>
        </w:rPr>
        <w:t>（二）经济适用住房申请回购价格的确定</w:t>
      </w:r>
      <w:r>
        <w:rPr>
          <w:rFonts w:hint="eastAsia" w:ascii="仿宋_GB2312" w:hAnsi="仿宋_GB2312" w:eastAsia="仿宋_GB2312" w:cs="仿宋_GB2312"/>
          <w:i w:val="0"/>
          <w:iCs w:val="0"/>
          <w:caps w:val="0"/>
          <w:color w:val="030303"/>
          <w:spacing w:val="0"/>
          <w:kern w:val="0"/>
          <w:sz w:val="32"/>
          <w:szCs w:val="32"/>
          <w:highlight w:val="none"/>
          <w:shd w:val="clear" w:fill="FFFFFF"/>
          <w:lang w:val="en-US" w:eastAsia="zh-CN" w:bidi="ar"/>
        </w:rPr>
        <w:t>。</w:t>
      </w:r>
    </w:p>
    <w:p w14:paraId="0E519316">
      <w:pPr>
        <w:pStyle w:val="2"/>
        <w:keepNext w:val="0"/>
        <w:keepLines w:val="0"/>
        <w:pageBreakBefore w:val="0"/>
        <w:kinsoku/>
        <w:overflowPunct/>
        <w:topLinePunct w:val="0"/>
        <w:autoSpaceDE/>
        <w:autoSpaceDN/>
        <w:bidi w:val="0"/>
        <w:adjustRightInd/>
        <w:snapToGrid/>
        <w:spacing w:line="560" w:lineRule="exact"/>
        <w:ind w:left="0" w:right="0" w:firstLine="668"/>
        <w:textAlignment w:val="auto"/>
        <w:rPr>
          <w:rFonts w:hint="eastAsia" w:ascii="仿宋_GB2312" w:hAnsi="仿宋_GB2312" w:eastAsia="仿宋_GB2312" w:cs="仿宋_GB2312"/>
          <w:i w:val="0"/>
          <w:iCs w:val="0"/>
          <w:caps w:val="0"/>
          <w:color w:val="030303"/>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030303"/>
          <w:spacing w:val="0"/>
          <w:kern w:val="0"/>
          <w:sz w:val="32"/>
          <w:szCs w:val="32"/>
          <w:highlight w:val="none"/>
          <w:shd w:val="clear" w:fill="FFFFFF"/>
          <w:lang w:val="en-US" w:eastAsia="zh-CN" w:bidi="ar"/>
        </w:rPr>
        <w:t>回购价格根据原经济适用住房的价格并结合折旧和物价水平等因素确定。折旧按每年2%计算，自经济适用住房交付时起至回购时止。物价水平按区统计局公布的杭州市钱塘区居民消费价格指数累计计算，自经济适用住房购买当年起至回购前一年度止。具体计算公式如下：</w:t>
      </w:r>
    </w:p>
    <w:p w14:paraId="77ECEBE5">
      <w:pPr>
        <w:pStyle w:val="2"/>
        <w:keepNext w:val="0"/>
        <w:keepLines w:val="0"/>
        <w:pageBreakBefore w:val="0"/>
        <w:kinsoku/>
        <w:overflowPunct/>
        <w:topLinePunct w:val="0"/>
        <w:autoSpaceDE/>
        <w:autoSpaceDN/>
        <w:bidi w:val="0"/>
        <w:adjustRightInd/>
        <w:snapToGrid/>
        <w:spacing w:line="560" w:lineRule="exact"/>
        <w:ind w:left="0" w:right="0" w:firstLine="667"/>
        <w:jc w:val="both"/>
        <w:textAlignment w:val="auto"/>
        <w:rPr>
          <w:rFonts w:hint="eastAsia" w:ascii="仿宋_GB2312" w:hAnsi="仿宋_GB2312" w:eastAsia="仿宋_GB2312" w:cs="仿宋_GB2312"/>
          <w:i w:val="0"/>
          <w:iCs w:val="0"/>
          <w:caps w:val="0"/>
          <w:color w:val="030303"/>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030303"/>
          <w:spacing w:val="0"/>
          <w:kern w:val="0"/>
          <w:sz w:val="32"/>
          <w:szCs w:val="32"/>
          <w:highlight w:val="none"/>
          <w:shd w:val="clear" w:fill="FFFFFF"/>
          <w:lang w:val="en-US" w:eastAsia="zh-CN" w:bidi="ar"/>
        </w:rPr>
        <w:t>回购价格＝经济适用住房购买价格×（1－交付时至回购时的年数×2%＋购买时年度至回购前一年度的杭州市钱塘区居民消费价格指数累计涨幅）</w:t>
      </w:r>
    </w:p>
    <w:p w14:paraId="325AAB5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楷体_GB2312" w:hAnsi="楷体_GB2312" w:eastAsia="楷体_GB2312" w:cs="楷体_GB2312"/>
          <w:i w:val="0"/>
          <w:iCs w:val="0"/>
          <w:caps w:val="0"/>
          <w:color w:val="030303"/>
          <w:spacing w:val="0"/>
          <w:kern w:val="0"/>
          <w:sz w:val="32"/>
          <w:szCs w:val="32"/>
          <w:highlight w:val="none"/>
          <w:shd w:val="clear" w:fill="FFFFFF"/>
          <w:lang w:val="en-US" w:eastAsia="zh-CN" w:bidi="ar"/>
        </w:rPr>
      </w:pPr>
      <w:r>
        <w:rPr>
          <w:rFonts w:hint="eastAsia" w:ascii="楷体_GB2312" w:hAnsi="楷体_GB2312" w:eastAsia="楷体_GB2312" w:cs="楷体_GB2312"/>
          <w:i w:val="0"/>
          <w:iCs w:val="0"/>
          <w:caps w:val="0"/>
          <w:color w:val="030303"/>
          <w:spacing w:val="0"/>
          <w:kern w:val="0"/>
          <w:sz w:val="32"/>
          <w:szCs w:val="32"/>
          <w:highlight w:val="none"/>
          <w:shd w:val="clear" w:fill="FFFFFF"/>
          <w:lang w:val="en-US" w:eastAsia="zh-CN" w:bidi="ar"/>
        </w:rPr>
        <w:t>（三）回购资金保障</w:t>
      </w:r>
    </w:p>
    <w:p w14:paraId="7BFA65AE">
      <w:pPr>
        <w:pStyle w:val="2"/>
        <w:keepNext w:val="0"/>
        <w:keepLines w:val="0"/>
        <w:pageBreakBefore w:val="0"/>
        <w:kinsoku/>
        <w:overflowPunct/>
        <w:topLinePunct w:val="0"/>
        <w:autoSpaceDE/>
        <w:autoSpaceDN/>
        <w:bidi w:val="0"/>
        <w:adjustRightInd/>
        <w:snapToGrid/>
        <w:spacing w:line="560" w:lineRule="exact"/>
        <w:ind w:left="0" w:right="0" w:firstLine="667"/>
        <w:jc w:val="both"/>
        <w:textAlignment w:val="auto"/>
        <w:rPr>
          <w:rFonts w:hint="eastAsia" w:ascii="仿宋_GB2312" w:hAnsi="仿宋_GB2312" w:eastAsia="仿宋_GB2312" w:cs="仿宋_GB2312"/>
          <w:i w:val="0"/>
          <w:iCs w:val="0"/>
          <w:caps w:val="0"/>
          <w:color w:val="030303"/>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030303"/>
          <w:spacing w:val="0"/>
          <w:kern w:val="0"/>
          <w:sz w:val="32"/>
          <w:szCs w:val="32"/>
          <w:highlight w:val="none"/>
          <w:shd w:val="clear" w:fill="FFFFFF"/>
          <w:lang w:val="en-US" w:eastAsia="zh-CN" w:bidi="ar"/>
        </w:rPr>
        <w:t>回购的经济适用住房仍可向符合条件的申请家庭销售；符合廉租住房房源或公共租赁住房房源要求的，可变更性质调整为廉租住房或公共租赁住房。回购资金原则上由回购主体自筹或通过银行贷款筹集，明确调整为廉租住房或公共租赁住房的，回购资金可在廉租住房专项资金中列支。</w:t>
      </w:r>
    </w:p>
    <w:p w14:paraId="4879E7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30303"/>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030303"/>
          <w:spacing w:val="0"/>
          <w:kern w:val="0"/>
          <w:sz w:val="32"/>
          <w:szCs w:val="32"/>
          <w:highlight w:val="none"/>
          <w:shd w:val="clear" w:fill="FFFFFF"/>
          <w:lang w:val="en-US" w:eastAsia="zh-CN" w:bidi="ar"/>
        </w:rPr>
        <w:t>本实施</w:t>
      </w:r>
      <w:r>
        <w:rPr>
          <w:rFonts w:hint="eastAsia" w:ascii="仿宋_GB2312" w:hAnsi="仿宋_GB2312" w:eastAsia="仿宋_GB2312" w:cs="仿宋_GB2312"/>
          <w:i w:val="0"/>
          <w:iCs w:val="0"/>
          <w:caps w:val="0"/>
          <w:color w:val="030303"/>
          <w:spacing w:val="0"/>
          <w:kern w:val="0"/>
          <w:sz w:val="32"/>
          <w:szCs w:val="32"/>
          <w:highlight w:val="none"/>
          <w:shd w:val="clear" w:fill="FFFFFF"/>
          <w:lang w:val="en-US" w:eastAsia="zh-CN" w:bidi="ar"/>
          <w:woUserID w:val="1"/>
        </w:rPr>
        <w:t>意见</w:t>
      </w:r>
      <w:r>
        <w:rPr>
          <w:rFonts w:hint="eastAsia" w:ascii="仿宋_GB2312" w:hAnsi="仿宋_GB2312" w:eastAsia="仿宋_GB2312" w:cs="仿宋_GB2312"/>
          <w:i w:val="0"/>
          <w:iCs w:val="0"/>
          <w:caps w:val="0"/>
          <w:color w:val="030303"/>
          <w:spacing w:val="0"/>
          <w:kern w:val="0"/>
          <w:sz w:val="32"/>
          <w:szCs w:val="32"/>
          <w:highlight w:val="none"/>
          <w:shd w:val="clear" w:fill="FFFFFF"/>
          <w:lang w:val="en-US" w:eastAsia="zh-CN" w:bidi="ar"/>
        </w:rPr>
        <w:t>适用于杭州市钱塘区</w:t>
      </w:r>
      <w:r>
        <w:rPr>
          <w:rFonts w:hint="default" w:ascii="仿宋_GB2312" w:hAnsi="仿宋_GB2312" w:eastAsia="仿宋_GB2312" w:cs="仿宋_GB2312"/>
          <w:i w:val="0"/>
          <w:iCs w:val="0"/>
          <w:caps w:val="0"/>
          <w:color w:val="030303"/>
          <w:spacing w:val="0"/>
          <w:kern w:val="0"/>
          <w:sz w:val="32"/>
          <w:szCs w:val="32"/>
          <w:highlight w:val="none"/>
          <w:shd w:val="clear" w:fill="FFFFFF"/>
          <w:lang w:eastAsia="zh-CN" w:bidi="ar"/>
          <w:woUserID w:val="1"/>
        </w:rPr>
        <w:t>（河庄街道、义蓬街道、新湾街道、临江街道、前进街道）</w:t>
      </w:r>
      <w:r>
        <w:rPr>
          <w:rFonts w:hint="eastAsia" w:ascii="仿宋_GB2312" w:hAnsi="仿宋_GB2312" w:eastAsia="仿宋_GB2312" w:cs="仿宋_GB2312"/>
          <w:i w:val="0"/>
          <w:iCs w:val="0"/>
          <w:caps w:val="0"/>
          <w:color w:val="030303"/>
          <w:spacing w:val="0"/>
          <w:kern w:val="0"/>
          <w:sz w:val="32"/>
          <w:szCs w:val="32"/>
          <w:highlight w:val="none"/>
          <w:shd w:val="clear" w:fill="FFFFFF"/>
          <w:lang w:val="en-US" w:eastAsia="zh-CN" w:bidi="ar"/>
        </w:rPr>
        <w:t>范围内经济适用住房的上市交易和回购管理。</w:t>
      </w:r>
    </w:p>
    <w:p w14:paraId="745D67DE">
      <w:pPr>
        <w:ind w:firstLine="640" w:firstLineChars="200"/>
        <w:rPr>
          <w:rFonts w:hint="default"/>
          <w:lang w:val="en-US"/>
        </w:rPr>
      </w:pPr>
      <w:r>
        <w:rPr>
          <w:rFonts w:hint="eastAsia" w:ascii="仿宋_GB2312" w:hAnsi="仿宋_GB2312" w:eastAsia="仿宋_GB2312" w:cs="仿宋_GB2312"/>
          <w:i w:val="0"/>
          <w:iCs w:val="0"/>
          <w:caps w:val="0"/>
          <w:color w:val="030303"/>
          <w:spacing w:val="0"/>
          <w:kern w:val="0"/>
          <w:sz w:val="32"/>
          <w:szCs w:val="32"/>
          <w:shd w:val="clear" w:fill="FFFFFF"/>
          <w:lang w:val="en-US" w:eastAsia="zh-CN" w:bidi="ar"/>
        </w:rPr>
        <w:t>本实施</w:t>
      </w:r>
      <w:r>
        <w:rPr>
          <w:rFonts w:hint="eastAsia" w:ascii="仿宋_GB2312" w:hAnsi="仿宋_GB2312" w:eastAsia="仿宋_GB2312" w:cs="仿宋_GB2312"/>
          <w:i w:val="0"/>
          <w:iCs w:val="0"/>
          <w:caps w:val="0"/>
          <w:color w:val="030303"/>
          <w:spacing w:val="0"/>
          <w:kern w:val="0"/>
          <w:sz w:val="32"/>
          <w:szCs w:val="32"/>
          <w:shd w:val="clear" w:fill="FFFFFF"/>
          <w:lang w:val="en-US" w:eastAsia="zh-CN" w:bidi="ar"/>
          <w:woUserID w:val="1"/>
        </w:rPr>
        <w:t>意见</w:t>
      </w:r>
      <w:r>
        <w:rPr>
          <w:rFonts w:hint="eastAsia" w:ascii="仿宋_GB2312" w:hAnsi="仿宋_GB2312" w:eastAsia="仿宋_GB2312" w:cs="仿宋_GB2312"/>
          <w:i w:val="0"/>
          <w:iCs w:val="0"/>
          <w:caps w:val="0"/>
          <w:color w:val="030303"/>
          <w:spacing w:val="0"/>
          <w:kern w:val="0"/>
          <w:sz w:val="32"/>
          <w:szCs w:val="32"/>
          <w:shd w:val="clear" w:fill="FFFFFF"/>
          <w:lang w:val="en-US" w:eastAsia="zh-CN" w:bidi="ar"/>
        </w:rPr>
        <w:t>自2025年 月 日起施行，由区住建局负责解释。</w:t>
      </w: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B009EA"/>
    <w:rsid w:val="2A5C6C0B"/>
    <w:rsid w:val="486940BF"/>
    <w:rsid w:val="596D506E"/>
    <w:rsid w:val="5FE04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2"/>
      <w:szCs w:val="32"/>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宋体" w:hAnsi="宋体" w:eastAsia="宋体" w:cs="宋体"/>
      <w:sz w:val="28"/>
      <w:szCs w:val="28"/>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2171</Words>
  <Characters>2236</Characters>
  <Lines>0</Lines>
  <Paragraphs>0</Paragraphs>
  <TotalTime>3</TotalTime>
  <ScaleCrop>false</ScaleCrop>
  <LinksUpToDate>false</LinksUpToDate>
  <CharactersWithSpaces>2238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2025-04-17T05:47:00Z</dcterms:created>
  <dc:creator>Administrator</dc:creator>
  <cp:lastModifiedBy>WPS_1471064248</cp:lastModifiedBy>
  <dcterms:modified xsi:type="dcterms:W3CDTF">2025-05-19T06:57:44Z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eyJoZGlkIjoiZWNkMWZkNjQ4YmFkNmYwZGYyMDJhN2ZiMjk1NjczYmYiLCJ1c2VySWQiOiIyMzQ4MDUyMTIifQ==</vt:lpwstr>
  </property>
  <property fmtid="{D5CDD505-2E9C-101B-9397-08002B2CF9AE}" pid="4" name="ICV">
    <vt:lpwstr>408F6879D9A044FC899F56E040735B99_13</vt:lpwstr>
  </property>
</Properties>
</file>