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7C6F1">
      <w:pPr>
        <w:spacing w:line="64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关于公布</w:t>
      </w:r>
      <w:r>
        <w:rPr>
          <w:rFonts w:hint="eastAsia" w:ascii="方正小标宋简体" w:hAnsi="黑体" w:eastAsia="方正小标宋简体"/>
          <w:sz w:val="44"/>
          <w:szCs w:val="44"/>
          <w:lang w:val="en-US" w:eastAsia="zh-CN"/>
        </w:rPr>
        <w:t>《</w:t>
      </w:r>
      <w:r>
        <w:rPr>
          <w:rFonts w:hint="eastAsia" w:ascii="方正小标宋简体" w:hAnsi="黑体" w:eastAsia="方正小标宋简体"/>
          <w:sz w:val="44"/>
          <w:szCs w:val="44"/>
        </w:rPr>
        <w:t>台州市建设工程规划许可证“豁免”项目清单</w:t>
      </w:r>
      <w:r>
        <w:rPr>
          <w:rFonts w:hint="eastAsia" w:ascii="方正小标宋简体" w:hAnsi="黑体" w:eastAsia="方正小标宋简体"/>
          <w:sz w:val="44"/>
          <w:szCs w:val="44"/>
          <w:lang w:val="en-US" w:eastAsia="zh-CN"/>
        </w:rPr>
        <w:t>》</w:t>
      </w:r>
      <w:bookmarkStart w:id="0" w:name="_GoBack"/>
      <w:bookmarkEnd w:id="0"/>
      <w:r>
        <w:rPr>
          <w:rFonts w:hint="eastAsia" w:ascii="方正小标宋简体" w:hAnsi="黑体" w:eastAsia="方正小标宋简体"/>
          <w:sz w:val="44"/>
          <w:szCs w:val="44"/>
        </w:rPr>
        <w:t>的通知</w:t>
      </w:r>
    </w:p>
    <w:p w14:paraId="5F6EF30E">
      <w:pPr>
        <w:spacing w:line="640" w:lineRule="exact"/>
        <w:jc w:val="center"/>
        <w:rPr>
          <w:rFonts w:hint="eastAsia" w:ascii="仿宋_GB2312" w:hAnsi="黑体" w:eastAsia="仿宋_GB2312" w:cs="宋体"/>
          <w:sz w:val="32"/>
          <w:szCs w:val="32"/>
          <w:lang w:val="en-US" w:eastAsia="zh-CN"/>
        </w:rPr>
      </w:pPr>
      <w:r>
        <w:rPr>
          <w:rFonts w:hint="eastAsia" w:ascii="仿宋_GB2312" w:hAnsi="黑体" w:eastAsia="仿宋_GB2312" w:cs="宋体"/>
          <w:sz w:val="32"/>
          <w:szCs w:val="32"/>
          <w:lang w:val="en-US" w:eastAsia="zh-CN"/>
        </w:rPr>
        <w:t>（征求意见稿）</w:t>
      </w:r>
    </w:p>
    <w:p w14:paraId="57F97453">
      <w:pPr>
        <w:spacing w:line="640" w:lineRule="exact"/>
        <w:jc w:val="left"/>
        <w:rPr>
          <w:rFonts w:hint="eastAsia" w:ascii="仿宋_GB2312" w:hAnsi="黑体" w:eastAsia="仿宋_GB2312" w:cs="宋体"/>
          <w:sz w:val="32"/>
          <w:szCs w:val="32"/>
          <w:lang w:val="en-US" w:eastAsia="zh-CN"/>
        </w:rPr>
      </w:pPr>
    </w:p>
    <w:p w14:paraId="5AAEF3AA">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黑体" w:eastAsia="仿宋_GB2312" w:cs="宋体"/>
          <w:sz w:val="32"/>
          <w:szCs w:val="32"/>
          <w:lang w:val="en-US" w:eastAsia="zh-CN"/>
        </w:rPr>
      </w:pPr>
      <w:r>
        <w:rPr>
          <w:rFonts w:hint="eastAsia" w:ascii="仿宋_GB2312" w:hAnsi="黑体" w:eastAsia="仿宋_GB2312" w:cs="宋体"/>
          <w:sz w:val="32"/>
          <w:szCs w:val="32"/>
          <w:lang w:val="zh-TW" w:eastAsia="zh-CN"/>
        </w:rPr>
        <w:t>为进一步规范建设工程规划许可管理，优化营商环境，根据《浙江省国土空间规划条例》《浙江省城市景观风貌条例》《台州市城乡规划条例》的有关规定，结合国土空间规划管理工作实际，制定我市建设工程规划许可证“豁免”项目清单，公布如下：</w:t>
      </w:r>
    </w:p>
    <w:p w14:paraId="4B36F167">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一、下列建设项目不属于规划管理的范畴，无需办理建设工程规划许可证</w:t>
      </w:r>
    </w:p>
    <w:p w14:paraId="59E63544">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黑体" w:eastAsia="仿宋_GB2312" w:cs="宋体"/>
          <w:sz w:val="32"/>
          <w:szCs w:val="32"/>
          <w:lang w:val="zh-CN" w:eastAsia="zh-CN"/>
        </w:rPr>
      </w:pPr>
      <w:r>
        <w:rPr>
          <w:rFonts w:hint="eastAsia" w:ascii="仿宋_GB2312" w:hAnsi="黑体" w:eastAsia="仿宋_GB2312" w:cs="宋体"/>
          <w:sz w:val="32"/>
          <w:szCs w:val="32"/>
          <w:lang w:val="zh-CN" w:eastAsia="zh-CN"/>
        </w:rPr>
        <w:t>1、候车亭、电话亭、岗亭、公共自行车站点；</w:t>
      </w:r>
    </w:p>
    <w:p w14:paraId="11B9C631">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黑体" w:eastAsia="仿宋_GB2312" w:cs="宋体"/>
          <w:sz w:val="32"/>
          <w:szCs w:val="32"/>
          <w:lang w:val="en-US" w:eastAsia="zh-CN"/>
        </w:rPr>
      </w:pPr>
      <w:r>
        <w:rPr>
          <w:rFonts w:hint="eastAsia" w:ascii="仿宋_GB2312" w:hAnsi="黑体" w:eastAsia="仿宋_GB2312" w:cs="宋体"/>
          <w:sz w:val="32"/>
          <w:szCs w:val="32"/>
          <w:lang w:val="en-US" w:eastAsia="zh-CN"/>
        </w:rPr>
        <w:t>2、经依法批准的公园或者住宅小区内部的景观水池、园林小品、景观设施及不增加建筑面积、不影响他人物权的用于绿化种植的构筑物；</w:t>
      </w:r>
    </w:p>
    <w:p w14:paraId="0DE0696B">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黑体" w:eastAsia="仿宋_GB2312" w:cs="宋体"/>
          <w:sz w:val="32"/>
          <w:szCs w:val="32"/>
          <w:lang w:val="zh-CN" w:eastAsia="zh-CN"/>
        </w:rPr>
      </w:pPr>
      <w:r>
        <w:rPr>
          <w:rFonts w:hint="eastAsia" w:ascii="仿宋_GB2312" w:hAnsi="黑体" w:eastAsia="仿宋_GB2312" w:cs="宋体"/>
          <w:sz w:val="32"/>
          <w:szCs w:val="32"/>
          <w:lang w:val="en-US" w:eastAsia="zh-CN"/>
        </w:rPr>
        <w:t>3、烟道、户外广告设施和招牌（独立占地的大中型户外广告固定设施除外）；</w:t>
      </w:r>
    </w:p>
    <w:p w14:paraId="758D6195">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黑体" w:eastAsia="仿宋_GB2312" w:cs="宋体"/>
          <w:sz w:val="32"/>
          <w:szCs w:val="32"/>
          <w:lang w:val="zh-TW" w:eastAsia="zh-CN"/>
        </w:rPr>
      </w:pPr>
      <w:r>
        <w:rPr>
          <w:rFonts w:hint="eastAsia" w:ascii="仿宋_GB2312" w:hAnsi="黑体" w:eastAsia="仿宋_GB2312" w:cs="宋体"/>
          <w:sz w:val="32"/>
          <w:szCs w:val="32"/>
          <w:lang w:val="en-US" w:eastAsia="zh-CN"/>
        </w:rPr>
        <w:t>4、</w:t>
      </w:r>
      <w:r>
        <w:rPr>
          <w:rFonts w:hint="eastAsia" w:ascii="仿宋_GB2312" w:hAnsi="黑体" w:eastAsia="仿宋_GB2312" w:cs="宋体"/>
          <w:sz w:val="32"/>
          <w:szCs w:val="32"/>
          <w:lang w:val="zh-TW" w:eastAsia="zh-CN"/>
        </w:rPr>
        <w:t>无独立占地的电信设施、无线电发射设施、小型分布式光伏设施、</w:t>
      </w:r>
      <w:r>
        <w:rPr>
          <w:rFonts w:hint="eastAsia" w:ascii="仿宋_GB2312" w:hAnsi="黑体" w:eastAsia="仿宋_GB2312" w:cs="宋体"/>
          <w:sz w:val="32"/>
          <w:szCs w:val="32"/>
          <w:lang w:val="en-US" w:eastAsia="zh-CN"/>
        </w:rPr>
        <w:t>充电桩、电力环网柜、城市交通管理设备（</w:t>
      </w:r>
      <w:r>
        <w:rPr>
          <w:rFonts w:hint="eastAsia" w:ascii="仿宋_GB2312" w:hAnsi="黑体" w:eastAsia="仿宋_GB2312" w:cs="宋体"/>
          <w:sz w:val="32"/>
          <w:szCs w:val="32"/>
          <w:lang w:val="zh-CN" w:eastAsia="zh-CN"/>
        </w:rPr>
        <w:t>交通信号灯、护栏、监测和监控设施等</w:t>
      </w:r>
      <w:r>
        <w:rPr>
          <w:rFonts w:hint="eastAsia" w:ascii="仿宋_GB2312" w:hAnsi="黑体" w:eastAsia="仿宋_GB2312" w:cs="宋体"/>
          <w:sz w:val="32"/>
          <w:szCs w:val="32"/>
          <w:lang w:val="en-US" w:eastAsia="zh-CN"/>
        </w:rPr>
        <w:t>）；</w:t>
      </w:r>
    </w:p>
    <w:p w14:paraId="4B7D67CC">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黑体" w:eastAsia="仿宋_GB2312" w:cs="宋体"/>
          <w:sz w:val="32"/>
          <w:szCs w:val="32"/>
          <w:lang w:val="zh-CN" w:eastAsia="zh-CN"/>
        </w:rPr>
      </w:pPr>
      <w:r>
        <w:rPr>
          <w:rFonts w:hint="eastAsia" w:ascii="仿宋_GB2312" w:hAnsi="黑体" w:eastAsia="仿宋_GB2312" w:cs="宋体"/>
          <w:sz w:val="32"/>
          <w:szCs w:val="32"/>
          <w:lang w:val="en-US" w:eastAsia="zh-CN"/>
        </w:rPr>
        <w:t>5</w:t>
      </w:r>
      <w:r>
        <w:rPr>
          <w:rFonts w:hint="eastAsia" w:ascii="仿宋_GB2312" w:hAnsi="黑体" w:eastAsia="仿宋_GB2312" w:cs="宋体"/>
          <w:sz w:val="32"/>
          <w:szCs w:val="32"/>
          <w:lang w:val="zh-CN" w:eastAsia="zh-CN"/>
        </w:rPr>
        <w:t>、不改变道路红线宽度、线形的道路维修改造；</w:t>
      </w:r>
    </w:p>
    <w:p w14:paraId="7A51848C">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黑体" w:eastAsia="仿宋_GB2312" w:cs="宋体"/>
          <w:sz w:val="32"/>
          <w:szCs w:val="32"/>
          <w:lang w:val="zh-CN" w:eastAsia="zh-CN"/>
        </w:rPr>
      </w:pPr>
      <w:r>
        <w:rPr>
          <w:rFonts w:hint="eastAsia" w:ascii="仿宋_GB2312" w:hAnsi="黑体" w:eastAsia="仿宋_GB2312" w:cs="宋体"/>
          <w:sz w:val="32"/>
          <w:szCs w:val="32"/>
          <w:lang w:val="en-US" w:eastAsia="zh-CN"/>
        </w:rPr>
        <w:t>6</w:t>
      </w:r>
      <w:r>
        <w:rPr>
          <w:rFonts w:hint="eastAsia" w:ascii="仿宋_GB2312" w:hAnsi="黑体" w:eastAsia="仿宋_GB2312" w:cs="宋体"/>
          <w:sz w:val="32"/>
          <w:szCs w:val="32"/>
          <w:lang w:val="zh-CN" w:eastAsia="zh-CN"/>
        </w:rPr>
        <w:t>、雨水口连接管、入户管等零星管线，地下管线局部更新，</w:t>
      </w:r>
      <w:r>
        <w:rPr>
          <w:rFonts w:hint="eastAsia" w:ascii="仿宋_GB2312" w:hAnsi="黑体" w:eastAsia="仿宋_GB2312" w:cs="宋体"/>
          <w:sz w:val="32"/>
          <w:szCs w:val="32"/>
          <w:lang w:val="en-US" w:eastAsia="zh-CN"/>
        </w:rPr>
        <w:t>用于安装、衔接市政管网设施的地下构筑物，化粪池、污水处理池等附属设施以及建设工程用地范围内的管线敷设</w:t>
      </w:r>
      <w:r>
        <w:rPr>
          <w:rFonts w:hint="eastAsia" w:ascii="仿宋_GB2312" w:hAnsi="黑体" w:eastAsia="仿宋_GB2312" w:cs="宋体"/>
          <w:sz w:val="32"/>
          <w:szCs w:val="32"/>
          <w:lang w:val="zh-CN" w:eastAsia="zh-CN"/>
        </w:rPr>
        <w:t>；</w:t>
      </w:r>
    </w:p>
    <w:p w14:paraId="5FC422D4">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黑体" w:eastAsia="仿宋_GB2312" w:cs="宋体"/>
          <w:sz w:val="32"/>
          <w:szCs w:val="32"/>
          <w:lang w:val="en-US" w:eastAsia="zh-CN"/>
        </w:rPr>
      </w:pPr>
      <w:r>
        <w:rPr>
          <w:rFonts w:hint="eastAsia" w:ascii="仿宋_GB2312" w:hAnsi="黑体" w:eastAsia="仿宋_GB2312" w:cs="宋体"/>
          <w:sz w:val="32"/>
          <w:szCs w:val="32"/>
          <w:lang w:val="en-US" w:eastAsia="zh-CN"/>
        </w:rPr>
        <w:t>7、抗疫、抢险应急临时用电、用水、用气等市政建设工程；</w:t>
      </w:r>
    </w:p>
    <w:p w14:paraId="6C9D6B1B">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黑体" w:eastAsia="仿宋_GB2312" w:cs="宋体"/>
          <w:sz w:val="32"/>
          <w:szCs w:val="32"/>
          <w:lang w:val="en-US" w:eastAsia="zh-CN"/>
        </w:rPr>
      </w:pPr>
      <w:r>
        <w:rPr>
          <w:rFonts w:hint="eastAsia" w:ascii="仿宋_GB2312" w:hAnsi="黑体" w:eastAsia="仿宋_GB2312" w:cs="宋体"/>
          <w:sz w:val="32"/>
          <w:szCs w:val="32"/>
          <w:lang w:val="en-US" w:eastAsia="zh-CN"/>
        </w:rPr>
        <w:t>8、因消防疏散需要，不超出用地红线、不损害他人物权的前提下增设的消防专用钢梯；</w:t>
      </w:r>
    </w:p>
    <w:p w14:paraId="505E6E0A">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黑体" w:eastAsia="仿宋_GB2312" w:cs="宋体"/>
          <w:sz w:val="32"/>
          <w:szCs w:val="32"/>
          <w:lang w:val="en-US" w:eastAsia="zh-CN"/>
        </w:rPr>
      </w:pPr>
      <w:r>
        <w:rPr>
          <w:rFonts w:hint="eastAsia" w:ascii="仿宋_GB2312" w:hAnsi="黑体" w:eastAsia="仿宋_GB2312" w:cs="宋体"/>
          <w:sz w:val="32"/>
          <w:szCs w:val="32"/>
          <w:lang w:val="en-US" w:eastAsia="zh-CN"/>
        </w:rPr>
        <w:t>9</w:t>
      </w:r>
      <w:r>
        <w:rPr>
          <w:rFonts w:hint="eastAsia" w:ascii="仿宋_GB2312" w:hAnsi="黑体" w:eastAsia="仿宋_GB2312" w:cs="宋体"/>
          <w:sz w:val="32"/>
          <w:szCs w:val="32"/>
          <w:lang w:val="zh-CN" w:eastAsia="zh-CN"/>
        </w:rPr>
        <w:t>、</w:t>
      </w:r>
      <w:r>
        <w:rPr>
          <w:rFonts w:hint="eastAsia" w:ascii="仿宋_GB2312" w:hAnsi="黑体" w:eastAsia="仿宋_GB2312" w:cs="宋体"/>
          <w:sz w:val="32"/>
          <w:szCs w:val="32"/>
          <w:lang w:val="en-US" w:eastAsia="zh-CN"/>
        </w:rPr>
        <w:t>由政府或相关主管部门组织实施的，未涉及增加建筑面积、不改变原建筑主体结构</w:t>
      </w:r>
      <w:r>
        <w:rPr>
          <w:rFonts w:hint="eastAsia" w:ascii="仿宋_GB2312" w:hAnsi="黑体" w:eastAsia="仿宋_GB2312" w:cs="宋体"/>
          <w:sz w:val="32"/>
          <w:szCs w:val="32"/>
          <w:lang w:val="zh-CN" w:eastAsia="zh-CN"/>
        </w:rPr>
        <w:t>的老旧小区改造整治项目，包括建筑物本体修缮，补充水、电、燃气、通信、消防基础设施，增设养老、托育、体育、公共充电桩、电动自行车充电设施等公共服务设施，小区风貌和环境整治；</w:t>
      </w:r>
    </w:p>
    <w:p w14:paraId="74709237">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黑体" w:eastAsia="仿宋_GB2312" w:cs="宋体"/>
          <w:sz w:val="32"/>
          <w:szCs w:val="32"/>
          <w:lang w:val="en-US" w:eastAsia="zh-CN"/>
        </w:rPr>
      </w:pPr>
      <w:r>
        <w:rPr>
          <w:rFonts w:hint="eastAsia" w:ascii="仿宋_GB2312" w:hAnsi="黑体" w:eastAsia="仿宋_GB2312" w:cs="宋体"/>
          <w:sz w:val="32"/>
          <w:szCs w:val="32"/>
          <w:lang w:val="en-US" w:eastAsia="zh-CN"/>
        </w:rPr>
        <w:t>10</w:t>
      </w:r>
      <w:r>
        <w:rPr>
          <w:rFonts w:hint="eastAsia" w:ascii="仿宋_GB2312" w:hAnsi="黑体" w:eastAsia="仿宋_GB2312" w:cs="宋体"/>
          <w:sz w:val="32"/>
          <w:szCs w:val="32"/>
          <w:lang w:val="zh-CN" w:eastAsia="zh-CN"/>
        </w:rPr>
        <w:t>、</w:t>
      </w:r>
      <w:r>
        <w:rPr>
          <w:rFonts w:hint="eastAsia" w:ascii="仿宋_GB2312" w:hAnsi="黑体" w:eastAsia="仿宋_GB2312" w:cs="宋体"/>
          <w:sz w:val="32"/>
          <w:szCs w:val="32"/>
          <w:lang w:val="en-US" w:eastAsia="zh-CN"/>
        </w:rPr>
        <w:t>经</w:t>
      </w:r>
      <w:r>
        <w:rPr>
          <w:rFonts w:hint="eastAsia" w:ascii="仿宋_GB2312" w:hAnsi="黑体" w:eastAsia="仿宋_GB2312" w:cs="宋体"/>
          <w:sz w:val="32"/>
          <w:szCs w:val="32"/>
          <w:lang w:val="zh-CN" w:eastAsia="zh-CN"/>
        </w:rPr>
        <w:t>住宅</w:t>
      </w:r>
      <w:r>
        <w:rPr>
          <w:rFonts w:hint="eastAsia" w:ascii="仿宋_GB2312" w:hAnsi="黑体" w:eastAsia="仿宋_GB2312" w:cs="宋体"/>
          <w:sz w:val="32"/>
          <w:szCs w:val="32"/>
          <w:lang w:val="en-US" w:eastAsia="zh-CN"/>
        </w:rPr>
        <w:t>小区业主协商一致、由社区或业委会主导实施的利用小区现有架空层、闲置用房等空间在不增加建筑面积的情况下增设或改建公共的、开放的公共设施。</w:t>
      </w:r>
    </w:p>
    <w:p w14:paraId="3CDC7CA8">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黑体" w:eastAsia="仿宋_GB2312" w:cs="宋体"/>
          <w:sz w:val="32"/>
          <w:szCs w:val="32"/>
          <w:lang w:val="en-US" w:eastAsia="zh-CN"/>
        </w:rPr>
      </w:pPr>
      <w:r>
        <w:rPr>
          <w:rFonts w:hint="eastAsia" w:ascii="仿宋_GB2312" w:hAnsi="黑体" w:eastAsia="仿宋_GB2312" w:cs="宋体"/>
          <w:sz w:val="32"/>
          <w:szCs w:val="32"/>
          <w:lang w:val="en-US" w:eastAsia="zh-CN"/>
        </w:rPr>
        <w:t>11、不增加</w:t>
      </w:r>
      <w:r>
        <w:rPr>
          <w:rFonts w:hint="eastAsia" w:ascii="仿宋_GB2312" w:hAnsi="黑体" w:eastAsia="仿宋_GB2312" w:cs="宋体"/>
          <w:sz w:val="32"/>
          <w:szCs w:val="32"/>
          <w:lang w:val="zh-CN" w:eastAsia="zh-CN"/>
        </w:rPr>
        <w:t>建筑面积、不变动建筑外立面的内部装修工程；</w:t>
      </w:r>
      <w:r>
        <w:rPr>
          <w:rFonts w:hint="eastAsia" w:ascii="仿宋_GB2312" w:hAnsi="黑体" w:eastAsia="仿宋_GB2312" w:cs="宋体"/>
          <w:sz w:val="32"/>
          <w:szCs w:val="32"/>
          <w:lang w:val="en-US" w:eastAsia="zh-CN"/>
        </w:rPr>
        <w:t xml:space="preserve"> </w:t>
      </w:r>
    </w:p>
    <w:p w14:paraId="534C4612">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二、下列建设工程，不涉及不动产登记的可免于办理建设工程规划许可证</w:t>
      </w:r>
    </w:p>
    <w:p w14:paraId="79D58179">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黑体" w:eastAsia="仿宋_GB2312" w:cs="宋体"/>
          <w:sz w:val="32"/>
          <w:szCs w:val="32"/>
          <w:lang w:val="zh-CN" w:eastAsia="zh-CN"/>
        </w:rPr>
      </w:pPr>
      <w:r>
        <w:rPr>
          <w:rFonts w:hint="eastAsia" w:ascii="仿宋_GB2312" w:hAnsi="黑体" w:eastAsia="仿宋_GB2312" w:cs="宋体"/>
          <w:sz w:val="32"/>
          <w:szCs w:val="32"/>
          <w:lang w:val="en-US" w:eastAsia="zh-CN"/>
        </w:rPr>
        <w:t>1</w:t>
      </w:r>
      <w:r>
        <w:rPr>
          <w:rFonts w:hint="eastAsia" w:ascii="仿宋_GB2312" w:hAnsi="黑体" w:eastAsia="仿宋_GB2312" w:cs="宋体"/>
          <w:sz w:val="32"/>
          <w:szCs w:val="32"/>
          <w:lang w:val="zh-CN" w:eastAsia="zh-CN"/>
        </w:rPr>
        <w:t>、除市、县（市）人民政府确定的主要街道两侧和重要区块的建筑物以外的建筑外立面装修装饰；</w:t>
      </w:r>
    </w:p>
    <w:p w14:paraId="0FE84297">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黑体" w:eastAsia="仿宋_GB2312" w:cs="宋体"/>
          <w:sz w:val="32"/>
          <w:szCs w:val="32"/>
          <w:lang w:val="zh-TW" w:eastAsia="zh-CN"/>
        </w:rPr>
      </w:pPr>
      <w:r>
        <w:rPr>
          <w:rFonts w:hint="eastAsia" w:ascii="仿宋_GB2312" w:hAnsi="黑体" w:eastAsia="仿宋_GB2312" w:cs="宋体"/>
          <w:sz w:val="32"/>
          <w:szCs w:val="32"/>
          <w:lang w:val="en-US" w:eastAsia="zh-CN"/>
        </w:rPr>
        <w:t>2、</w:t>
      </w:r>
      <w:r>
        <w:rPr>
          <w:rFonts w:hint="eastAsia" w:ascii="仿宋_GB2312" w:hAnsi="黑体" w:eastAsia="仿宋_GB2312" w:cs="宋体"/>
          <w:sz w:val="32"/>
          <w:szCs w:val="32"/>
          <w:lang w:val="zh-TW" w:eastAsia="zh-CN"/>
        </w:rPr>
        <w:t>由政府或相关主管部门组织实施的，符合“不超过国有建设用地使用权属证书、房屋权属证书载明的用地面积和建筑面积，不改变原房屋用途，不突破原建筑占地面积和原建筑高度”的“三不”原则的D级危旧住房单独改造拆除重建项目；</w:t>
      </w:r>
    </w:p>
    <w:p w14:paraId="0615E55A">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黑体" w:eastAsia="仿宋_GB2312" w:cs="宋体"/>
          <w:sz w:val="32"/>
          <w:szCs w:val="32"/>
          <w:lang w:val="zh-TW" w:eastAsia="zh-CN"/>
        </w:rPr>
      </w:pPr>
      <w:r>
        <w:rPr>
          <w:rFonts w:hint="eastAsia" w:ascii="仿宋_GB2312" w:hAnsi="黑体" w:eastAsia="仿宋_GB2312" w:cs="宋体"/>
          <w:sz w:val="32"/>
          <w:szCs w:val="32"/>
          <w:lang w:val="en-US" w:eastAsia="zh-CN"/>
        </w:rPr>
        <w:t>3</w:t>
      </w:r>
      <w:r>
        <w:rPr>
          <w:rFonts w:hint="eastAsia" w:ascii="仿宋_GB2312" w:hAnsi="黑体" w:eastAsia="仿宋_GB2312" w:cs="宋体"/>
          <w:sz w:val="32"/>
          <w:szCs w:val="32"/>
          <w:lang w:val="zh-TW" w:eastAsia="zh-CN"/>
        </w:rPr>
        <w:t>、老旧小区住宅加装电梯；</w:t>
      </w:r>
    </w:p>
    <w:p w14:paraId="674CF1CA">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黑体" w:eastAsia="仿宋_GB2312" w:cs="宋体"/>
          <w:sz w:val="32"/>
          <w:szCs w:val="32"/>
          <w:lang w:val="zh-TW" w:eastAsia="zh-CN"/>
        </w:rPr>
      </w:pPr>
      <w:r>
        <w:rPr>
          <w:rFonts w:hint="eastAsia" w:ascii="仿宋_GB2312" w:hAnsi="黑体" w:eastAsia="仿宋_GB2312" w:cs="宋体"/>
          <w:sz w:val="32"/>
          <w:szCs w:val="32"/>
          <w:lang w:val="en-US" w:eastAsia="zh-CN"/>
        </w:rPr>
        <w:t>4、</w:t>
      </w:r>
      <w:r>
        <w:rPr>
          <w:rFonts w:hint="eastAsia" w:ascii="仿宋_GB2312" w:hAnsi="黑体" w:eastAsia="仿宋_GB2312" w:cs="宋体"/>
          <w:sz w:val="32"/>
          <w:szCs w:val="32"/>
          <w:lang w:val="zh-TW" w:eastAsia="zh-CN"/>
        </w:rPr>
        <w:t>老旧</w:t>
      </w:r>
      <w:r>
        <w:rPr>
          <w:rFonts w:hint="eastAsia" w:ascii="仿宋_GB2312" w:hAnsi="黑体" w:eastAsia="仿宋_GB2312" w:cs="宋体"/>
          <w:sz w:val="32"/>
          <w:szCs w:val="32"/>
          <w:lang w:val="en-US" w:eastAsia="zh-CN"/>
        </w:rPr>
        <w:t>小区在符合消防等安全要求，不改变公共空间属性前提下，利用公共空间合理新增停车泊位；</w:t>
      </w:r>
    </w:p>
    <w:p w14:paraId="080C5275">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黑体" w:eastAsia="仿宋_GB2312" w:cs="宋体"/>
          <w:sz w:val="32"/>
          <w:szCs w:val="32"/>
          <w:lang w:val="zh-TW" w:eastAsia="zh-CN"/>
        </w:rPr>
      </w:pPr>
      <w:r>
        <w:rPr>
          <w:rFonts w:hint="eastAsia" w:ascii="仿宋_GB2312" w:hAnsi="黑体" w:eastAsia="仿宋_GB2312" w:cs="宋体"/>
          <w:sz w:val="32"/>
          <w:szCs w:val="32"/>
          <w:lang w:val="en-US" w:eastAsia="zh-CN"/>
        </w:rPr>
        <w:t>5</w:t>
      </w:r>
      <w:r>
        <w:rPr>
          <w:rFonts w:hint="eastAsia" w:ascii="仿宋_GB2312" w:hAnsi="黑体" w:eastAsia="仿宋_GB2312" w:cs="宋体"/>
          <w:sz w:val="32"/>
          <w:szCs w:val="32"/>
          <w:lang w:val="zh-TW" w:eastAsia="zh-CN"/>
        </w:rPr>
        <w:t>、在建工程项目用地范围内的临时售楼处、</w:t>
      </w:r>
      <w:r>
        <w:rPr>
          <w:rFonts w:hint="eastAsia" w:ascii="仿宋_GB2312" w:hAnsi="黑体" w:eastAsia="仿宋_GB2312" w:cs="宋体"/>
          <w:sz w:val="32"/>
          <w:szCs w:val="32"/>
          <w:lang w:val="en-US" w:eastAsia="zh-CN"/>
        </w:rPr>
        <w:t>施工期间的临时性建（构）筑物</w:t>
      </w:r>
      <w:r>
        <w:rPr>
          <w:rFonts w:hint="eastAsia" w:ascii="仿宋_GB2312" w:hAnsi="黑体" w:eastAsia="仿宋_GB2312" w:cs="宋体"/>
          <w:sz w:val="32"/>
          <w:szCs w:val="32"/>
          <w:lang w:val="zh-TW" w:eastAsia="zh-CN"/>
        </w:rPr>
        <w:t>；</w:t>
      </w:r>
    </w:p>
    <w:p w14:paraId="04EE4515">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黑体" w:eastAsia="仿宋_GB2312" w:cs="宋体"/>
          <w:sz w:val="32"/>
          <w:szCs w:val="32"/>
          <w:lang w:val="zh-TW" w:eastAsia="zh-CN"/>
        </w:rPr>
      </w:pPr>
      <w:r>
        <w:rPr>
          <w:rFonts w:hint="eastAsia" w:ascii="仿宋_GB2312" w:hAnsi="黑体" w:eastAsia="仿宋_GB2312" w:cs="宋体"/>
          <w:sz w:val="32"/>
          <w:szCs w:val="32"/>
          <w:lang w:val="en-US" w:eastAsia="zh-CN"/>
        </w:rPr>
        <w:t>6</w:t>
      </w:r>
      <w:r>
        <w:rPr>
          <w:rFonts w:hint="eastAsia" w:ascii="仿宋_GB2312" w:hAnsi="黑体" w:eastAsia="仿宋_GB2312" w:cs="宋体"/>
          <w:sz w:val="32"/>
          <w:szCs w:val="32"/>
          <w:lang w:val="zh-TW" w:eastAsia="zh-CN"/>
        </w:rPr>
        <w:t>、通信基站建设所涉及的杆塔、机房、管线及交接箱等基础设施；</w:t>
      </w:r>
    </w:p>
    <w:p w14:paraId="505C9A05">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黑体" w:eastAsia="仿宋_GB2312" w:cs="宋体"/>
          <w:sz w:val="32"/>
          <w:szCs w:val="32"/>
          <w:lang w:val="zh-TW" w:eastAsia="zh-CN"/>
        </w:rPr>
      </w:pPr>
      <w:r>
        <w:rPr>
          <w:rFonts w:hint="eastAsia" w:ascii="仿宋_GB2312" w:hAnsi="黑体" w:eastAsia="仿宋_GB2312" w:cs="宋体"/>
          <w:sz w:val="32"/>
          <w:szCs w:val="32"/>
          <w:lang w:val="en-US" w:eastAsia="zh-CN"/>
        </w:rPr>
        <w:t>7</w:t>
      </w:r>
      <w:r>
        <w:rPr>
          <w:rFonts w:hint="eastAsia" w:ascii="仿宋_GB2312" w:hAnsi="黑体" w:eastAsia="仿宋_GB2312" w:cs="宋体"/>
          <w:sz w:val="32"/>
          <w:szCs w:val="32"/>
          <w:lang w:val="zh-TW" w:eastAsia="zh-CN"/>
        </w:rPr>
        <w:t>、10（20）千伏及以下项目电力接入工程。</w:t>
      </w:r>
    </w:p>
    <w:p w14:paraId="26FC9B7A">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黑体" w:hAnsi="黑体" w:eastAsia="黑体" w:cs="黑体"/>
          <w:sz w:val="32"/>
          <w:szCs w:val="32"/>
          <w:lang w:val="zh-TW" w:eastAsia="zh-CN"/>
        </w:rPr>
      </w:pPr>
      <w:r>
        <w:rPr>
          <w:rFonts w:hint="eastAsia" w:ascii="黑体" w:hAnsi="黑体" w:eastAsia="黑体" w:cs="黑体"/>
          <w:sz w:val="32"/>
          <w:szCs w:val="32"/>
          <w:lang w:val="en-US" w:eastAsia="zh-CN"/>
        </w:rPr>
        <w:t>三、可根据“放管服”改革及国家相关政策要求对无需办理或免予办理建设工程规划许可证的豁免清单适时进行</w:t>
      </w:r>
      <w:r>
        <w:rPr>
          <w:rFonts w:hint="eastAsia" w:ascii="黑体" w:hAnsi="黑体" w:eastAsia="黑体" w:cs="黑体"/>
          <w:sz w:val="32"/>
          <w:szCs w:val="32"/>
          <w:lang w:val="zh-TW" w:eastAsia="zh-CN"/>
        </w:rPr>
        <w:t>调整。</w:t>
      </w:r>
    </w:p>
    <w:p w14:paraId="7B06B168">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四、本清单自2025年X月X日起执行。</w:t>
      </w:r>
    </w:p>
    <w:p w14:paraId="1CB40142">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黑体" w:eastAsia="仿宋_GB2312" w:cs="宋体"/>
          <w:sz w:val="32"/>
          <w:szCs w:val="32"/>
          <w:lang w:val="en-US" w:eastAsia="zh-CN"/>
        </w:rPr>
      </w:pPr>
    </w:p>
    <w:p w14:paraId="44F6F538">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黑体" w:eastAsia="仿宋_GB2312" w:cs="宋体"/>
          <w:sz w:val="32"/>
          <w:szCs w:val="32"/>
          <w:lang w:val="en-US" w:eastAsia="zh-CN"/>
        </w:rPr>
      </w:pPr>
    </w:p>
    <w:p w14:paraId="3C3937E9">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黑体" w:eastAsia="仿宋_GB2312" w:cs="宋体"/>
          <w:sz w:val="32"/>
          <w:szCs w:val="32"/>
          <w:lang w:val="en-US" w:eastAsia="zh-CN"/>
        </w:rPr>
      </w:pPr>
    </w:p>
    <w:p w14:paraId="485D0BB9">
      <w:pPr>
        <w:keepNext w:val="0"/>
        <w:keepLines w:val="0"/>
        <w:pageBreakBefore w:val="0"/>
        <w:widowControl w:val="0"/>
        <w:kinsoku/>
        <w:wordWrap/>
        <w:overflowPunct/>
        <w:topLinePunct w:val="0"/>
        <w:autoSpaceDE/>
        <w:autoSpaceDN/>
        <w:bidi w:val="0"/>
        <w:adjustRightInd/>
        <w:snapToGrid/>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3FAD8864-2BA0-4A0B-A0CE-29669E242A1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embedRegular r:id="rId2" w:fontKey="{BA1B2ADE-7931-4E3F-B75B-CB7B71A12F2A}"/>
  </w:font>
  <w:font w:name="方正小标宋简体">
    <w:panose1 w:val="02000000000000000000"/>
    <w:charset w:val="86"/>
    <w:family w:val="script"/>
    <w:pitch w:val="default"/>
    <w:sig w:usb0="00000001" w:usb1="08000000" w:usb2="00000000" w:usb3="00000000" w:csb0="00040000" w:csb1="00000000"/>
    <w:embedRegular r:id="rId3" w:fontKey="{C310A1DF-C930-42F8-B366-A2BE92792B87}"/>
  </w:font>
  <w:font w:name="仿宋_GB2312">
    <w:panose1 w:val="02010609030101010101"/>
    <w:charset w:val="86"/>
    <w:family w:val="auto"/>
    <w:pitch w:val="default"/>
    <w:sig w:usb0="00000001" w:usb1="080E0000" w:usb2="00000000" w:usb3="00000000" w:csb0="00040000" w:csb1="00000000"/>
    <w:embedRegular r:id="rId4" w:fontKey="{4B4D1C89-1B19-46C1-AC93-65FFA38B159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5OTJkMTc2MDUxYTYzYjU5MTEzM2Q0Y2YxYjM2ODUifQ=="/>
  </w:docVars>
  <w:rsids>
    <w:rsidRoot w:val="353654D9"/>
    <w:rsid w:val="353654D9"/>
    <w:rsid w:val="4AAF64F1"/>
    <w:rsid w:val="4AF42447"/>
    <w:rsid w:val="6ABC0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1146</Words>
  <Characters>1153</Characters>
  <Lines>0</Lines>
  <Paragraphs>0</Paragraphs>
  <TotalTime>0</TotalTime>
  <ScaleCrop>false</ScaleCrop>
  <LinksUpToDate>false</LinksUpToDate>
  <CharactersWithSpaces>1154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2025-05-21T02:13:00Z</dcterms:created>
  <dc:creator>李惠琳</dc:creator>
  <cp:lastModifiedBy>李惠琳</cp:lastModifiedBy>
  <dcterms:modified xsi:type="dcterms:W3CDTF">2025-05-21T08:37:06Z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ACD16BF34F83458E93C04A930C574422_11</vt:lpwstr>
  </property>
</Properties>
</file>