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Style w:val="77"/>
        <w:ind w:firstLineChars="0" w:firstLine="0"/>
        <w:rPr>
          <w:rFonts w:eastAsia="黑体"/>
          <w:sz w:val="32"/>
          <w:szCs w:val="32"/>
        </w:rPr>
      </w:pPr>
      <w:r>
        <w:rPr>
          <w:rFonts w:eastAsia="黑体"/>
          <w:sz w:val="32"/>
          <w:szCs w:val="32"/>
        </w:rPr>
        <w:t>附件5</w:t>
      </w:r>
    </w:p>
    <w:p>
      <w:pPr>
        <w:spacing w:line="600" w:lineRule="exact"/>
        <w:jc w:val="center"/>
        <w:rPr>
          <w:rFonts w:eastAsia="方正小标宋简体"/>
          <w:sz w:val="44"/>
          <w:szCs w:val="44"/>
        </w:rPr>
      </w:pPr>
      <w:r>
        <w:rPr>
          <w:rFonts w:eastAsia="方正小标宋简体"/>
          <w:sz w:val="44"/>
          <w:szCs w:val="44"/>
        </w:rPr>
        <w:t>金东区源东乡综合行政执法事项目录</w:t>
      </w:r>
    </w:p>
    <w:p>
      <w:pPr>
        <w:spacing w:line="600" w:lineRule="exact"/>
        <w:jc w:val="center"/>
        <w:rPr>
          <w:rFonts w:eastAsia="方正小标宋简体"/>
          <w:sz w:val="44"/>
          <w:szCs w:val="44"/>
        </w:rPr>
      </w:pPr>
      <w:r>
        <w:rPr>
          <w:rFonts w:eastAsia="方正小标宋简体"/>
          <w:sz w:val="44"/>
          <w:szCs w:val="44"/>
        </w:rPr>
        <w:t>（2025年）</w:t>
      </w:r>
    </w:p>
    <w:tbl>
      <w:tblPr>
        <w:jc w:val="center"/>
        <w:tblW w:w="928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733"/>
        <w:gridCol w:w="1931"/>
        <w:gridCol w:w="4219"/>
        <w:gridCol w:w="2397"/>
      </w:tblGrid>
      <w:tr>
        <w:trPr>
          <w:trHeight w:val="819"/>
          <w:tblHeader/>
        </w:trPr>
        <w:tc>
          <w:tcPr>
            <w:tcW w:w="73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center"/>
              <w:textAlignment w:val="center"/>
              <w:rPr>
                <w:rFonts w:eastAsia="黑体"/>
                <w:bCs/>
                <w:spacing w:val="-11"/>
                <w:sz w:val="28"/>
                <w:szCs w:val="28"/>
              </w:rPr>
            </w:pPr>
            <w:r>
              <w:rPr>
                <w:rFonts w:eastAsia="黑体"/>
                <w:bCs/>
                <w:spacing w:val="-11"/>
                <w:kern w:val="0"/>
                <w:sz w:val="28"/>
                <w:szCs w:val="28"/>
                <w:lang w:bidi="ar-SA"/>
              </w:rPr>
              <w:t>序号</w:t>
            </w:r>
          </w:p>
        </w:tc>
        <w:tc>
          <w:tcPr>
            <w:tcW w:w="193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center"/>
              <w:textAlignment w:val="center"/>
              <w:rPr>
                <w:rFonts w:eastAsia="黑体"/>
                <w:bCs/>
                <w:spacing w:val="-11"/>
                <w:sz w:val="28"/>
                <w:szCs w:val="28"/>
              </w:rPr>
            </w:pPr>
            <w:r>
              <w:rPr>
                <w:rFonts w:eastAsia="黑体"/>
                <w:bCs/>
                <w:spacing w:val="-11"/>
                <w:kern w:val="0"/>
                <w:sz w:val="28"/>
                <w:szCs w:val="28"/>
                <w:lang w:bidi="ar-SA"/>
              </w:rPr>
              <w:t>事项编码</w:t>
            </w:r>
          </w:p>
        </w:tc>
        <w:tc>
          <w:tcPr>
            <w:tcW w:w="421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center"/>
              <w:textAlignment w:val="center"/>
              <w:rPr>
                <w:rFonts w:eastAsia="黑体"/>
                <w:bCs/>
                <w:spacing w:val="-11"/>
                <w:sz w:val="28"/>
                <w:szCs w:val="28"/>
              </w:rPr>
            </w:pPr>
            <w:r>
              <w:rPr>
                <w:rFonts w:eastAsia="黑体"/>
                <w:bCs/>
                <w:spacing w:val="-11"/>
                <w:kern w:val="0"/>
                <w:sz w:val="28"/>
                <w:szCs w:val="28"/>
                <w:lang w:bidi="ar-SA"/>
              </w:rPr>
              <w:t>事项名称</w:t>
            </w:r>
          </w:p>
        </w:tc>
        <w:tc>
          <w:tcPr>
            <w:tcW w:w="239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center"/>
              <w:textAlignment w:val="center"/>
              <w:rPr>
                <w:rFonts w:eastAsia="黑体"/>
                <w:bCs/>
                <w:spacing w:val="-11"/>
                <w:sz w:val="28"/>
                <w:szCs w:val="28"/>
              </w:rPr>
            </w:pPr>
            <w:r>
              <w:rPr>
                <w:rFonts w:eastAsia="黑体"/>
                <w:bCs/>
                <w:spacing w:val="-11"/>
                <w:kern w:val="0"/>
                <w:sz w:val="28"/>
                <w:szCs w:val="28"/>
                <w:lang w:bidi="ar-SA"/>
              </w:rPr>
              <w:t>赋权范围</w:t>
            </w:r>
          </w:p>
        </w:tc>
      </w:tr>
      <w:tr>
        <w:trPr>
          <w:trHeight w:val="209"/>
        </w:trPr>
        <w:tc>
          <w:tcPr>
            <w:tcW w:w="9280" w:type="dxa"/>
            <w:gridSpan w:val="4"/>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left"/>
              <w:textAlignment w:val="center"/>
              <w:rPr>
                <w:rFonts w:eastAsia="仿宋_GB2312"/>
                <w:b/>
                <w:spacing w:val="-11"/>
                <w:sz w:val="28"/>
                <w:szCs w:val="28"/>
              </w:rPr>
            </w:pPr>
            <w:r>
              <w:rPr>
                <w:rFonts w:eastAsia="仿宋_GB2312"/>
                <w:b/>
                <w:spacing w:val="-11"/>
                <w:kern w:val="0"/>
                <w:sz w:val="28"/>
                <w:szCs w:val="28"/>
                <w:lang w:bidi="ar-SA"/>
              </w:rPr>
              <w:t>一、自然资源（共4项）</w:t>
            </w:r>
          </w:p>
        </w:tc>
      </w:tr>
      <w:tr>
        <w:trPr>
          <w:trHeight w:val="798"/>
        </w:trPr>
        <w:tc>
          <w:tcPr>
            <w:tcW w:w="73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20" w:lineRule="exact"/>
              <w:jc w:val="center"/>
              <w:textAlignment w:val="center"/>
              <w:rPr>
                <w:rFonts w:eastAsia="仿宋_GB2312"/>
                <w:spacing w:val="-11"/>
                <w:sz w:val="28"/>
                <w:szCs w:val="28"/>
              </w:rPr>
            </w:pPr>
            <w:r>
              <w:rPr>
                <w:rFonts w:eastAsia="仿宋_GB2312"/>
                <w:spacing w:val="-11"/>
                <w:kern w:val="0"/>
                <w:sz w:val="28"/>
                <w:szCs w:val="28"/>
                <w:lang w:bidi="ar-SA"/>
              </w:rPr>
              <w:t>1</w:t>
            </w:r>
          </w:p>
        </w:tc>
        <w:tc>
          <w:tcPr>
            <w:tcW w:w="193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20" w:lineRule="exact"/>
              <w:jc w:val="center"/>
              <w:textAlignment w:val="center"/>
              <w:rPr>
                <w:rFonts w:eastAsia="仿宋_GB2312"/>
                <w:spacing w:val="-11"/>
                <w:sz w:val="28"/>
                <w:szCs w:val="28"/>
              </w:rPr>
            </w:pPr>
            <w:r>
              <w:rPr>
                <w:rFonts w:eastAsia="仿宋_GB2312"/>
                <w:spacing w:val="-11"/>
                <w:kern w:val="0"/>
                <w:sz w:val="28"/>
                <w:szCs w:val="28"/>
                <w:lang w:bidi="ar-SA"/>
              </w:rPr>
              <w:t>330215069000</w:t>
            </w:r>
          </w:p>
        </w:tc>
        <w:tc>
          <w:tcPr>
            <w:tcW w:w="421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20" w:lineRule="exact"/>
              <w:textAlignment w:val="center"/>
              <w:rPr>
                <w:rFonts w:eastAsia="仿宋_GB2312"/>
                <w:spacing w:val="-11"/>
                <w:sz w:val="28"/>
                <w:szCs w:val="28"/>
              </w:rPr>
            </w:pPr>
            <w:r>
              <w:rPr>
                <w:rFonts w:eastAsia="仿宋_GB2312"/>
                <w:spacing w:val="-11"/>
                <w:kern w:val="0"/>
                <w:sz w:val="28"/>
                <w:szCs w:val="28"/>
                <w:lang w:bidi="ar-SA"/>
              </w:rPr>
              <w:t>对在燃气设施保护范围内建设占压地下燃气管线的建筑物、构筑物或者其他设施的行政处罚</w:t>
            </w:r>
          </w:p>
        </w:tc>
        <w:tc>
          <w:tcPr>
            <w:tcW w:w="239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20" w:lineRule="exact"/>
              <w:jc w:val="center"/>
              <w:textAlignment w:val="center"/>
              <w:rPr>
                <w:rFonts w:eastAsia="仿宋_GB2312"/>
                <w:spacing w:val="-11"/>
                <w:sz w:val="28"/>
                <w:szCs w:val="28"/>
              </w:rPr>
            </w:pPr>
            <w:r>
              <w:rPr>
                <w:rFonts w:eastAsia="仿宋_GB2312"/>
                <w:spacing w:val="-11"/>
                <w:kern w:val="0"/>
                <w:sz w:val="28"/>
                <w:szCs w:val="28"/>
                <w:lang w:bidi="ar-SA"/>
              </w:rPr>
              <w:t>部分（没收较大数额违法所得除外）</w:t>
            </w:r>
          </w:p>
        </w:tc>
      </w:tr>
      <w:tr>
        <w:trPr>
          <w:trHeight w:val="602"/>
        </w:trPr>
        <w:tc>
          <w:tcPr>
            <w:tcW w:w="73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20" w:lineRule="exact"/>
              <w:jc w:val="center"/>
              <w:textAlignment w:val="center"/>
              <w:rPr>
                <w:rFonts w:eastAsia="仿宋_GB2312"/>
                <w:spacing w:val="-11"/>
                <w:sz w:val="28"/>
                <w:szCs w:val="28"/>
              </w:rPr>
            </w:pPr>
            <w:r>
              <w:rPr>
                <w:rFonts w:eastAsia="仿宋_GB2312"/>
                <w:spacing w:val="-11"/>
                <w:sz w:val="28"/>
                <w:szCs w:val="28"/>
              </w:rPr>
              <w:t>2</w:t>
            </w:r>
          </w:p>
        </w:tc>
        <w:tc>
          <w:tcPr>
            <w:tcW w:w="193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20" w:lineRule="exact"/>
              <w:jc w:val="center"/>
              <w:textAlignment w:val="center"/>
              <w:rPr>
                <w:rFonts w:eastAsia="仿宋_GB2312"/>
                <w:spacing w:val="-11"/>
                <w:sz w:val="28"/>
                <w:szCs w:val="28"/>
              </w:rPr>
            </w:pPr>
            <w:r>
              <w:rPr>
                <w:rFonts w:eastAsia="仿宋_GB2312"/>
                <w:spacing w:val="-11"/>
                <w:kern w:val="0"/>
                <w:sz w:val="28"/>
                <w:szCs w:val="28"/>
                <w:lang w:bidi="ar-SA"/>
              </w:rPr>
              <w:t>330215073000</w:t>
            </w:r>
          </w:p>
        </w:tc>
        <w:tc>
          <w:tcPr>
            <w:tcW w:w="421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20" w:lineRule="exact"/>
              <w:textAlignment w:val="center"/>
              <w:rPr>
                <w:rFonts w:eastAsia="仿宋_GB2312"/>
                <w:spacing w:val="-11"/>
                <w:sz w:val="28"/>
                <w:szCs w:val="28"/>
              </w:rPr>
            </w:pPr>
            <w:r>
              <w:rPr>
                <w:rFonts w:eastAsia="仿宋_GB2312"/>
                <w:spacing w:val="-11"/>
                <w:kern w:val="0"/>
                <w:sz w:val="28"/>
                <w:szCs w:val="28"/>
                <w:lang w:bidi="ar-SA"/>
              </w:rPr>
              <w:t>对房屋使用人擅自改变建设工程规划许可证确定的房屋用途的行政处罚</w:t>
            </w:r>
          </w:p>
        </w:tc>
        <w:tc>
          <w:tcPr>
            <w:tcW w:w="239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20" w:lineRule="exact"/>
              <w:jc w:val="center"/>
              <w:textAlignment w:val="center"/>
              <w:rPr>
                <w:rFonts w:eastAsia="仿宋_GB2312"/>
                <w:spacing w:val="-11"/>
                <w:sz w:val="28"/>
                <w:szCs w:val="28"/>
              </w:rPr>
            </w:pPr>
            <w:r>
              <w:rPr>
                <w:rFonts w:eastAsia="仿宋_GB2312"/>
                <w:spacing w:val="-11"/>
                <w:kern w:val="0"/>
                <w:sz w:val="28"/>
                <w:szCs w:val="28"/>
                <w:lang w:bidi="ar-SA"/>
              </w:rPr>
              <w:t>部分（没收较大数额违法所得除外）</w:t>
            </w:r>
          </w:p>
        </w:tc>
      </w:tr>
      <w:tr>
        <w:trPr>
          <w:trHeight w:val="602"/>
        </w:trPr>
        <w:tc>
          <w:tcPr>
            <w:tcW w:w="73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20" w:lineRule="exact"/>
              <w:jc w:val="center"/>
              <w:textAlignment w:val="center"/>
              <w:rPr>
                <w:rFonts w:eastAsia="仿宋_GB2312"/>
                <w:spacing w:val="-11"/>
                <w:sz w:val="28"/>
                <w:szCs w:val="28"/>
              </w:rPr>
            </w:pPr>
            <w:r>
              <w:rPr>
                <w:rFonts w:eastAsia="仿宋_GB2312"/>
                <w:spacing w:val="-11"/>
                <w:sz w:val="28"/>
                <w:szCs w:val="28"/>
              </w:rPr>
              <w:t>3</w:t>
            </w:r>
          </w:p>
        </w:tc>
        <w:tc>
          <w:tcPr>
            <w:tcW w:w="193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20" w:lineRule="exact"/>
              <w:jc w:val="center"/>
              <w:textAlignment w:val="center"/>
              <w:rPr>
                <w:rFonts w:eastAsia="仿宋_GB2312"/>
                <w:spacing w:val="-11"/>
                <w:sz w:val="28"/>
                <w:szCs w:val="28"/>
              </w:rPr>
            </w:pPr>
            <w:r>
              <w:rPr>
                <w:rFonts w:eastAsia="仿宋_GB2312"/>
                <w:spacing w:val="-11"/>
                <w:kern w:val="0"/>
                <w:sz w:val="28"/>
                <w:szCs w:val="28"/>
                <w:lang w:bidi="ar-SA"/>
              </w:rPr>
              <w:t>330215067000</w:t>
            </w:r>
          </w:p>
        </w:tc>
        <w:tc>
          <w:tcPr>
            <w:tcW w:w="421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20" w:lineRule="exact"/>
              <w:textAlignment w:val="center"/>
              <w:rPr>
                <w:rFonts w:eastAsia="仿宋_GB2312"/>
                <w:spacing w:val="-11"/>
                <w:sz w:val="28"/>
                <w:szCs w:val="28"/>
              </w:rPr>
            </w:pPr>
            <w:r>
              <w:rPr>
                <w:rFonts w:eastAsia="仿宋_GB2312"/>
                <w:spacing w:val="-11"/>
                <w:kern w:val="0"/>
                <w:sz w:val="28"/>
                <w:szCs w:val="28"/>
                <w:lang w:bidi="ar-SA"/>
              </w:rPr>
              <w:t>对建设单位或者个人改变临时规划许可确定的建筑用途的行政处罚</w:t>
            </w:r>
          </w:p>
        </w:tc>
        <w:tc>
          <w:tcPr>
            <w:tcW w:w="239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20" w:lineRule="exact"/>
              <w:jc w:val="center"/>
              <w:textAlignment w:val="center"/>
              <w:rPr>
                <w:rFonts w:eastAsia="仿宋_GB2312"/>
                <w:spacing w:val="-11"/>
                <w:sz w:val="28"/>
                <w:szCs w:val="28"/>
              </w:rPr>
            </w:pPr>
            <w:r>
              <w:rPr>
                <w:rFonts w:eastAsia="仿宋_GB2312"/>
                <w:spacing w:val="-11"/>
                <w:kern w:val="0"/>
                <w:sz w:val="28"/>
                <w:szCs w:val="28"/>
                <w:lang w:bidi="ar-SA"/>
              </w:rPr>
              <w:t>全部</w:t>
            </w:r>
          </w:p>
        </w:tc>
      </w:tr>
      <w:tr>
        <w:trPr>
          <w:trHeight w:val="798"/>
        </w:trPr>
        <w:tc>
          <w:tcPr>
            <w:tcW w:w="73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20" w:lineRule="exact"/>
              <w:jc w:val="center"/>
              <w:textAlignment w:val="center"/>
              <w:rPr>
                <w:rFonts w:eastAsia="仿宋_GB2312"/>
                <w:spacing w:val="-11"/>
                <w:sz w:val="28"/>
                <w:szCs w:val="28"/>
              </w:rPr>
            </w:pPr>
            <w:r>
              <w:rPr>
                <w:rFonts w:eastAsia="仿宋_GB2312"/>
                <w:spacing w:val="-11"/>
                <w:sz w:val="28"/>
                <w:szCs w:val="28"/>
              </w:rPr>
              <w:t>4</w:t>
            </w:r>
          </w:p>
        </w:tc>
        <w:tc>
          <w:tcPr>
            <w:tcW w:w="193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20" w:lineRule="exact"/>
              <w:jc w:val="center"/>
              <w:textAlignment w:val="center"/>
              <w:rPr>
                <w:rFonts w:eastAsia="仿宋_GB2312"/>
                <w:spacing w:val="-11"/>
                <w:sz w:val="28"/>
                <w:szCs w:val="28"/>
              </w:rPr>
            </w:pPr>
            <w:r>
              <w:rPr>
                <w:rFonts w:eastAsia="仿宋_GB2312"/>
                <w:spacing w:val="-11"/>
                <w:kern w:val="0"/>
                <w:sz w:val="28"/>
                <w:szCs w:val="28"/>
                <w:lang w:bidi="ar-SA"/>
              </w:rPr>
              <w:t>330215068000</w:t>
            </w:r>
          </w:p>
        </w:tc>
        <w:tc>
          <w:tcPr>
            <w:tcW w:w="421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20" w:lineRule="exact"/>
              <w:textAlignment w:val="center"/>
              <w:rPr>
                <w:rFonts w:eastAsia="仿宋_GB2312"/>
                <w:spacing w:val="-11"/>
                <w:sz w:val="28"/>
                <w:szCs w:val="28"/>
              </w:rPr>
            </w:pPr>
            <w:r>
              <w:rPr>
                <w:rFonts w:eastAsia="仿宋_GB2312"/>
                <w:spacing w:val="-11"/>
                <w:kern w:val="0"/>
                <w:sz w:val="28"/>
                <w:szCs w:val="28"/>
                <w:lang w:bidi="ar-SA"/>
              </w:rPr>
              <w:t>对建设工程设计、施工单位违规承揽明知是违法建筑的项目设计或者施工作业的行政处罚</w:t>
            </w:r>
          </w:p>
        </w:tc>
        <w:tc>
          <w:tcPr>
            <w:tcW w:w="239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20" w:lineRule="exact"/>
              <w:jc w:val="center"/>
              <w:textAlignment w:val="center"/>
              <w:rPr>
                <w:rFonts w:eastAsia="仿宋_GB2312"/>
                <w:spacing w:val="-11"/>
                <w:sz w:val="28"/>
                <w:szCs w:val="28"/>
              </w:rPr>
            </w:pPr>
            <w:r>
              <w:rPr>
                <w:rFonts w:eastAsia="仿宋_GB2312"/>
                <w:spacing w:val="-11"/>
                <w:kern w:val="0"/>
                <w:sz w:val="28"/>
                <w:szCs w:val="28"/>
                <w:lang w:bidi="ar-SA"/>
              </w:rPr>
              <w:t>部分（没收较大数额违法所得除外）</w:t>
            </w:r>
          </w:p>
        </w:tc>
      </w:tr>
      <w:tr>
        <w:trPr>
          <w:trHeight w:val="209"/>
        </w:trPr>
        <w:tc>
          <w:tcPr>
            <w:tcW w:w="9280" w:type="dxa"/>
            <w:gridSpan w:val="4"/>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left"/>
              <w:textAlignment w:val="center"/>
              <w:rPr>
                <w:rFonts w:eastAsia="仿宋_GB2312"/>
                <w:b/>
                <w:spacing w:val="-11"/>
                <w:sz w:val="28"/>
                <w:szCs w:val="28"/>
              </w:rPr>
            </w:pPr>
            <w:r>
              <w:rPr>
                <w:rFonts w:eastAsia="仿宋_GB2312"/>
                <w:b/>
                <w:spacing w:val="-11"/>
                <w:kern w:val="0"/>
                <w:sz w:val="28"/>
                <w:szCs w:val="28"/>
                <w:lang w:bidi="ar-SA"/>
              </w:rPr>
              <w:t>二、农业农村（共1项）</w:t>
            </w:r>
          </w:p>
        </w:tc>
      </w:tr>
      <w:tr>
        <w:trPr>
          <w:trHeight w:val="995"/>
        </w:trPr>
        <w:tc>
          <w:tcPr>
            <w:tcW w:w="73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1</w:t>
            </w:r>
          </w:p>
        </w:tc>
        <w:tc>
          <w:tcPr>
            <w:tcW w:w="193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330220049000</w:t>
            </w:r>
          </w:p>
        </w:tc>
        <w:tc>
          <w:tcPr>
            <w:tcW w:w="421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textAlignment w:val="center"/>
              <w:rPr>
                <w:rFonts w:eastAsia="仿宋_GB2312"/>
                <w:spacing w:val="-11"/>
                <w:sz w:val="28"/>
                <w:szCs w:val="28"/>
              </w:rPr>
            </w:pPr>
            <w:r>
              <w:rPr>
                <w:rFonts w:eastAsia="仿宋_GB2312"/>
                <w:spacing w:val="-11"/>
                <w:kern w:val="0"/>
                <w:sz w:val="28"/>
                <w:szCs w:val="28"/>
                <w:lang w:bidi="ar-SA"/>
              </w:rPr>
              <w:t>对在实行城市市容和环境卫生管理的区域外，随意倾倒或者堆放生活垃圾、餐厨垃圾、建筑垃圾等废弃物或者废旧物品的行政处罚</w:t>
            </w:r>
          </w:p>
        </w:tc>
        <w:tc>
          <w:tcPr>
            <w:tcW w:w="239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全部</w:t>
            </w:r>
          </w:p>
        </w:tc>
      </w:tr>
      <w:tr>
        <w:trPr>
          <w:trHeight w:val="209"/>
        </w:trPr>
        <w:tc>
          <w:tcPr>
            <w:tcW w:w="9280" w:type="dxa"/>
            <w:gridSpan w:val="4"/>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left"/>
              <w:textAlignment w:val="center"/>
              <w:rPr>
                <w:rFonts w:eastAsia="仿宋_GB2312"/>
                <w:b/>
                <w:spacing w:val="-11"/>
                <w:sz w:val="28"/>
                <w:szCs w:val="28"/>
              </w:rPr>
            </w:pPr>
            <w:r>
              <w:rPr>
                <w:rFonts w:eastAsia="仿宋_GB2312"/>
                <w:b/>
                <w:spacing w:val="-11"/>
                <w:kern w:val="0"/>
                <w:sz w:val="28"/>
                <w:szCs w:val="28"/>
                <w:lang w:bidi="ar-SA"/>
              </w:rPr>
              <w:t>三、建设（共6项）</w:t>
            </w:r>
          </w:p>
        </w:tc>
      </w:tr>
      <w:tr>
        <w:trPr>
          <w:trHeight w:val="406"/>
        </w:trPr>
        <w:tc>
          <w:tcPr>
            <w:tcW w:w="73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1</w:t>
            </w:r>
          </w:p>
        </w:tc>
        <w:tc>
          <w:tcPr>
            <w:tcW w:w="193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 xml:space="preserve">330217216000 </w:t>
            </w:r>
          </w:p>
        </w:tc>
        <w:tc>
          <w:tcPr>
            <w:tcW w:w="421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textAlignment w:val="center"/>
              <w:rPr>
                <w:rFonts w:eastAsia="仿宋_GB2312"/>
                <w:spacing w:val="-11"/>
                <w:sz w:val="28"/>
                <w:szCs w:val="28"/>
              </w:rPr>
            </w:pPr>
            <w:r>
              <w:rPr>
                <w:rFonts w:eastAsia="仿宋_GB2312"/>
                <w:spacing w:val="-11"/>
                <w:kern w:val="0"/>
                <w:sz w:val="28"/>
                <w:szCs w:val="28"/>
                <w:lang w:bidi="ar-SA"/>
              </w:rPr>
              <w:t>对单位和个人未按规定分类投放生活垃圾的行政处罚</w:t>
            </w:r>
          </w:p>
        </w:tc>
        <w:tc>
          <w:tcPr>
            <w:tcW w:w="239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全部</w:t>
            </w:r>
          </w:p>
        </w:tc>
      </w:tr>
      <w:tr>
        <w:trPr>
          <w:trHeight w:val="602"/>
        </w:trPr>
        <w:tc>
          <w:tcPr>
            <w:tcW w:w="73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2</w:t>
            </w:r>
          </w:p>
        </w:tc>
        <w:tc>
          <w:tcPr>
            <w:tcW w:w="193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330217F62003</w:t>
            </w:r>
          </w:p>
        </w:tc>
        <w:tc>
          <w:tcPr>
            <w:tcW w:w="421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textAlignment w:val="center"/>
              <w:rPr>
                <w:rFonts w:eastAsia="仿宋_GB2312"/>
                <w:spacing w:val="-11"/>
                <w:sz w:val="28"/>
                <w:szCs w:val="28"/>
              </w:rPr>
            </w:pPr>
            <w:r>
              <w:rPr>
                <w:rFonts w:eastAsia="仿宋_GB2312"/>
                <w:spacing w:val="-11"/>
                <w:kern w:val="0"/>
                <w:sz w:val="28"/>
                <w:szCs w:val="28"/>
                <w:lang w:bidi="ar-SA"/>
              </w:rPr>
              <w:t>(金华)对未自备垃圾分类收集容器，未能保持摊架、摊棚和地面清洁的行政处罚</w:t>
            </w:r>
          </w:p>
        </w:tc>
        <w:tc>
          <w:tcPr>
            <w:tcW w:w="239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全部</w:t>
            </w:r>
          </w:p>
        </w:tc>
      </w:tr>
      <w:tr>
        <w:trPr>
          <w:trHeight w:val="406"/>
        </w:trPr>
        <w:tc>
          <w:tcPr>
            <w:tcW w:w="73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sz w:val="28"/>
                <w:szCs w:val="28"/>
              </w:rPr>
              <w:t>3</w:t>
            </w:r>
          </w:p>
        </w:tc>
        <w:tc>
          <w:tcPr>
            <w:tcW w:w="193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 xml:space="preserve">330217197006 </w:t>
            </w:r>
          </w:p>
        </w:tc>
        <w:tc>
          <w:tcPr>
            <w:tcW w:w="421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textAlignment w:val="center"/>
              <w:rPr>
                <w:rFonts w:eastAsia="仿宋_GB2312"/>
                <w:spacing w:val="-11"/>
                <w:sz w:val="28"/>
                <w:szCs w:val="28"/>
              </w:rPr>
            </w:pPr>
            <w:r>
              <w:rPr>
                <w:rFonts w:eastAsia="仿宋_GB2312"/>
                <w:spacing w:val="-11"/>
                <w:kern w:val="0"/>
                <w:sz w:val="28"/>
                <w:szCs w:val="28"/>
                <w:lang w:bidi="ar-SA"/>
              </w:rPr>
              <w:t>对乱倒生活垃圾、污水、粪便的行政处罚</w:t>
            </w:r>
          </w:p>
        </w:tc>
        <w:tc>
          <w:tcPr>
            <w:tcW w:w="239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全部</w:t>
            </w:r>
          </w:p>
        </w:tc>
      </w:tr>
      <w:tr>
        <w:trPr>
          <w:trHeight w:val="602"/>
        </w:trPr>
        <w:tc>
          <w:tcPr>
            <w:tcW w:w="73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sz w:val="28"/>
                <w:szCs w:val="28"/>
              </w:rPr>
              <w:t>4</w:t>
            </w:r>
          </w:p>
        </w:tc>
        <w:tc>
          <w:tcPr>
            <w:tcW w:w="193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 xml:space="preserve">330217197005 </w:t>
            </w:r>
          </w:p>
        </w:tc>
        <w:tc>
          <w:tcPr>
            <w:tcW w:w="421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textAlignment w:val="center"/>
              <w:rPr>
                <w:rFonts w:eastAsia="仿宋_GB2312"/>
                <w:spacing w:val="-11"/>
                <w:sz w:val="28"/>
                <w:szCs w:val="28"/>
              </w:rPr>
            </w:pPr>
            <w:r>
              <w:rPr>
                <w:rFonts w:eastAsia="仿宋_GB2312"/>
                <w:spacing w:val="-11"/>
                <w:kern w:val="0"/>
                <w:sz w:val="28"/>
                <w:szCs w:val="28"/>
                <w:lang w:bidi="ar-SA"/>
              </w:rPr>
              <w:t>对乱扔果皮、纸屑、烟蒂、饮料罐、口香糖、塑料袋等废弃物的行政处罚</w:t>
            </w:r>
          </w:p>
        </w:tc>
        <w:tc>
          <w:tcPr>
            <w:tcW w:w="239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全部</w:t>
            </w:r>
          </w:p>
        </w:tc>
      </w:tr>
      <w:tr>
        <w:trPr>
          <w:trHeight w:val="602"/>
        </w:trPr>
        <w:tc>
          <w:tcPr>
            <w:tcW w:w="73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sz w:val="28"/>
                <w:szCs w:val="28"/>
              </w:rPr>
              <w:t>5</w:t>
            </w:r>
          </w:p>
        </w:tc>
        <w:tc>
          <w:tcPr>
            <w:tcW w:w="193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 xml:space="preserve">330217168000 </w:t>
            </w:r>
          </w:p>
        </w:tc>
        <w:tc>
          <w:tcPr>
            <w:tcW w:w="421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textAlignment w:val="center"/>
              <w:rPr>
                <w:rFonts w:eastAsia="仿宋_GB2312"/>
                <w:spacing w:val="-11"/>
                <w:sz w:val="28"/>
                <w:szCs w:val="28"/>
              </w:rPr>
            </w:pPr>
            <w:r>
              <w:rPr>
                <w:rFonts w:eastAsia="仿宋_GB2312"/>
                <w:spacing w:val="-11"/>
                <w:kern w:val="0"/>
                <w:sz w:val="28"/>
                <w:szCs w:val="28"/>
                <w:lang w:bidi="ar-SA"/>
              </w:rPr>
              <w:t>对生活垃圾分类投放管理责任人未履行生活垃圾分类投放管理责任的行政处罚</w:t>
            </w:r>
          </w:p>
        </w:tc>
        <w:tc>
          <w:tcPr>
            <w:tcW w:w="239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全部</w:t>
            </w:r>
          </w:p>
        </w:tc>
      </w:tr>
      <w:tr>
        <w:trPr>
          <w:trHeight w:val="602"/>
        </w:trPr>
        <w:tc>
          <w:tcPr>
            <w:tcW w:w="73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sz w:val="28"/>
                <w:szCs w:val="28"/>
              </w:rPr>
              <w:t>6</w:t>
            </w:r>
          </w:p>
        </w:tc>
        <w:tc>
          <w:tcPr>
            <w:tcW w:w="193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 xml:space="preserve">330217267000 </w:t>
            </w:r>
          </w:p>
        </w:tc>
        <w:tc>
          <w:tcPr>
            <w:tcW w:w="421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textAlignment w:val="center"/>
              <w:rPr>
                <w:rFonts w:eastAsia="仿宋_GB2312"/>
                <w:spacing w:val="-11"/>
                <w:sz w:val="28"/>
                <w:szCs w:val="28"/>
              </w:rPr>
            </w:pPr>
            <w:r>
              <w:rPr>
                <w:rFonts w:eastAsia="仿宋_GB2312"/>
                <w:spacing w:val="-11"/>
                <w:kern w:val="0"/>
                <w:sz w:val="28"/>
                <w:szCs w:val="28"/>
                <w:lang w:bidi="ar-SA"/>
              </w:rPr>
              <w:t>对生活垃圾收集、运输单位对分类投放的生活垃圾混合收集、运输的行政处罚</w:t>
            </w:r>
          </w:p>
        </w:tc>
        <w:tc>
          <w:tcPr>
            <w:tcW w:w="239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全部</w:t>
            </w:r>
          </w:p>
        </w:tc>
      </w:tr>
      <w:tr>
        <w:trPr>
          <w:trHeight w:val="209"/>
        </w:trPr>
        <w:tc>
          <w:tcPr>
            <w:tcW w:w="9280" w:type="dxa"/>
            <w:gridSpan w:val="4"/>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left"/>
              <w:textAlignment w:val="center"/>
              <w:rPr>
                <w:rFonts w:eastAsia="仿宋_GB2312"/>
                <w:b/>
                <w:spacing w:val="-11"/>
                <w:sz w:val="28"/>
                <w:szCs w:val="28"/>
              </w:rPr>
            </w:pPr>
            <w:r>
              <w:rPr>
                <w:rFonts w:eastAsia="仿宋_GB2312"/>
                <w:b/>
                <w:spacing w:val="-11"/>
                <w:kern w:val="0"/>
                <w:sz w:val="28"/>
                <w:szCs w:val="28"/>
                <w:lang w:bidi="ar-SA"/>
              </w:rPr>
              <w:t>四、生态环境（共2项）</w:t>
            </w:r>
          </w:p>
        </w:tc>
      </w:tr>
      <w:tr>
        <w:trPr>
          <w:trHeight w:val="406"/>
        </w:trPr>
        <w:tc>
          <w:tcPr>
            <w:tcW w:w="73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1</w:t>
            </w:r>
          </w:p>
        </w:tc>
        <w:tc>
          <w:tcPr>
            <w:tcW w:w="193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330216277002</w:t>
            </w:r>
          </w:p>
        </w:tc>
        <w:tc>
          <w:tcPr>
            <w:tcW w:w="421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textAlignment w:val="center"/>
              <w:rPr>
                <w:rFonts w:eastAsia="仿宋_GB2312"/>
                <w:spacing w:val="-11"/>
                <w:sz w:val="28"/>
                <w:szCs w:val="28"/>
              </w:rPr>
            </w:pPr>
            <w:r>
              <w:rPr>
                <w:rFonts w:eastAsia="仿宋_GB2312"/>
                <w:spacing w:val="-11"/>
                <w:kern w:val="0"/>
                <w:sz w:val="28"/>
                <w:szCs w:val="28"/>
                <w:lang w:bidi="ar-SA"/>
              </w:rPr>
              <w:t>对露天焚烧秸秆、落叶等产生烟尘污染物质的行政处罚</w:t>
            </w:r>
          </w:p>
        </w:tc>
        <w:tc>
          <w:tcPr>
            <w:tcW w:w="239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全部</w:t>
            </w:r>
          </w:p>
        </w:tc>
      </w:tr>
      <w:tr>
        <w:trPr>
          <w:trHeight w:val="798"/>
        </w:trPr>
        <w:tc>
          <w:tcPr>
            <w:tcW w:w="73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2</w:t>
            </w:r>
          </w:p>
        </w:tc>
        <w:tc>
          <w:tcPr>
            <w:tcW w:w="193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330216282000</w:t>
            </w:r>
          </w:p>
        </w:tc>
        <w:tc>
          <w:tcPr>
            <w:tcW w:w="421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textAlignment w:val="center"/>
              <w:rPr>
                <w:rFonts w:eastAsia="仿宋_GB2312"/>
                <w:spacing w:val="-11"/>
                <w:sz w:val="28"/>
                <w:szCs w:val="28"/>
              </w:rPr>
            </w:pPr>
            <w:r>
              <w:rPr>
                <w:rFonts w:eastAsia="仿宋_GB2312"/>
                <w:spacing w:val="-11"/>
                <w:kern w:val="0"/>
                <w:sz w:val="28"/>
                <w:szCs w:val="28"/>
                <w:lang w:bidi="ar-SA"/>
              </w:rPr>
              <w:t>对违法在人口集中和其他需特殊保护区域焚烧产生有毒有害烟尘和恶臭气体的行政处罚</w:t>
            </w:r>
          </w:p>
        </w:tc>
        <w:tc>
          <w:tcPr>
            <w:tcW w:w="239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全部</w:t>
            </w:r>
          </w:p>
        </w:tc>
      </w:tr>
      <w:tr>
        <w:trPr>
          <w:trHeight w:val="209"/>
        </w:trPr>
        <w:tc>
          <w:tcPr>
            <w:tcW w:w="9280" w:type="dxa"/>
            <w:gridSpan w:val="4"/>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left"/>
              <w:textAlignment w:val="center"/>
              <w:rPr>
                <w:rFonts w:eastAsia="仿宋_GB2312"/>
                <w:b/>
                <w:spacing w:val="-11"/>
                <w:sz w:val="28"/>
                <w:szCs w:val="28"/>
              </w:rPr>
            </w:pPr>
            <w:r>
              <w:rPr>
                <w:rFonts w:eastAsia="仿宋_GB2312"/>
                <w:b/>
                <w:spacing w:val="-11"/>
                <w:kern w:val="0"/>
                <w:sz w:val="28"/>
                <w:szCs w:val="28"/>
                <w:lang w:bidi="ar-SA"/>
              </w:rPr>
              <w:t>五、消防救援（共5项）</w:t>
            </w:r>
          </w:p>
        </w:tc>
      </w:tr>
      <w:tr>
        <w:trPr>
          <w:trHeight w:val="602"/>
        </w:trPr>
        <w:tc>
          <w:tcPr>
            <w:tcW w:w="73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380" w:lineRule="exact"/>
              <w:jc w:val="center"/>
              <w:textAlignment w:val="center"/>
              <w:rPr>
                <w:rFonts w:eastAsia="仿宋_GB2312"/>
                <w:spacing w:val="-11"/>
                <w:sz w:val="28"/>
                <w:szCs w:val="28"/>
              </w:rPr>
            </w:pPr>
            <w:r>
              <w:rPr>
                <w:rFonts w:eastAsia="仿宋_GB2312"/>
                <w:spacing w:val="-11"/>
                <w:kern w:val="0"/>
                <w:sz w:val="28"/>
                <w:szCs w:val="28"/>
                <w:lang w:bidi="ar-SA"/>
              </w:rPr>
              <w:t>1</w:t>
            </w:r>
          </w:p>
        </w:tc>
        <w:tc>
          <w:tcPr>
            <w:tcW w:w="193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 xml:space="preserve">330295022001 </w:t>
            </w:r>
          </w:p>
        </w:tc>
        <w:tc>
          <w:tcPr>
            <w:tcW w:w="421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textAlignment w:val="center"/>
              <w:rPr>
                <w:rFonts w:eastAsia="仿宋_GB2312"/>
                <w:spacing w:val="-11"/>
                <w:sz w:val="28"/>
                <w:szCs w:val="28"/>
              </w:rPr>
            </w:pPr>
            <w:r>
              <w:rPr>
                <w:rFonts w:eastAsia="仿宋_GB2312"/>
                <w:spacing w:val="-11"/>
                <w:kern w:val="0"/>
                <w:sz w:val="28"/>
                <w:szCs w:val="28"/>
                <w:lang w:bidi="ar-SA"/>
              </w:rPr>
              <w:t>对占用、堵塞、封闭消防车通道的行政处罚</w:t>
            </w:r>
          </w:p>
        </w:tc>
        <w:tc>
          <w:tcPr>
            <w:tcW w:w="239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部分（划转对占用、堵塞、封闭城市道路上的消防车通道的行政处罚事项）</w:t>
            </w:r>
          </w:p>
        </w:tc>
      </w:tr>
      <w:tr>
        <w:trPr>
          <w:trHeight w:val="798"/>
        </w:trPr>
        <w:tc>
          <w:tcPr>
            <w:tcW w:w="73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380" w:lineRule="exact"/>
              <w:jc w:val="center"/>
              <w:textAlignment w:val="center"/>
              <w:rPr>
                <w:rFonts w:eastAsia="仿宋_GB2312"/>
                <w:spacing w:val="-11"/>
                <w:sz w:val="28"/>
                <w:szCs w:val="28"/>
              </w:rPr>
            </w:pPr>
            <w:r>
              <w:rPr>
                <w:rFonts w:eastAsia="仿宋_GB2312"/>
                <w:spacing w:val="-11"/>
                <w:kern w:val="0"/>
                <w:sz w:val="28"/>
                <w:szCs w:val="28"/>
                <w:lang w:bidi="ar-SA"/>
              </w:rPr>
              <w:t>2</w:t>
            </w:r>
          </w:p>
        </w:tc>
        <w:tc>
          <w:tcPr>
            <w:tcW w:w="193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 xml:space="preserve">330295024001 </w:t>
            </w:r>
          </w:p>
        </w:tc>
        <w:tc>
          <w:tcPr>
            <w:tcW w:w="421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textAlignment w:val="center"/>
              <w:rPr>
                <w:rFonts w:eastAsia="仿宋_GB2312"/>
                <w:spacing w:val="-11"/>
                <w:sz w:val="28"/>
                <w:szCs w:val="28"/>
              </w:rPr>
            </w:pPr>
            <w:r>
              <w:rPr>
                <w:rFonts w:eastAsia="仿宋_GB2312"/>
                <w:spacing w:val="-11"/>
                <w:kern w:val="0"/>
                <w:sz w:val="28"/>
                <w:szCs w:val="28"/>
                <w:lang w:bidi="ar-SA"/>
              </w:rPr>
              <w:t>对门窗设置影响逃生、灭火救援的障碍物的行政处罚</w:t>
            </w:r>
          </w:p>
        </w:tc>
        <w:tc>
          <w:tcPr>
            <w:tcW w:w="239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部分（划转对沿城市道路的人员密集场所门窗设置影响逃生、灭火救援的障碍物的行政处罚事项）</w:t>
            </w:r>
          </w:p>
        </w:tc>
      </w:tr>
      <w:tr>
        <w:trPr>
          <w:trHeight w:val="630"/>
        </w:trPr>
        <w:tc>
          <w:tcPr>
            <w:tcW w:w="73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380" w:lineRule="exact"/>
              <w:jc w:val="center"/>
              <w:textAlignment w:val="center"/>
              <w:rPr>
                <w:rFonts w:eastAsia="仿宋_GB2312"/>
                <w:spacing w:val="-11"/>
                <w:sz w:val="28"/>
                <w:szCs w:val="28"/>
              </w:rPr>
            </w:pPr>
            <w:r>
              <w:rPr>
                <w:rFonts w:eastAsia="仿宋_GB2312"/>
                <w:spacing w:val="-11"/>
                <w:kern w:val="0"/>
                <w:sz w:val="28"/>
                <w:szCs w:val="28"/>
                <w:lang w:bidi="ar-SA"/>
              </w:rPr>
              <w:t>3</w:t>
            </w:r>
          </w:p>
        </w:tc>
        <w:tc>
          <w:tcPr>
            <w:tcW w:w="193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 xml:space="preserve">330295018000 </w:t>
            </w:r>
          </w:p>
        </w:tc>
        <w:tc>
          <w:tcPr>
            <w:tcW w:w="421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textAlignment w:val="center"/>
              <w:rPr>
                <w:rFonts w:eastAsia="仿宋_GB2312"/>
                <w:spacing w:val="-11"/>
                <w:sz w:val="28"/>
                <w:szCs w:val="28"/>
              </w:rPr>
            </w:pPr>
            <w:r>
              <w:rPr>
                <w:rFonts w:eastAsia="仿宋_GB2312"/>
                <w:spacing w:val="-11"/>
                <w:kern w:val="0"/>
                <w:sz w:val="28"/>
                <w:szCs w:val="28"/>
                <w:lang w:bidi="ar-SA"/>
              </w:rPr>
              <w:t>对建筑物外墙装修装饰、建筑屋面使用及广告牌的设置影响防火、逃生的行政处罚</w:t>
            </w:r>
          </w:p>
        </w:tc>
        <w:tc>
          <w:tcPr>
            <w:tcW w:w="239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全部</w:t>
            </w:r>
          </w:p>
        </w:tc>
      </w:tr>
      <w:tr>
        <w:trPr>
          <w:trHeight w:val="803"/>
        </w:trPr>
        <w:tc>
          <w:tcPr>
            <w:tcW w:w="73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380" w:lineRule="exact"/>
              <w:jc w:val="center"/>
              <w:textAlignment w:val="center"/>
              <w:rPr>
                <w:rFonts w:eastAsia="仿宋_GB2312"/>
                <w:spacing w:val="-11"/>
                <w:sz w:val="28"/>
                <w:szCs w:val="28"/>
              </w:rPr>
            </w:pPr>
            <w:r>
              <w:rPr>
                <w:rFonts w:eastAsia="仿宋_GB2312"/>
                <w:spacing w:val="-11"/>
                <w:kern w:val="0"/>
                <w:sz w:val="28"/>
                <w:szCs w:val="28"/>
                <w:lang w:bidi="ar-SA"/>
              </w:rPr>
              <w:t>4</w:t>
            </w:r>
          </w:p>
        </w:tc>
        <w:tc>
          <w:tcPr>
            <w:tcW w:w="193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 xml:space="preserve">330295060001 </w:t>
            </w:r>
          </w:p>
        </w:tc>
        <w:tc>
          <w:tcPr>
            <w:tcW w:w="421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textAlignment w:val="center"/>
              <w:rPr>
                <w:rFonts w:eastAsia="仿宋_GB2312"/>
                <w:spacing w:val="-11"/>
                <w:sz w:val="28"/>
                <w:szCs w:val="28"/>
              </w:rPr>
            </w:pPr>
            <w:r>
              <w:rPr>
                <w:rFonts w:eastAsia="仿宋_GB2312"/>
                <w:spacing w:val="-11"/>
                <w:kern w:val="0"/>
                <w:sz w:val="28"/>
                <w:szCs w:val="28"/>
                <w:lang w:bidi="ar-SA"/>
              </w:rPr>
              <w:t>对私拉电线和插座给电动车充电的行政处罚</w:t>
            </w:r>
          </w:p>
        </w:tc>
        <w:tc>
          <w:tcPr>
            <w:tcW w:w="239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00" w:lineRule="exact"/>
              <w:jc w:val="center"/>
              <w:textAlignment w:val="center"/>
              <w:rPr>
                <w:rFonts w:eastAsia="仿宋_GB2312"/>
                <w:spacing w:val="-11"/>
                <w:sz w:val="28"/>
                <w:szCs w:val="28"/>
              </w:rPr>
            </w:pPr>
            <w:r>
              <w:rPr>
                <w:rFonts w:eastAsia="仿宋_GB2312"/>
                <w:spacing w:val="-11"/>
                <w:kern w:val="0"/>
                <w:sz w:val="28"/>
                <w:szCs w:val="28"/>
                <w:lang w:bidi="ar-SA"/>
              </w:rPr>
              <w:t>部分（划转对在城市道路上私拉电线和插座给电动车充电的行政处罚事项）</w:t>
            </w:r>
          </w:p>
        </w:tc>
      </w:tr>
      <w:tr>
        <w:trPr>
          <w:trHeight w:val="803"/>
        </w:trPr>
        <w:tc>
          <w:tcPr>
            <w:tcW w:w="73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380" w:lineRule="exact"/>
              <w:jc w:val="center"/>
              <w:textAlignment w:val="center"/>
              <w:rPr>
                <w:rFonts w:eastAsia="仿宋_GB2312"/>
                <w:spacing w:val="-11"/>
                <w:sz w:val="28"/>
                <w:szCs w:val="28"/>
              </w:rPr>
            </w:pPr>
            <w:r>
              <w:rPr>
                <w:rFonts w:eastAsia="仿宋_GB2312"/>
                <w:spacing w:val="-11"/>
                <w:kern w:val="0"/>
                <w:sz w:val="28"/>
                <w:szCs w:val="28"/>
                <w:lang w:bidi="ar-SA"/>
              </w:rPr>
              <w:t>5</w:t>
            </w:r>
          </w:p>
        </w:tc>
        <w:tc>
          <w:tcPr>
            <w:tcW w:w="193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40" w:lineRule="exact"/>
              <w:jc w:val="center"/>
              <w:textAlignment w:val="center"/>
              <w:rPr>
                <w:rFonts w:ascii="Times New Roman" w:eastAsia="仿宋_GB2312" w:cs="Times New Roman" w:hAnsi="Times New Roman"/>
                <w:spacing w:val="-11"/>
                <w:kern w:val="0"/>
                <w:sz w:val="28"/>
                <w:szCs w:val="28"/>
                <w:lang w:val="en-US" w:eastAsia="zh-CN" w:bidi="ar-SA"/>
              </w:rPr>
            </w:pPr>
            <w:r>
              <w:rPr>
                <w:rFonts w:ascii="Times New Roman" w:eastAsia="仿宋_GB2312" w:cs="Times New Roman" w:hAnsi="Times New Roman"/>
                <w:spacing w:val="-11"/>
                <w:kern w:val="0"/>
                <w:sz w:val="28"/>
                <w:szCs w:val="28"/>
                <w:lang w:val="en-US" w:eastAsia="zh-CN" w:bidi="ar-SA"/>
              </w:rPr>
              <w:t>330295062000</w:t>
            </w:r>
          </w:p>
        </w:tc>
        <w:tc>
          <w:tcPr>
            <w:tcW w:w="421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40" w:lineRule="exact"/>
              <w:textAlignment w:val="center"/>
              <w:rPr>
                <w:rFonts w:ascii="Times New Roman" w:eastAsia="仿宋_GB2312" w:cs="Times New Roman" w:hAnsi="Times New Roman"/>
                <w:spacing w:val="-11"/>
                <w:kern w:val="0"/>
                <w:sz w:val="28"/>
                <w:szCs w:val="28"/>
                <w:lang w:val="en-US" w:eastAsia="zh-CN" w:bidi="ar-SA"/>
              </w:rPr>
            </w:pPr>
            <w:r>
              <w:rPr>
                <w:rFonts w:ascii="Times New Roman" w:eastAsia="仿宋_GB2312" w:cs="Times New Roman" w:hAnsi="Times New Roman"/>
                <w:spacing w:val="-11"/>
                <w:kern w:val="0"/>
                <w:sz w:val="28"/>
                <w:szCs w:val="28"/>
                <w:lang w:val="en-US" w:eastAsia="zh-CN" w:bidi="ar-SA"/>
              </w:rPr>
              <w:t>对在疏散通道、安全出口、楼梯间停放电动车的行政处罚</w:t>
            </w:r>
          </w:p>
        </w:tc>
        <w:tc>
          <w:tcPr>
            <w:tcW w:w="239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spacing w:line="440" w:lineRule="exact"/>
              <w:jc w:val="center"/>
              <w:textAlignment w:val="center"/>
              <w:rPr>
                <w:rFonts w:ascii="Times New Roman" w:eastAsia="仿宋_GB2312" w:cs="Times New Roman" w:hAnsi="Times New Roman"/>
                <w:spacing w:val="-11"/>
                <w:kern w:val="0"/>
                <w:sz w:val="28"/>
                <w:szCs w:val="28"/>
                <w:lang w:val="en-US" w:eastAsia="zh-CN" w:bidi="ar-SA"/>
              </w:rPr>
            </w:pPr>
            <w:r>
              <w:rPr>
                <w:rFonts w:ascii="Times New Roman" w:eastAsia="仿宋_GB2312" w:cs="Times New Roman" w:hAnsi="Times New Roman"/>
                <w:spacing w:val="-11"/>
                <w:kern w:val="0"/>
                <w:sz w:val="28"/>
                <w:szCs w:val="28"/>
                <w:lang w:val="en-US" w:eastAsia="zh-CN" w:bidi="ar-SA"/>
              </w:rPr>
              <w:t>全部</w:t>
            </w:r>
          </w:p>
        </w:tc>
      </w:tr>
    </w:tbl>
    <w:p>
      <w:bookmarkStart w:id="0" w:name="_GoBack"/>
      <w:bookmarkEnd w:id="0"/>
    </w:p>
    <w:sectPr>
      <w:pgSz w:w="11906" w:h="16838"/>
      <w:pgMar w:top="2098" w:right="1474" w:bottom="1984" w:left="1587" w:header="851" w:footer="992" w:gutter="0"/>
      <w:pgNumType/>
      <w:docGrid w:type="lines" w:linePitch="312" w:charSpace="0"/>
    </w:sectPr>
  </w:body>
</w:document>
</file>

<file path=word/fontTable.xml><?xml version="1.0" encoding="utf-8"?>
<w:fonts xmlns:w="http://schemas.openxmlformats.org/wordprocessingml/2006/main" xmlns:r="http://schemas.openxmlformats.org/officeDocument/2006/relationships">
  <w:font w:name="黑体">
    <w:altName w:val="方正黑体_GBK"/>
    <w:panose1 w:val="00000000000000000000"/>
    <w:charset w:val="00"/>
    <w:family w:val="script"/>
    <w:pitch w:val="variable"/>
    <w:sig w:usb0="00000000" w:usb1="00000000" w:usb2="00000000" w:usb3="00000000" w:csb0="00000000" w:csb1="00000000"/>
  </w:font>
  <w:font w:name="方正小标宋简体">
    <w:panose1 w:val="02010601030101010101"/>
    <w:charset w:val="86"/>
    <w:family w:val="auto"/>
    <w:pitch w:val="variable"/>
    <w:sig w:usb0="00000001" w:usb1="080E0000" w:usb2="00000000" w:usb3="00000000" w:csb0="00040000" w:csb1="00000000"/>
  </w:font>
  <w:font w:name="仿宋_GB2312">
    <w:panose1 w:val="02010609030101010101"/>
    <w:charset w:val="86"/>
    <w:family w:val="auto"/>
    <w:pitch w:val="variable"/>
    <w:sig w:usb0="00000001" w:usb1="080E0000" w:usb2="00000000" w:usb3="00000000" w:csb0="00040000" w:csb1="00000000"/>
  </w:font>
  <w:font w:name="Times New Roman">
    <w:altName w:val="DejaVu Sans"/>
    <w:panose1 w:val="02020603050405020304"/>
    <w:charset w:val="00"/>
    <w:family w:val="auto"/>
    <w:pitch w:val="variable"/>
    <w:sig w:usb0="00000A87" w:usb1="00000000" w:usb2="00000000" w:usb3="00000000" w:csb0="400001BF" w:csb1="DFF70000"/>
  </w:font>
  <w:font w:name="宋体">
    <w:altName w:val="方正兰亭黑_GBK"/>
    <w:panose1 w:val="02010600030101010101"/>
    <w:charset w:val="86"/>
    <w:family w:val="script"/>
    <w:pitch w:val="variable"/>
    <w:sig w:usb0="00000003" w:usb1="080E0000" w:usb2="00000000" w:usb3="00000000" w:csb0="00040001"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isplayBackgroundShape/>
  <w:bordersDoNotSurroundHeader/>
  <w:bordersDoNotSurroundFooter/>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useAltKinsokuLineBreakRules/>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styleId="77">
    <w:name w:val="Body Text First Indent"/>
    <w:basedOn w:val="0"/>
    <w:next w:val="0"/>
    <w:pPr>
      <w:widowControl w:val="0"/>
      <w:ind w:firstLineChars="100" w:firstLine="100"/>
      <w:jc w:val="both"/>
    </w:pPr>
    <w:rPr>
      <w:rFonts w:ascii="Times New Roman" w:eastAsia="宋体" w:cs="Times New Roman" w:hAnsi="Times New Roman"/>
      <w:kern w:val="2"/>
      <w:sz w:val="20"/>
      <w:szCs w:val="20"/>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0</TotalTime>
  <Application>Yozo_Office27021597764231179</Application>
  <Pages>3</Pages>
  <Words>864</Words>
  <Characters>1065</Characters>
  <Lines>122</Lines>
  <Paragraphs>84</Paragraphs>
  <CharactersWithSpaces>1074</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uos</dc:creator>
  <cp:lastModifiedBy>uos</cp:lastModifiedBy>
  <cp:revision>1</cp:revision>
  <dcterms:created xsi:type="dcterms:W3CDTF">2025-05-07T02:19:06Z</dcterms:created>
  <dcterms:modified xsi:type="dcterms:W3CDTF">2025-05-07T02:19:51Z</dcterms:modified>
</cp:coreProperties>
</file>