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eastAsia="zh-CN"/>
        </w:rPr>
        <w:t>台州市路桥区路桥街道等</w:t>
      </w:r>
      <w:r>
        <w:rPr>
          <w:rFonts w:hint="default" w:ascii="Times New Roman" w:hAnsi="Times New Roman" w:eastAsia="方正小标宋简体" w:cs="Times New Roman"/>
          <w:b w:val="0"/>
          <w:bCs w:val="0"/>
          <w:color w:val="000000"/>
          <w:sz w:val="44"/>
          <w:szCs w:val="44"/>
          <w:lang w:val="en-US" w:eastAsia="zh-CN"/>
        </w:rPr>
        <w:t>6个街道、新桥镇等4个镇</w:t>
      </w:r>
      <w:r>
        <w:rPr>
          <w:rFonts w:hint="eastAsia" w:ascii="Times New Roman" w:hAnsi="Times New Roman" w:eastAsia="方正小标宋简体" w:cs="Times New Roman"/>
          <w:b w:val="0"/>
          <w:bCs w:val="0"/>
          <w:color w:val="000000"/>
          <w:sz w:val="44"/>
          <w:szCs w:val="44"/>
          <w:lang w:val="en-US" w:eastAsia="zh-CN"/>
        </w:rPr>
        <w:t>综合行政执法事项动态调整目录</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b w:val="0"/>
          <w:bCs w:val="0"/>
          <w:color w:val="000000"/>
          <w:sz w:val="44"/>
          <w:szCs w:val="44"/>
          <w:lang w:val="en-US" w:eastAsia="zh-CN"/>
        </w:rPr>
      </w:pPr>
    </w:p>
    <w:tbl>
      <w:tblPr>
        <w:tblStyle w:val="4"/>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0"/>
        <w:gridCol w:w="1935"/>
        <w:gridCol w:w="4700"/>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序号</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事项编码</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事项名称</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rPr>
            </w:pPr>
            <w:r>
              <w:rPr>
                <w:rFonts w:hint="default" w:ascii="黑体" w:hAnsi="宋体" w:eastAsia="黑体" w:cs="黑体"/>
                <w:i w:val="0"/>
                <w:iCs w:val="0"/>
                <w:color w:val="000000"/>
                <w:kern w:val="0"/>
                <w:sz w:val="22"/>
                <w:szCs w:val="22"/>
                <w:u w:val="none"/>
                <w:lang w:val="en-US" w:eastAsia="zh-CN" w:bidi="ar"/>
              </w:rPr>
              <w:t>具体划转执法事项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黑体" w:hAnsi="宋体" w:eastAsia="黑体" w:cs="黑体"/>
                <w:i w:val="0"/>
                <w:iCs w:val="0"/>
                <w:color w:val="000000"/>
                <w:sz w:val="22"/>
                <w:szCs w:val="22"/>
                <w:u w:val="none"/>
              </w:rPr>
            </w:pPr>
            <w:r>
              <w:rPr>
                <w:rFonts w:hint="default" w:ascii="楷体" w:hAnsi="楷体" w:eastAsia="楷体" w:cs="楷体"/>
                <w:snapToGrid w:val="0"/>
                <w:color w:val="000000"/>
                <w:spacing w:val="-3"/>
                <w:kern w:val="0"/>
                <w:sz w:val="24"/>
                <w:szCs w:val="24"/>
                <w:lang w:val="en-US" w:eastAsia="zh-CN" w:bidi="ar-SA"/>
              </w:rPr>
              <w:t>一、农业农村（共1项）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330220048000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对农村村民未经批准或者采取欺骗手段骗取批准，非法占用土地建住宅的行政处罚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二、应急管理（共13项）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对其他一般工贸企业生产经营单位的主要负责人未履行本单位安全生产工作法定职责的行政处罚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330225002006</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对其他一般工贸企业高危行业生产经营单位未按规定设置机构、配备专职人员，其他生产经营单位未按规定设置机构、配备专兼职人员的行政处罚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330225002011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对其他一般工贸企业从业人员未按规定落实安全培训时间的行政处罚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330225002022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对其他一般工贸企业未按规定在有较大危险因素的场所和有关设施设备上设置安全警示标志的行政处罚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330225002027</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对其他一般工贸企业未按规定采取措施消除 事故隐患的行政处罚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330225002036</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对其他一般工贸企业未按规定落实安全管理 协议或者未对承包单位、承租单位的安全生产统一协调、管理的行政处罚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330225002041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对其他一般工贸企业高危行业生产经营单位 未按规定进行应急预案评审，其他生产经营 单位未按规定进行论证的行政处罚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330225002043</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对其他一般工贸企业未按规定将有关事故风 险的性质、影响范围和应急防范措施告知周边其他单位和人员的行政处罚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330225002045</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对其他一般工贸企业应急预案未及时修订并归档，未按要求进行备案的行政处罚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330225002046</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对其他一般工贸企业未按应急预案的规定，落实应急物资及装备的行政处罚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330225002050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对其他一般工贸企业违反操作规程或者安全管理规定作业的行政处罚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330225002051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对生产经营单位安全生产教育和培训记录、事故隐患排查处理记录保存少于</w:t>
            </w:r>
            <w:r>
              <w:rPr>
                <w:rStyle w:val="6"/>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年的行政处罚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部分（责令停产停业整顿除外）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330225008003</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对有限空间作业现场安全管理不到位的行政处罚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三、自然资源（共9项）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330215080000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对非法占用土地的行政处罚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330215084000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对买卖或者以其他形式非法转让土地、擅自将农用地改为建设用地的行政处罚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330215085000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对擅自将农民集体所有土地使用权非法出让、转让、出租用于非农业建设的行政处罚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330215094000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对在耕地上发展林果业、养殖业，导致粮食种植条件毁坏的行政处罚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330215095000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对非法占用基本农田建房、建窑、建坟、挖砂、采矿、取土、堆放固体废弃物或者从事其他活动破坏基本农田，毁坏种植条件的行政处罚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330215096000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对占用耕地建窑、建坟或者擅自在耕地上建房、挖砂、采石、采矿、取土等，破坏种植条件的行政处罚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330215041001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对未取得建设工程规划许可证进行建设的行政处罚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330215041002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对未按照建设工程规划许可证的规定进行建设的行政处罚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330215073000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对房屋使用人擅自改变建设工程规划许可证确定的房屋用途的行政处罚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四、公安（共2项）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330209122000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对饲养动物干扰正常生活的行政处罚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330209532000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对制造噪声干扰正常生活的行政处罚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五、广电（共1项）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330232027000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对擅自安装和使用卫星地面接收设施的行政处罚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部分（吊销许可证除外）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六、文化和旅游（共3项）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330222042000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对娱乐场所未按《娱乐场所管理条例》规定悬挂警示标志、未成年人禁入或者限入标志的行政处罚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330222048000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对娱乐场所未在显著位置悬挂娱乐经营许可证、未成年人禁入或者限入标志，标志未注明“</w:t>
            </w:r>
            <w:r>
              <w:rPr>
                <w:rStyle w:val="6"/>
                <w:rFonts w:eastAsia="宋体"/>
                <w:lang w:val="en-US" w:eastAsia="zh-CN" w:bidi="ar"/>
              </w:rPr>
              <w:t>12318</w:t>
            </w:r>
            <w:r>
              <w:rPr>
                <w:rFonts w:hint="eastAsia" w:ascii="宋体" w:hAnsi="宋体" w:eastAsia="宋体" w:cs="宋体"/>
                <w:i w:val="0"/>
                <w:iCs w:val="0"/>
                <w:color w:val="000000"/>
                <w:kern w:val="0"/>
                <w:sz w:val="22"/>
                <w:szCs w:val="22"/>
                <w:u w:val="none"/>
                <w:lang w:val="en-US" w:eastAsia="zh-CN" w:bidi="ar"/>
              </w:rPr>
              <w:t>”文化市场举报电话的行政处罚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330222053000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对娱乐场所未按照《娱乐场所管理条例》规定建立从业人员名簿、营业日志行为或者发现违法犯罪行为未按照《娱乐场所管理条例》规定报告的行政处罚（责令停业整顿除外）</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部分（责令停业整顿除外）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七、消防救援（共11项）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330295022002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对非消防安全重点单位占用、堵塞、封闭城市道路以外的消防车通道的行政处罚。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330295034000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对用于居住的出租房屋不符合消防安全要求的行政处罚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330295046002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对埋压、圈占、遮挡城市道路以外的消火栓的行政处罚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330295060002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对在城市道路以外私拉电线和插座给电动车充电的行政处罚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330295062000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对在疏散通道、安全出口、楼梯间停放电动车的行政处罚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330295063000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对非消防安全重点单位占用、堵塞、封闭疏散通道、安全出口的行政处罚。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330295046001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对埋压、圈占、遮挡城市道路上的消火栓的行政处罚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330295022001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对占用、堵塞、封闭城市道路上的消防车通道的行政处罚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330295024001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对沿城市道路的人员密集场所门窗设置影响逃生、灭火救援的障碍物的行政处罚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330295060001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对在城市道路上私拉电线和插座给电动车充电的行政处罚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330295016001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对占用、堵塞、封闭城市道路上的消防登高场地的行政处罚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八、建设（共24项）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330217251000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对建设单位擅自处分属于业主的物业共用部位、共用设施设备的所有权或者使用权的行政处罚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330217253000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对物业服务企业将一个物业管理区域内的全部物业管理一并委托给他人的行政处罚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330217814000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对挪用住宅专项维修资金的行政处罚（吊销资质证书的处罚除外）</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330217193000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对物业服务企业未经业主大会同意擅自改变物业管理用房用途的行政处罚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对擅自占用、挖掘物业管理区域内道路、场地，损害业主共同利益的行政处罚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对擅自利用物业共用部位、共用设施设备进行经营的行政处罚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330217217003</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对擅自改变物业管理区域内按照规划建设的公共建筑和共用设施用途的行政处罚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330217144000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对物业管理单位发现装修人或者装饰装修企业有违反规定行为不及时向有关部门报告的行政处罚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对将没有防水要求的房间或者阳台改为卫生间、厨房间的行政处罚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对拆除连接阳台的砖、混凝土墙体的行政处罚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330217228005</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对擅自拆改燃气管道和设施的行政处罚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330217141000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对房屋使用安全责任人和房屋装修经营者违法进行房屋装修的行政处罚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330217189000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对未经城市规划行政主管部门批准，在住宅室内装饰装修活动中搭建建筑物、构筑物的，或者擅自改变住宅外立面、在非承重外墙上开门、窗的行政处罚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330217181000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对擅自占用城市人行道、桥梁、地下通道以及其他公共场所设摊经营、兜售物品的行政处罚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330217211000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对沿街和广场周边的经营者擅自超出门、窗进行店外经营、作业或者展示商品的行政处罚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330217238008</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对擅自占用或者挖掘城市道路、修筑出入口、搭建建筑物或者构筑物、明火作业、设置路障的行政处罚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330217222005</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对在不具备安全条件的场所使用、储存燃气的行政处罚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330217222008</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对燃气燃烧器具的安装、维修不符合国家有关标准的行政处罚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对使用国家明令淘汰的燃气燃烧器具的行政处罚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330217142003</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对使用非法制造、报废、改装的气瓶或者超期限未检验、检验不合格的气瓶的行政处罚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330217142004</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对加热、摔砸、倒卧、曝晒燃气气瓶或者改换气瓶检验标志、漆色的行为的行政处罚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330217142005</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对倾倒燃气残液或者用气瓶相互倒灌的行政处罚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330217142006</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对进行危害室内燃气设施安全的装饰、装修活动的行为的行政处罚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330217G42000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对使用燃气的餐饮等行业生产经营单位未安装可燃气体报警装置的行政处罚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九、水利（共3项）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330219090000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对在河道管理范围内从事妨害行洪活动的行政处罚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330219162000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对在河道管理范围内从事禁止行为的行政处罚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330219082000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对在河道管理范围内未经批准或未按批准要求建设水工程以及涉河建筑物、构筑物的行政处罚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十、林业（共6项）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对开垦、采石、采砂、采土等造成林木或林地毁坏的行政处罚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330264066000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对森林防火区内的有关单位或个人拒绝接受森林防火检查或接到森林 火灾隐患整改通知书逾期不消除火 灾隐患的行政处罚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330264064000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对森林防火期内未经批准擅自在森林防火区内野外用火等的行政处罚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330264108000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对在森林禁火期、禁火区内野外用火但未引起森林火灾的行政处罚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330264065000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对过失引起森林火灾的行政处罚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330264075000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对未经林业部门审核同意擅自改变林地用途的行政处罚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十一、民宗（共12项）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对宗教团体、宗教院校、宗教活动场所擅自举办非通常宗教活动的行政处罚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部分（撤换主管人员除外）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330241010000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对擅自举行大型宗教活动的行政处罚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部分（撤换主要负责人或主管人员、吊销登记证书除外）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330241007000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对临时活动地点的宗教活动违反相关规定的行政处罚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330241023000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对为违法宗教活动提供条件的行政处罚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330241004000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对擅自设立宗教活动场所，宗教活动场所已被撤销登记或吊销登记证书仍然进行宗教活动的行政处罚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330241011000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对非宗教团体、非宗教院校、非宗教活动场所、非指定的临时活动地点组织、举行宗教活动，接受宗教性捐赠的行政处罚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330241021000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对在广场、公园、旅游景点、车站、码头、机场、医院、学校、体育场馆等公共场所散发宗教类出版物、印刷品或音像制品等进行传教的行政处罚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330241003000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对擅自开展宗教教育培训的行政处罚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对假冒宗教教职人员进行宗教活动或骗取钱财等违法活动的行政处罚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330241024000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对宗教教职人员跨地区或跨教区主持宗教活动、担任主要教职未按有关规定备案的行政处罚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330241018000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对宗教活动场所未按规定建立有关管理制度或管理制度不符合要求的行政处罚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330241027000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对宗教教职人员组织、主持未经批准的在宗教活动场所外举行的宗教活动的行政处罚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十二、民政（共4项）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330211016002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对制造、销售封建迷信殡葬用品的行政处罚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330211006000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对擅自开办公墓、乡村骨灰存放处和乡村公益性墓地的行政处罚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对公墓超标准立墓碑的行政处罚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330211008001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对公墓超面积建造墓穴的行政处罚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十三、生态环境（共7项）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对违法在人口集中和其他需特殊保护区域焚烧产生有毒有害烟尘和恶臭气体的行政处罚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330216277002</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对露天焚烧秸秆、落叶等产生烟尘污染物质的行政处罚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330216279001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对经营者未安装净化设施、不正常使用净化设施的行政处罚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330216281000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对在居民住宅楼、未配套设立专用烟道的商住综合楼、商住综合楼内与居住层相邻的商业楼层内新改扩建产生油烟、异味、废气的餐饮服务项目的行政处罚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330216280000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对在当地人民政府禁止的时段和区域内露天烧烤食品或者为露天烧烤食品提供场地的行政处罚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330216098000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对未按照规定取得证明，在噪声敏感建筑物集中区域夜间进行产生噪声的建筑施工作业的行政处罚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部分（仅限城市市区）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330216272000</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1F2F3"/>
              <w:spacing w:before="0" w:beforeAutospacing="0" w:after="0" w:afterAutospacing="0"/>
              <w:ind w:left="0" w:right="0" w:firstLine="0"/>
              <w:jc w:val="left"/>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对文化娱乐场所等商业经营活动造成环境噪声污染的行政处罚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楷体" w:hAnsi="楷体" w:eastAsia="楷体" w:cs="楷体"/>
                <w:snapToGrid w:val="0"/>
                <w:color w:val="000000"/>
                <w:spacing w:val="-3"/>
                <w:kern w:val="0"/>
                <w:sz w:val="24"/>
                <w:szCs w:val="24"/>
                <w:lang w:val="en-US" w:eastAsia="zh-CN" w:bidi="ar-SA"/>
              </w:rPr>
            </w:pPr>
            <w:r>
              <w:rPr>
                <w:rFonts w:hint="default" w:ascii="楷体" w:hAnsi="楷体" w:eastAsia="楷体" w:cs="楷体"/>
                <w:snapToGrid w:val="0"/>
                <w:color w:val="000000"/>
                <w:spacing w:val="-3"/>
                <w:kern w:val="0"/>
                <w:sz w:val="24"/>
                <w:szCs w:val="24"/>
                <w:lang w:val="en-US" w:eastAsia="zh-CN" w:bidi="ar-SA"/>
              </w:rPr>
              <w:t>十四、市场监管（共1项）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330231076001</w:t>
            </w:r>
          </w:p>
        </w:tc>
        <w:tc>
          <w:tcPr>
            <w:tcW w:w="4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对在室外公共场所无照经营的行政处罚</w:t>
            </w:r>
          </w:p>
        </w:tc>
        <w:tc>
          <w:tcPr>
            <w:tcW w:w="2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本目录行政处罚事项共计97项；</w:t>
            </w:r>
          </w:p>
          <w:p>
            <w:pPr>
              <w:keepNext w:val="0"/>
              <w:keepLines w:val="0"/>
              <w:widowControl/>
              <w:numPr>
                <w:ilvl w:val="0"/>
                <w:numId w:val="1"/>
              </w:numPr>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本目录行政处罚事项根据浙江省权力事项库（监管库）动态调整。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F2B1D"/>
    <w:multiLevelType w:val="singleLevel"/>
    <w:tmpl w:val="6BFF2B1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NzZmNjkxOTkzNjU1Zjc0ODQ4ZDUyMmI0YTM5N2IifQ=="/>
  </w:docVars>
  <w:rsids>
    <w:rsidRoot w:val="4E245E38"/>
    <w:rsid w:val="4E245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beforeAutospacing="0" w:after="0" w:afterLines="0" w:afterAutospacing="0" w:line="365" w:lineRule="atLeast"/>
      <w:ind w:left="1" w:right="0" w:firstLine="0" w:firstLineChars="0"/>
      <w:jc w:val="both"/>
      <w:textAlignment w:val="bottom"/>
    </w:pPr>
    <w:rPr>
      <w:rFonts w:ascii="Times New Roman" w:hAnsi="Times New Roman" w:eastAsia="宋体" w:cs="Times New Roman"/>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uto"/>
      <w:ind w:left="0" w:firstLine="200" w:firstLineChars="200"/>
      <w:textAlignment w:val="auto"/>
    </w:pPr>
    <w:rPr>
      <w:kern w:val="2"/>
      <w:szCs w:val="24"/>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31"/>
    <w:basedOn w:val="5"/>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2024-07-05T08:30:00Z</dcterms:created>
  <dc:creator>城管局文书</dc:creator>
  <cp:lastModifiedBy>城管局文书</cp:lastModifiedBy>
  <dcterms:modified xsi:type="dcterms:W3CDTF">2024-07-05T08:30:19Z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7945379234E04C568963B23FC2689462_11</vt:lpwstr>
  </property>
</Properties>
</file>