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600" w:lineRule="exact"/>
        <w:jc w:val="center"/>
        <w:rPr>
          <w:rFonts w:ascii="方正小标宋简体" w:eastAsia="方正小标宋简体"/>
          <w:color w:val="auto"/>
          <w:sz w:val="32"/>
          <w:szCs w:val="32"/>
        </w:rPr>
      </w:pPr>
      <w:r>
        <w:rPr>
          <w:rFonts w:hint="eastAsia" w:ascii="方正小标宋简体" w:hAnsi="方正小标宋_GBK" w:eastAsia="方正小标宋简体" w:cs="方正小标宋_GBK"/>
          <w:color w:val="auto"/>
          <w:sz w:val="44"/>
          <w:szCs w:val="44"/>
        </w:rPr>
        <w:t>仙居县农贸市场更新提质四年行动计划（2023-2026）</w:t>
      </w:r>
    </w:p>
    <w:p>
      <w:pPr>
        <w:spacing w:after="0" w:line="600" w:lineRule="exact"/>
        <w:jc w:val="center"/>
        <w:rPr>
          <w:rFonts w:ascii="楷体" w:hAnsi="楷体" w:eastAsia="楷体" w:cs="楷体"/>
          <w:color w:val="auto"/>
          <w:sz w:val="44"/>
          <w:szCs w:val="44"/>
        </w:rPr>
      </w:pPr>
      <w:r>
        <w:rPr>
          <w:rFonts w:hint="eastAsia" w:ascii="楷体" w:hAnsi="楷体" w:eastAsia="楷体" w:cs="楷体"/>
          <w:color w:val="auto"/>
          <w:sz w:val="30"/>
          <w:szCs w:val="30"/>
        </w:rPr>
        <w:t>（征求意见稿）</w:t>
      </w:r>
    </w:p>
    <w:p>
      <w:pPr>
        <w:spacing w:after="0" w:line="600" w:lineRule="exact"/>
        <w:ind w:firstLine="624" w:firstLineChars="200"/>
        <w:jc w:val="both"/>
        <w:rPr>
          <w:rFonts w:hint="default" w:ascii="Times New Roman" w:hAnsi="Times New Roman" w:eastAsia="仿宋_GB2312" w:cs="仿宋_GB2312"/>
          <w:snapToGrid w:val="0"/>
          <w:color w:val="auto"/>
          <w:spacing w:val="-4"/>
          <w:sz w:val="32"/>
          <w:szCs w:val="32"/>
          <w:lang w:val="en-US" w:eastAsia="zh-CN"/>
        </w:rPr>
      </w:pPr>
      <w:r>
        <w:rPr>
          <w:rFonts w:hint="eastAsia" w:ascii="Times New Roman" w:hAnsi="Times New Roman" w:eastAsia="仿宋_GB2312" w:cs="仿宋_GB2312"/>
          <w:snapToGrid w:val="0"/>
          <w:color w:val="auto"/>
          <w:spacing w:val="-4"/>
          <w:sz w:val="32"/>
          <w:szCs w:val="32"/>
        </w:rPr>
        <w:t>为贯彻落实城市品质提升行动，提高我县农贸市场建设、管理和服务水平，进一步增强人民群众的获得感和幸福感，根据</w:t>
      </w:r>
      <w:r>
        <w:rPr>
          <w:rFonts w:ascii="Times New Roman" w:hAnsi="Times New Roman" w:eastAsia="仿宋_GB2312" w:cs="仿宋_GB2312"/>
          <w:snapToGrid w:val="0"/>
          <w:color w:val="auto"/>
          <w:spacing w:val="-4"/>
          <w:sz w:val="32"/>
          <w:szCs w:val="32"/>
        </w:rPr>
        <w:t>《</w:t>
      </w:r>
      <w:r>
        <w:rPr>
          <w:rFonts w:hint="eastAsia" w:ascii="Times New Roman" w:hAnsi="Times New Roman" w:eastAsia="仿宋_GB2312" w:cs="仿宋_GB2312"/>
          <w:snapToGrid w:val="0"/>
          <w:color w:val="auto"/>
          <w:spacing w:val="-4"/>
          <w:sz w:val="32"/>
          <w:szCs w:val="32"/>
        </w:rPr>
        <w:t>台州市农贸市场更新提质四年行动计划</w:t>
      </w:r>
      <w:r>
        <w:rPr>
          <w:rFonts w:ascii="Times New Roman" w:hAnsi="Times New Roman" w:eastAsia="仿宋_GB2312" w:cs="仿宋_GB2312"/>
          <w:snapToGrid w:val="0"/>
          <w:color w:val="auto"/>
          <w:spacing w:val="-4"/>
          <w:sz w:val="32"/>
          <w:szCs w:val="32"/>
        </w:rPr>
        <w:t>》，结合</w:t>
      </w:r>
      <w:r>
        <w:rPr>
          <w:rFonts w:hint="eastAsia" w:ascii="Times New Roman" w:hAnsi="Times New Roman" w:eastAsia="仿宋_GB2312" w:cs="仿宋_GB2312"/>
          <w:snapToGrid w:val="0"/>
          <w:color w:val="auto"/>
          <w:spacing w:val="-4"/>
          <w:sz w:val="32"/>
          <w:szCs w:val="32"/>
        </w:rPr>
        <w:t>仙居农贸市场实际，</w:t>
      </w:r>
      <w:r>
        <w:rPr>
          <w:rFonts w:hint="eastAsia" w:ascii="Times New Roman" w:hAnsi="Times New Roman" w:eastAsia="仿宋_GB2312" w:cs="仿宋_GB2312"/>
          <w:snapToGrid w:val="0"/>
          <w:color w:val="auto"/>
          <w:spacing w:val="-4"/>
          <w:sz w:val="32"/>
          <w:szCs w:val="32"/>
          <w:shd w:val="solid" w:color="FFFFFF" w:fill="FFFFFF"/>
        </w:rPr>
        <w:t>经研究</w:t>
      </w:r>
      <w:r>
        <w:rPr>
          <w:rFonts w:ascii="Times New Roman" w:hAnsi="Times New Roman" w:eastAsia="仿宋_GB2312" w:cs="仿宋_GB2312"/>
          <w:snapToGrid w:val="0"/>
          <w:color w:val="auto"/>
          <w:spacing w:val="-4"/>
          <w:sz w:val="32"/>
          <w:szCs w:val="32"/>
          <w:shd w:val="solid" w:color="FFFFFF" w:fill="FFFFFF"/>
        </w:rPr>
        <w:t>，</w:t>
      </w:r>
      <w:r>
        <w:rPr>
          <w:rFonts w:hint="eastAsia" w:ascii="Times New Roman" w:hAnsi="Times New Roman" w:eastAsia="仿宋_GB2312" w:cs="仿宋_GB2312"/>
          <w:snapToGrid w:val="0"/>
          <w:color w:val="auto"/>
          <w:spacing w:val="-4"/>
          <w:sz w:val="32"/>
          <w:szCs w:val="32"/>
          <w:shd w:val="solid" w:color="FFFFFF" w:fill="FFFFFF"/>
        </w:rPr>
        <w:t>决定</w:t>
      </w:r>
      <w:r>
        <w:rPr>
          <w:rFonts w:hint="eastAsia" w:ascii="Times New Roman" w:hAnsi="Times New Roman" w:eastAsia="仿宋_GB2312" w:cs="仿宋_GB2312"/>
          <w:snapToGrid w:val="0"/>
          <w:color w:val="auto"/>
          <w:spacing w:val="-4"/>
          <w:sz w:val="32"/>
          <w:szCs w:val="32"/>
        </w:rPr>
        <w:t>开展全县农贸市场更新提质行动。</w:t>
      </w:r>
    </w:p>
    <w:p>
      <w:pPr>
        <w:pStyle w:val="5"/>
        <w:numPr>
          <w:ilvl w:val="0"/>
          <w:numId w:val="1"/>
        </w:numPr>
        <w:adjustRightInd/>
        <w:snapToGrid/>
        <w:spacing w:after="0" w:line="600" w:lineRule="exact"/>
        <w:ind w:firstLineChars="0"/>
        <w:jc w:val="both"/>
        <w:rPr>
          <w:rFonts w:ascii="Times New Roman" w:hAnsi="Times New Roman" w:eastAsia="黑体" w:cs="黑体"/>
          <w:snapToGrid w:val="0"/>
          <w:color w:val="auto"/>
          <w:spacing w:val="-4"/>
          <w:kern w:val="2"/>
          <w:sz w:val="32"/>
          <w:szCs w:val="32"/>
        </w:rPr>
      </w:pPr>
      <w:r>
        <w:rPr>
          <w:rFonts w:hint="eastAsia" w:ascii="Times New Roman" w:hAnsi="Times New Roman" w:eastAsia="黑体" w:cs="黑体"/>
          <w:snapToGrid w:val="0"/>
          <w:color w:val="auto"/>
          <w:spacing w:val="-4"/>
          <w:kern w:val="2"/>
          <w:sz w:val="32"/>
          <w:szCs w:val="32"/>
        </w:rPr>
        <w:t>指导思想</w:t>
      </w:r>
    </w:p>
    <w:p>
      <w:pPr>
        <w:spacing w:after="0" w:line="600" w:lineRule="exact"/>
        <w:ind w:firstLine="624" w:firstLineChars="200"/>
        <w:jc w:val="both"/>
        <w:rPr>
          <w:rFonts w:ascii="Times New Roman" w:hAnsi="Times New Roman" w:eastAsia="仿宋_GB2312" w:cs="仿宋_GB2312"/>
          <w:snapToGrid w:val="0"/>
          <w:color w:val="auto"/>
          <w:spacing w:val="-4"/>
          <w:sz w:val="32"/>
          <w:szCs w:val="32"/>
        </w:rPr>
      </w:pPr>
      <w:r>
        <w:rPr>
          <w:rFonts w:hint="eastAsia" w:ascii="Times New Roman" w:hAnsi="Times New Roman" w:eastAsia="仿宋_GB2312" w:cs="仿宋_GB2312"/>
          <w:snapToGrid w:val="0"/>
          <w:color w:val="auto"/>
          <w:spacing w:val="-4"/>
          <w:sz w:val="32"/>
          <w:szCs w:val="32"/>
        </w:rPr>
        <w:t>以习近平新时代中国特色社会主义思想为指导，以满足人民群众对美好生活的需求为落脚点，坚持农贸市场公益性、民生性和社会性的功能定位，统筹城乡农贸市场一体化发展，推进农贸市场更新提质，促进我县农贸市场跨越式发展，</w:t>
      </w:r>
      <w:r>
        <w:rPr>
          <w:rFonts w:ascii="Times New Roman" w:hAnsi="Times New Roman" w:eastAsia="仿宋_GB2312" w:cs="仿宋_GB2312"/>
          <w:snapToGrid w:val="0"/>
          <w:color w:val="auto"/>
          <w:spacing w:val="-4"/>
          <w:sz w:val="32"/>
          <w:szCs w:val="32"/>
        </w:rPr>
        <w:t>将其</w:t>
      </w:r>
      <w:r>
        <w:rPr>
          <w:rFonts w:hint="eastAsia" w:ascii="仿宋_GB2312" w:eastAsia="仿宋_GB2312"/>
          <w:color w:val="auto"/>
          <w:sz w:val="32"/>
          <w:szCs w:val="32"/>
        </w:rPr>
        <w:t>打造成为展现仙居城市文明形象的重要窗口。</w:t>
      </w:r>
    </w:p>
    <w:p>
      <w:pPr>
        <w:pStyle w:val="5"/>
        <w:numPr>
          <w:ilvl w:val="0"/>
          <w:numId w:val="1"/>
        </w:numPr>
        <w:adjustRightInd/>
        <w:snapToGrid/>
        <w:spacing w:after="0" w:line="600" w:lineRule="exact"/>
        <w:ind w:firstLineChars="0"/>
        <w:jc w:val="both"/>
        <w:rPr>
          <w:rFonts w:ascii="Times New Roman" w:hAnsi="Times New Roman" w:eastAsia="黑体" w:cs="黑体"/>
          <w:snapToGrid w:val="0"/>
          <w:color w:val="auto"/>
          <w:spacing w:val="-4"/>
          <w:kern w:val="2"/>
          <w:sz w:val="32"/>
          <w:szCs w:val="32"/>
        </w:rPr>
      </w:pPr>
      <w:r>
        <w:rPr>
          <w:rFonts w:hint="eastAsia" w:ascii="Times New Roman" w:hAnsi="Times New Roman" w:eastAsia="黑体" w:cs="黑体"/>
          <w:snapToGrid w:val="0"/>
          <w:color w:val="auto"/>
          <w:spacing w:val="-4"/>
          <w:kern w:val="2"/>
          <w:sz w:val="32"/>
          <w:szCs w:val="32"/>
        </w:rPr>
        <w:t>总体目标</w:t>
      </w:r>
    </w:p>
    <w:p>
      <w:pPr>
        <w:spacing w:after="0" w:line="600" w:lineRule="exact"/>
        <w:ind w:firstLine="624" w:firstLineChars="200"/>
        <w:jc w:val="both"/>
        <w:rPr>
          <w:rFonts w:ascii="仿宋_GB2312" w:eastAsia="仿宋_GB2312"/>
          <w:color w:val="auto"/>
          <w:sz w:val="32"/>
          <w:szCs w:val="32"/>
        </w:rPr>
      </w:pPr>
      <w:r>
        <w:rPr>
          <w:rFonts w:hint="eastAsia" w:ascii="Times New Roman" w:hAnsi="Times New Roman" w:eastAsia="仿宋_GB2312" w:cs="仿宋_GB2312"/>
          <w:snapToGrid w:val="0"/>
          <w:color w:val="auto"/>
          <w:spacing w:val="-4"/>
          <w:sz w:val="32"/>
          <w:szCs w:val="32"/>
        </w:rPr>
        <w:t>通过四年更新提质行动，努力实现农贸市场建设和管理水平</w:t>
      </w:r>
      <w:r>
        <w:rPr>
          <w:rFonts w:hint="eastAsia" w:ascii="仿宋_GB2312" w:eastAsia="仿宋_GB2312"/>
          <w:color w:val="auto"/>
          <w:sz w:val="32"/>
          <w:szCs w:val="32"/>
        </w:rPr>
        <w:t>进入全市前列。</w:t>
      </w:r>
      <w:r>
        <w:rPr>
          <w:rFonts w:hint="eastAsia" w:ascii="Times New Roman" w:hAnsi="Times New Roman" w:eastAsia="仿宋_GB2312" w:cs="仿宋_GB2312"/>
          <w:snapToGrid w:val="0"/>
          <w:color w:val="auto"/>
          <w:spacing w:val="-4"/>
          <w:sz w:val="32"/>
          <w:szCs w:val="32"/>
        </w:rPr>
        <w:t>到2026年，全县农贸市场</w:t>
      </w:r>
      <w:r>
        <w:rPr>
          <w:rFonts w:hint="eastAsia" w:ascii="仿宋_GB2312" w:eastAsia="仿宋_GB2312"/>
          <w:color w:val="auto"/>
          <w:sz w:val="32"/>
          <w:szCs w:val="32"/>
        </w:rPr>
        <w:t>创建四星级以上</w:t>
      </w:r>
      <w:r>
        <w:rPr>
          <w:rFonts w:hint="eastAsia" w:ascii="Times New Roman" w:hAnsi="Times New Roman" w:eastAsia="仿宋_GB2312" w:cs="仿宋_GB2312"/>
          <w:snapToGrid w:val="0"/>
          <w:color w:val="auto"/>
          <w:spacing w:val="-4"/>
          <w:sz w:val="32"/>
          <w:szCs w:val="32"/>
        </w:rPr>
        <w:t>文明规范</w:t>
      </w:r>
      <w:r>
        <w:rPr>
          <w:rFonts w:hint="eastAsia" w:ascii="仿宋_GB2312" w:eastAsia="仿宋_GB2312"/>
          <w:color w:val="auto"/>
          <w:sz w:val="32"/>
          <w:szCs w:val="32"/>
        </w:rPr>
        <w:t>市场</w:t>
      </w:r>
      <w:r>
        <w:rPr>
          <w:rFonts w:hint="eastAsia" w:ascii="Times New Roman" w:hAnsi="Times New Roman" w:eastAsia="仿宋_GB2312" w:cs="仿宋_GB2312"/>
          <w:snapToGrid w:val="0"/>
          <w:color w:val="auto"/>
          <w:spacing w:val="-4"/>
          <w:sz w:val="32"/>
          <w:szCs w:val="32"/>
        </w:rPr>
        <w:t>2</w:t>
      </w:r>
      <w:r>
        <w:rPr>
          <w:rFonts w:hint="eastAsia" w:ascii="仿宋_GB2312" w:eastAsia="仿宋_GB2312"/>
          <w:color w:val="auto"/>
          <w:sz w:val="32"/>
          <w:szCs w:val="32"/>
        </w:rPr>
        <w:t>家、三星级</w:t>
      </w:r>
      <w:r>
        <w:rPr>
          <w:rFonts w:hint="eastAsia" w:ascii="Times New Roman" w:hAnsi="Times New Roman" w:eastAsia="仿宋_GB2312" w:cs="仿宋_GB2312"/>
          <w:snapToGrid w:val="0"/>
          <w:color w:val="auto"/>
          <w:spacing w:val="-4"/>
          <w:sz w:val="32"/>
          <w:szCs w:val="32"/>
        </w:rPr>
        <w:t>文明规范</w:t>
      </w:r>
      <w:r>
        <w:rPr>
          <w:rFonts w:hint="eastAsia" w:ascii="仿宋_GB2312" w:eastAsia="仿宋_GB2312"/>
          <w:color w:val="auto"/>
          <w:sz w:val="32"/>
          <w:szCs w:val="32"/>
        </w:rPr>
        <w:t>市场</w:t>
      </w:r>
      <w:r>
        <w:rPr>
          <w:rFonts w:hint="eastAsia" w:ascii="Times New Roman" w:hAnsi="Times New Roman" w:eastAsia="仿宋_GB2312" w:cs="仿宋_GB2312"/>
          <w:snapToGrid w:val="0"/>
          <w:color w:val="auto"/>
          <w:spacing w:val="-4"/>
          <w:sz w:val="32"/>
          <w:szCs w:val="32"/>
        </w:rPr>
        <w:t>3家以上；打造“社区民生市场”1家、“数字未来市场”2家、“绿色环保市场”2家，新增国有专业化管理市场2家；农贸市场信用管理有效运行率8</w:t>
      </w:r>
      <w:r>
        <w:rPr>
          <w:rFonts w:ascii="Times New Roman" w:hAnsi="Times New Roman" w:eastAsia="仿宋_GB2312" w:cs="仿宋_GB2312"/>
          <w:snapToGrid w:val="0"/>
          <w:color w:val="auto"/>
          <w:spacing w:val="-4"/>
          <w:sz w:val="32"/>
          <w:szCs w:val="32"/>
        </w:rPr>
        <w:t>0%</w:t>
      </w:r>
      <w:r>
        <w:rPr>
          <w:rFonts w:hint="eastAsia" w:ascii="Times New Roman" w:hAnsi="Times New Roman" w:eastAsia="仿宋_GB2312" w:cs="仿宋_GB2312"/>
          <w:snapToGrid w:val="0"/>
          <w:color w:val="auto"/>
          <w:spacing w:val="-4"/>
          <w:sz w:val="32"/>
          <w:szCs w:val="32"/>
        </w:rPr>
        <w:t>，</w:t>
      </w:r>
      <w:r>
        <w:rPr>
          <w:rFonts w:hint="eastAsia" w:ascii="仿宋_GB2312" w:hAnsi="仿宋_GB2312" w:eastAsia="仿宋_GB2312" w:cs="仿宋_GB2312"/>
          <w:color w:val="auto"/>
          <w:sz w:val="32"/>
          <w:szCs w:val="32"/>
        </w:rPr>
        <w:t>城乡</w:t>
      </w:r>
      <w:r>
        <w:rPr>
          <w:rFonts w:hint="eastAsia" w:ascii="仿宋_GB2312" w:hAnsi="仿宋_GB2312" w:eastAsia="仿宋_GB2312" w:cs="仿宋_GB2312"/>
          <w:snapToGrid w:val="0"/>
          <w:color w:val="auto"/>
          <w:spacing w:val="-4"/>
          <w:sz w:val="32"/>
          <w:szCs w:val="32"/>
        </w:rPr>
        <w:t>放心农贸市场覆盖率达到</w:t>
      </w:r>
      <w:r>
        <w:rPr>
          <w:rFonts w:ascii="仿宋_GB2312" w:hAnsi="仿宋_GB2312" w:eastAsia="仿宋_GB2312" w:cs="仿宋_GB2312"/>
          <w:snapToGrid w:val="0"/>
          <w:color w:val="auto"/>
          <w:spacing w:val="-4"/>
          <w:sz w:val="32"/>
          <w:szCs w:val="32"/>
        </w:rPr>
        <w:t>85</w:t>
      </w:r>
      <w:r>
        <w:rPr>
          <w:rFonts w:hint="eastAsia" w:ascii="仿宋_GB2312" w:hAnsi="仿宋_GB2312" w:eastAsia="仿宋_GB2312" w:cs="仿宋_GB2312"/>
          <w:snapToGrid w:val="0"/>
          <w:color w:val="auto"/>
          <w:spacing w:val="-4"/>
          <w:sz w:val="32"/>
          <w:szCs w:val="32"/>
        </w:rPr>
        <w:t>%</w:t>
      </w:r>
      <w:r>
        <w:rPr>
          <w:rFonts w:ascii="仿宋_GB2312" w:hAnsi="仿宋_GB2312" w:eastAsia="仿宋_GB2312" w:cs="仿宋_GB2312"/>
          <w:snapToGrid w:val="0"/>
          <w:color w:val="auto"/>
          <w:spacing w:val="-4"/>
          <w:sz w:val="32"/>
          <w:szCs w:val="32"/>
        </w:rPr>
        <w:t>，</w:t>
      </w:r>
      <w:r>
        <w:rPr>
          <w:rFonts w:hint="eastAsia" w:ascii="仿宋_GB2312" w:eastAsia="仿宋_GB2312"/>
          <w:color w:val="auto"/>
          <w:sz w:val="32"/>
          <w:szCs w:val="32"/>
        </w:rPr>
        <w:t>“食品安全责任险”和“公共场所意外险”双险投保率1</w:t>
      </w:r>
      <w:r>
        <w:rPr>
          <w:rFonts w:ascii="仿宋_GB2312" w:eastAsia="仿宋_GB2312"/>
          <w:color w:val="auto"/>
          <w:sz w:val="32"/>
          <w:szCs w:val="32"/>
        </w:rPr>
        <w:t>00%，</w:t>
      </w:r>
      <w:r>
        <w:rPr>
          <w:rFonts w:hint="eastAsia" w:ascii="仿宋_GB2312" w:eastAsia="仿宋_GB2312"/>
          <w:color w:val="auto"/>
          <w:sz w:val="32"/>
          <w:szCs w:val="32"/>
        </w:rPr>
        <w:t>可降解塑料袋使用率1</w:t>
      </w:r>
      <w:r>
        <w:rPr>
          <w:rFonts w:ascii="仿宋_GB2312" w:eastAsia="仿宋_GB2312"/>
          <w:color w:val="auto"/>
          <w:sz w:val="32"/>
          <w:szCs w:val="32"/>
        </w:rPr>
        <w:t>00%</w:t>
      </w:r>
      <w:r>
        <w:rPr>
          <w:rFonts w:hint="eastAsia" w:ascii="仿宋_GB2312" w:eastAsia="仿宋_GB2312"/>
          <w:color w:val="auto"/>
          <w:sz w:val="32"/>
          <w:szCs w:val="32"/>
        </w:rPr>
        <w:t>，农贸市场快检覆盖率1</w:t>
      </w:r>
      <w:r>
        <w:rPr>
          <w:rFonts w:ascii="仿宋_GB2312" w:eastAsia="仿宋_GB2312"/>
          <w:color w:val="auto"/>
          <w:sz w:val="32"/>
          <w:szCs w:val="32"/>
        </w:rPr>
        <w:t>00%，浙江省商品市场综合管理平台</w:t>
      </w:r>
      <w:r>
        <w:rPr>
          <w:rFonts w:hint="eastAsia" w:ascii="仿宋_GB2312" w:eastAsia="仿宋_GB2312"/>
          <w:color w:val="auto"/>
          <w:sz w:val="32"/>
          <w:szCs w:val="32"/>
        </w:rPr>
        <w:t>使用率1</w:t>
      </w:r>
      <w:r>
        <w:rPr>
          <w:rFonts w:ascii="仿宋_GB2312" w:eastAsia="仿宋_GB2312"/>
          <w:color w:val="auto"/>
          <w:sz w:val="32"/>
          <w:szCs w:val="32"/>
        </w:rPr>
        <w:t>00%</w:t>
      </w:r>
      <w:r>
        <w:rPr>
          <w:rFonts w:hint="eastAsia" w:ascii="仿宋_GB2312" w:eastAsia="仿宋_GB2312"/>
          <w:color w:val="auto"/>
          <w:sz w:val="32"/>
          <w:szCs w:val="32"/>
        </w:rPr>
        <w:t>。</w:t>
      </w:r>
    </w:p>
    <w:p>
      <w:pPr>
        <w:pStyle w:val="5"/>
        <w:numPr>
          <w:ilvl w:val="0"/>
          <w:numId w:val="1"/>
        </w:numPr>
        <w:adjustRightInd/>
        <w:snapToGrid/>
        <w:spacing w:after="0" w:line="600" w:lineRule="exact"/>
        <w:ind w:firstLineChars="0"/>
        <w:jc w:val="both"/>
        <w:rPr>
          <w:rFonts w:ascii="Times New Roman" w:hAnsi="Times New Roman" w:eastAsia="黑体" w:cs="黑体"/>
          <w:snapToGrid w:val="0"/>
          <w:color w:val="auto"/>
          <w:spacing w:val="-4"/>
          <w:kern w:val="2"/>
          <w:sz w:val="32"/>
          <w:szCs w:val="32"/>
        </w:rPr>
      </w:pPr>
      <w:r>
        <w:rPr>
          <w:rFonts w:hint="eastAsia" w:ascii="Times New Roman" w:hAnsi="Times New Roman" w:eastAsia="黑体" w:cs="黑体"/>
          <w:snapToGrid w:val="0"/>
          <w:color w:val="auto"/>
          <w:spacing w:val="-4"/>
          <w:kern w:val="2"/>
          <w:sz w:val="32"/>
          <w:szCs w:val="32"/>
        </w:rPr>
        <w:t>主要任务</w:t>
      </w:r>
    </w:p>
    <w:p>
      <w:pPr>
        <w:spacing w:after="0" w:line="600" w:lineRule="exact"/>
        <w:ind w:firstLine="480" w:firstLineChars="150"/>
        <w:jc w:val="both"/>
        <w:rPr>
          <w:rFonts w:ascii="仿宋_GB2312" w:eastAsia="仿宋_GB2312"/>
          <w:color w:val="auto"/>
          <w:sz w:val="32"/>
          <w:szCs w:val="32"/>
        </w:rPr>
      </w:pPr>
      <w:r>
        <w:rPr>
          <w:rFonts w:hint="eastAsia" w:ascii="楷体" w:hAnsi="楷体" w:eastAsia="楷体" w:cs="楷体"/>
          <w:color w:val="auto"/>
          <w:sz w:val="32"/>
          <w:szCs w:val="32"/>
        </w:rPr>
        <w:t>（一）推进市场规划布局优化</w:t>
      </w:r>
      <w:r>
        <w:rPr>
          <w:rFonts w:ascii="仿宋_GB2312" w:eastAsia="仿宋_GB2312"/>
          <w:color w:val="auto"/>
          <w:sz w:val="32"/>
          <w:szCs w:val="32"/>
        </w:rPr>
        <w:t>。</w:t>
      </w:r>
    </w:p>
    <w:p>
      <w:pPr>
        <w:pStyle w:val="5"/>
        <w:spacing w:after="0" w:line="600" w:lineRule="exact"/>
        <w:jc w:val="both"/>
        <w:rPr>
          <w:rFonts w:ascii="仿宋_GB2312" w:eastAsia="仿宋_GB2312"/>
          <w:color w:val="auto"/>
          <w:sz w:val="32"/>
          <w:szCs w:val="32"/>
        </w:rPr>
      </w:pPr>
      <w:r>
        <w:rPr>
          <w:rFonts w:hint="eastAsia" w:ascii="仿宋_GB2312" w:eastAsia="仿宋_GB2312"/>
          <w:color w:val="auto"/>
          <w:sz w:val="32"/>
          <w:szCs w:val="32"/>
        </w:rPr>
        <w:t>各乡镇人民政府、街道办事处要科学编制农贸市场发展规划，将农贸市场列入公益性基础设施建设，纳入国土空间规划“一张图”，保证农贸市场建设用地指标，做到设置合理</w:t>
      </w:r>
      <w:r>
        <w:rPr>
          <w:rFonts w:ascii="仿宋_GB2312" w:eastAsia="仿宋_GB2312"/>
          <w:color w:val="auto"/>
          <w:sz w:val="32"/>
          <w:szCs w:val="32"/>
        </w:rPr>
        <w:t>、</w:t>
      </w:r>
      <w:r>
        <w:rPr>
          <w:rFonts w:hint="eastAsia" w:ascii="仿宋_GB2312" w:eastAsia="仿宋_GB2312"/>
          <w:color w:val="auto"/>
          <w:sz w:val="32"/>
          <w:szCs w:val="32"/>
        </w:rPr>
        <w:t>布局优化，切实保障人民群众日常生活需求。2023年，已有农贸市场的乡镇</w:t>
      </w:r>
      <w:r>
        <w:rPr>
          <w:rFonts w:ascii="仿宋_GB2312" w:eastAsia="仿宋_GB2312"/>
          <w:color w:val="auto"/>
          <w:sz w:val="32"/>
          <w:szCs w:val="32"/>
        </w:rPr>
        <w:t>(</w:t>
      </w:r>
      <w:r>
        <w:rPr>
          <w:rFonts w:hint="eastAsia" w:ascii="仿宋_GB2312" w:eastAsia="仿宋_GB2312"/>
          <w:color w:val="auto"/>
          <w:sz w:val="32"/>
          <w:szCs w:val="32"/>
        </w:rPr>
        <w:t>街道）</w:t>
      </w:r>
      <w:r>
        <w:rPr>
          <w:rFonts w:ascii="仿宋_GB2312" w:eastAsia="仿宋_GB2312"/>
          <w:b/>
          <w:bCs/>
          <w:color w:val="auto"/>
          <w:sz w:val="32"/>
          <w:szCs w:val="32"/>
        </w:rPr>
        <w:t>至少1家</w:t>
      </w:r>
      <w:r>
        <w:rPr>
          <w:rFonts w:hint="eastAsia" w:ascii="仿宋_GB2312" w:eastAsia="仿宋_GB2312"/>
          <w:color w:val="auto"/>
          <w:sz w:val="32"/>
          <w:szCs w:val="32"/>
        </w:rPr>
        <w:t>达到二星级以上标准，具备创办农贸市场条件的乡镇</w:t>
      </w:r>
      <w:r>
        <w:rPr>
          <w:rFonts w:ascii="仿宋_GB2312" w:eastAsia="仿宋_GB2312"/>
          <w:color w:val="auto"/>
          <w:sz w:val="32"/>
          <w:szCs w:val="32"/>
        </w:rPr>
        <w:t>(</w:t>
      </w:r>
      <w:r>
        <w:rPr>
          <w:rFonts w:hint="eastAsia" w:ascii="仿宋_GB2312" w:eastAsia="仿宋_GB2312"/>
          <w:color w:val="auto"/>
          <w:sz w:val="32"/>
          <w:szCs w:val="32"/>
        </w:rPr>
        <w:t>街道）要设立至少1家农贸市场</w:t>
      </w:r>
      <w:r>
        <w:rPr>
          <w:rFonts w:ascii="仿宋_GB2312" w:eastAsia="仿宋_GB2312"/>
          <w:color w:val="auto"/>
          <w:sz w:val="32"/>
          <w:szCs w:val="32"/>
        </w:rPr>
        <w:t>。</w:t>
      </w:r>
      <w:r>
        <w:rPr>
          <w:rFonts w:hint="eastAsia" w:ascii="仿宋_GB2312" w:eastAsia="仿宋_GB2312"/>
          <w:color w:val="auto"/>
          <w:sz w:val="32"/>
          <w:szCs w:val="32"/>
        </w:rPr>
        <w:t>在</w:t>
      </w:r>
      <w:r>
        <w:rPr>
          <w:rFonts w:ascii="仿宋_GB2312" w:eastAsia="仿宋_GB2312"/>
          <w:color w:val="auto"/>
          <w:sz w:val="32"/>
          <w:szCs w:val="32"/>
        </w:rPr>
        <w:t>2025</w:t>
      </w:r>
      <w:r>
        <w:rPr>
          <w:rFonts w:hint="eastAsia" w:ascii="仿宋_GB2312" w:eastAsia="仿宋_GB2312"/>
          <w:color w:val="auto"/>
          <w:sz w:val="32"/>
          <w:szCs w:val="32"/>
        </w:rPr>
        <w:t>年前</w:t>
      </w:r>
      <w:r>
        <w:rPr>
          <w:rFonts w:ascii="仿宋_GB2312" w:eastAsia="仿宋_GB2312"/>
          <w:color w:val="auto"/>
          <w:sz w:val="32"/>
          <w:szCs w:val="32"/>
        </w:rPr>
        <w:t>，全县城区农贸市场达到三星级以上标准，乡村农贸市场</w:t>
      </w:r>
      <w:r>
        <w:rPr>
          <w:rFonts w:hint="eastAsia" w:ascii="仿宋_GB2312" w:eastAsia="仿宋_GB2312"/>
          <w:color w:val="auto"/>
          <w:sz w:val="32"/>
          <w:szCs w:val="32"/>
        </w:rPr>
        <w:t>达到二星</w:t>
      </w:r>
      <w:r>
        <w:rPr>
          <w:rFonts w:ascii="仿宋_GB2312" w:eastAsia="仿宋_GB2312"/>
          <w:color w:val="auto"/>
          <w:sz w:val="32"/>
          <w:szCs w:val="32"/>
        </w:rPr>
        <w:t>级以上</w:t>
      </w:r>
      <w:r>
        <w:rPr>
          <w:rFonts w:hint="eastAsia" w:ascii="仿宋_GB2312" w:eastAsia="仿宋_GB2312"/>
          <w:color w:val="auto"/>
          <w:sz w:val="32"/>
          <w:szCs w:val="32"/>
        </w:rPr>
        <w:t>标准。（牵头单位：县市场监管局</w:t>
      </w:r>
      <w:r>
        <w:rPr>
          <w:rFonts w:ascii="仿宋_GB2312" w:eastAsia="仿宋_GB2312"/>
          <w:color w:val="auto"/>
          <w:sz w:val="32"/>
          <w:szCs w:val="32"/>
        </w:rPr>
        <w:t>、</w:t>
      </w:r>
      <w:r>
        <w:rPr>
          <w:rFonts w:hint="eastAsia" w:ascii="仿宋_GB2312" w:eastAsia="仿宋_GB2312"/>
          <w:color w:val="auto"/>
          <w:sz w:val="32"/>
          <w:szCs w:val="32"/>
        </w:rPr>
        <w:t>县商务局</w:t>
      </w:r>
      <w:r>
        <w:rPr>
          <w:rFonts w:ascii="仿宋_GB2312" w:eastAsia="仿宋_GB2312"/>
          <w:color w:val="auto"/>
          <w:sz w:val="32"/>
          <w:szCs w:val="32"/>
        </w:rPr>
        <w:t>、</w:t>
      </w:r>
      <w:r>
        <w:rPr>
          <w:rFonts w:hint="eastAsia" w:ascii="仿宋_GB2312" w:eastAsia="仿宋_GB2312"/>
          <w:color w:val="auto"/>
          <w:sz w:val="32"/>
          <w:szCs w:val="32"/>
        </w:rPr>
        <w:t>县自然资源和规划局</w:t>
      </w:r>
      <w:r>
        <w:rPr>
          <w:rFonts w:ascii="仿宋_GB2312" w:eastAsia="仿宋_GB2312"/>
          <w:color w:val="auto"/>
          <w:sz w:val="32"/>
          <w:szCs w:val="32"/>
        </w:rPr>
        <w:t>；</w:t>
      </w:r>
      <w:r>
        <w:rPr>
          <w:rFonts w:hint="eastAsia" w:ascii="仿宋_GB2312" w:eastAsia="仿宋_GB2312"/>
          <w:color w:val="auto"/>
          <w:sz w:val="32"/>
          <w:szCs w:val="32"/>
        </w:rPr>
        <w:t>责任单位：各乡镇人民政府、街道办事处）</w:t>
      </w:r>
    </w:p>
    <w:p>
      <w:pPr>
        <w:pStyle w:val="5"/>
        <w:spacing w:after="0" w:line="600" w:lineRule="exact"/>
        <w:jc w:val="both"/>
        <w:rPr>
          <w:rFonts w:ascii="楷体" w:hAnsi="楷体" w:eastAsia="楷体" w:cs="楷体"/>
          <w:color w:val="auto"/>
          <w:sz w:val="32"/>
          <w:szCs w:val="32"/>
        </w:rPr>
      </w:pPr>
      <w:r>
        <w:rPr>
          <w:rFonts w:hint="eastAsia" w:ascii="仿宋_GB2312" w:eastAsia="仿宋_GB2312"/>
          <w:color w:val="auto"/>
          <w:sz w:val="32"/>
          <w:szCs w:val="32"/>
        </w:rPr>
        <w:t>（二）</w:t>
      </w:r>
      <w:r>
        <w:rPr>
          <w:rFonts w:hint="eastAsia" w:ascii="楷体" w:hAnsi="楷体" w:eastAsia="楷体" w:cs="楷体"/>
          <w:color w:val="auto"/>
          <w:sz w:val="32"/>
          <w:szCs w:val="32"/>
        </w:rPr>
        <w:t>推进农贸市场提档创星</w:t>
      </w:r>
      <w:r>
        <w:rPr>
          <w:rFonts w:ascii="楷体" w:hAnsi="楷体" w:eastAsia="楷体" w:cs="楷体"/>
          <w:color w:val="auto"/>
          <w:sz w:val="32"/>
          <w:szCs w:val="32"/>
        </w:rPr>
        <w:t>。</w:t>
      </w:r>
    </w:p>
    <w:p>
      <w:pPr>
        <w:spacing w:after="0" w:line="60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按照《浙江省星级文明规范市场标准》</w:t>
      </w:r>
      <w:r>
        <w:rPr>
          <w:rFonts w:ascii="仿宋_GB2312" w:eastAsia="仿宋_GB2312"/>
          <w:color w:val="auto"/>
          <w:sz w:val="32"/>
          <w:szCs w:val="32"/>
        </w:rPr>
        <w:t>，</w:t>
      </w:r>
      <w:r>
        <w:rPr>
          <w:rFonts w:hint="eastAsia" w:ascii="仿宋_GB2312" w:eastAsia="仿宋_GB2312"/>
          <w:color w:val="auto"/>
          <w:sz w:val="32"/>
          <w:szCs w:val="32"/>
        </w:rPr>
        <w:t>全面推进农贸市场提档创星，</w:t>
      </w:r>
      <w:r>
        <w:rPr>
          <w:rFonts w:ascii="仿宋_GB2312" w:eastAsia="仿宋_GB2312"/>
          <w:color w:val="auto"/>
          <w:sz w:val="32"/>
          <w:szCs w:val="32"/>
        </w:rPr>
        <w:t>重点解决</w:t>
      </w:r>
      <w:r>
        <w:rPr>
          <w:rFonts w:hint="eastAsia" w:ascii="仿宋_GB2312" w:eastAsia="仿宋_GB2312"/>
          <w:color w:val="auto"/>
          <w:sz w:val="32"/>
          <w:szCs w:val="32"/>
        </w:rPr>
        <w:t>建设水平不高、</w:t>
      </w:r>
      <w:r>
        <w:rPr>
          <w:rFonts w:ascii="仿宋_GB2312" w:eastAsia="仿宋_GB2312"/>
          <w:color w:val="auto"/>
          <w:sz w:val="32"/>
          <w:szCs w:val="32"/>
        </w:rPr>
        <w:t>管理手段粗放、长效机制缺乏等问题</w:t>
      </w:r>
      <w:r>
        <w:rPr>
          <w:rFonts w:hint="eastAsia" w:ascii="仿宋_GB2312" w:eastAsia="仿宋_GB2312"/>
          <w:color w:val="auto"/>
          <w:sz w:val="32"/>
          <w:szCs w:val="32"/>
        </w:rPr>
        <w:t>，实现市场建设星级化、服务均等化、管理标准化</w:t>
      </w:r>
      <w:r>
        <w:rPr>
          <w:rFonts w:ascii="仿宋_GB2312" w:eastAsia="仿宋_GB2312"/>
          <w:color w:val="auto"/>
          <w:sz w:val="32"/>
          <w:szCs w:val="32"/>
        </w:rPr>
        <w:t>。</w:t>
      </w:r>
      <w:r>
        <w:rPr>
          <w:rFonts w:hint="eastAsia" w:ascii="仿宋_GB2312" w:eastAsia="仿宋_GB2312"/>
          <w:color w:val="auto"/>
          <w:sz w:val="32"/>
          <w:szCs w:val="32"/>
        </w:rPr>
        <w:t>各乡镇人民政府、街道办事处要从实际出发，争创四星级以上</w:t>
      </w:r>
      <w:r>
        <w:rPr>
          <w:rFonts w:hint="eastAsia" w:ascii="Times New Roman" w:hAnsi="Times New Roman" w:eastAsia="仿宋_GB2312" w:cs="仿宋_GB2312"/>
          <w:snapToGrid w:val="0"/>
          <w:color w:val="auto"/>
          <w:spacing w:val="-4"/>
          <w:sz w:val="32"/>
          <w:szCs w:val="32"/>
        </w:rPr>
        <w:t>文明规范农贸</w:t>
      </w:r>
      <w:r>
        <w:rPr>
          <w:rFonts w:hint="eastAsia" w:ascii="仿宋_GB2312" w:eastAsia="仿宋_GB2312"/>
          <w:color w:val="auto"/>
          <w:sz w:val="32"/>
          <w:szCs w:val="32"/>
        </w:rPr>
        <w:t>市场，提高城乡放心农贸市场覆盖率。各乡镇人民政府、街道办事处要积极开展四星级以上农贸市场培育工作，确定培育对象，报县</w:t>
      </w:r>
      <w:r>
        <w:rPr>
          <w:rFonts w:ascii="Times New Roman" w:hAnsi="Times New Roman" w:eastAsia="仿宋_GB2312" w:cs="仿宋_GB2312"/>
          <w:snapToGrid w:val="0"/>
          <w:color w:val="auto"/>
          <w:spacing w:val="-4"/>
          <w:sz w:val="32"/>
          <w:szCs w:val="32"/>
        </w:rPr>
        <w:t>农</w:t>
      </w:r>
      <w:r>
        <w:rPr>
          <w:rFonts w:hint="eastAsia" w:ascii="Times New Roman" w:hAnsi="Times New Roman" w:eastAsia="仿宋_GB2312" w:cs="仿宋_GB2312"/>
          <w:snapToGrid w:val="0"/>
          <w:color w:val="auto"/>
          <w:spacing w:val="-4"/>
          <w:sz w:val="32"/>
          <w:szCs w:val="32"/>
        </w:rPr>
        <w:t>提办</w:t>
      </w:r>
      <w:r>
        <w:rPr>
          <w:rFonts w:hint="eastAsia" w:ascii="仿宋_GB2312" w:eastAsia="仿宋_GB2312"/>
          <w:color w:val="auto"/>
          <w:sz w:val="32"/>
          <w:szCs w:val="32"/>
        </w:rPr>
        <w:t>。（牵头单位：县农提办</w:t>
      </w:r>
      <w:r>
        <w:rPr>
          <w:rFonts w:ascii="仿宋_GB2312" w:eastAsia="仿宋_GB2312"/>
          <w:color w:val="auto"/>
          <w:sz w:val="32"/>
          <w:szCs w:val="32"/>
        </w:rPr>
        <w:t>；</w:t>
      </w:r>
      <w:r>
        <w:rPr>
          <w:rFonts w:hint="eastAsia" w:ascii="仿宋_GB2312" w:eastAsia="仿宋_GB2312"/>
          <w:color w:val="auto"/>
          <w:sz w:val="32"/>
          <w:szCs w:val="32"/>
        </w:rPr>
        <w:t>责任单位：各乡镇人民政府、街道办事处）</w:t>
      </w:r>
    </w:p>
    <w:p>
      <w:pPr>
        <w:pStyle w:val="5"/>
        <w:spacing w:after="0" w:line="600" w:lineRule="exact"/>
        <w:ind w:left="640" w:firstLine="0" w:firstLineChars="0"/>
        <w:jc w:val="both"/>
        <w:rPr>
          <w:rFonts w:ascii="楷体" w:hAnsi="楷体" w:eastAsia="楷体" w:cs="楷体"/>
          <w:color w:val="auto"/>
          <w:sz w:val="32"/>
          <w:szCs w:val="32"/>
        </w:rPr>
      </w:pPr>
      <w:r>
        <w:rPr>
          <w:rFonts w:hint="eastAsia" w:ascii="楷体" w:hAnsi="楷体" w:eastAsia="楷体" w:cs="楷体"/>
          <w:color w:val="auto"/>
          <w:sz w:val="32"/>
          <w:szCs w:val="32"/>
        </w:rPr>
        <w:t>（三）推进市场周边环境整治</w:t>
      </w:r>
      <w:r>
        <w:rPr>
          <w:rFonts w:ascii="楷体" w:hAnsi="楷体" w:eastAsia="楷体" w:cs="楷体"/>
          <w:color w:val="auto"/>
          <w:sz w:val="32"/>
          <w:szCs w:val="32"/>
        </w:rPr>
        <w:t>。</w:t>
      </w:r>
    </w:p>
    <w:p>
      <w:pPr>
        <w:spacing w:after="0" w:line="600" w:lineRule="exact"/>
        <w:ind w:firstLine="624" w:firstLineChars="200"/>
        <w:jc w:val="both"/>
        <w:rPr>
          <w:rFonts w:ascii="仿宋_GB2312" w:eastAsia="仿宋_GB2312"/>
          <w:color w:val="auto"/>
          <w:sz w:val="32"/>
          <w:szCs w:val="32"/>
        </w:rPr>
      </w:pPr>
      <w:r>
        <w:rPr>
          <w:rFonts w:hint="eastAsia" w:ascii="Times New Roman" w:hAnsi="Times New Roman" w:eastAsia="仿宋_GB2312" w:cs="仿宋_GB2312"/>
          <w:snapToGrid w:val="0"/>
          <w:color w:val="auto"/>
          <w:spacing w:val="-4"/>
          <w:sz w:val="32"/>
          <w:szCs w:val="32"/>
        </w:rPr>
        <w:t>加强</w:t>
      </w:r>
      <w:r>
        <w:rPr>
          <w:rFonts w:ascii="Times New Roman" w:hAnsi="Times New Roman" w:eastAsia="仿宋_GB2312" w:cs="仿宋_GB2312"/>
          <w:snapToGrid w:val="0"/>
          <w:color w:val="auto"/>
          <w:spacing w:val="-4"/>
          <w:sz w:val="32"/>
          <w:szCs w:val="32"/>
        </w:rPr>
        <w:t>对</w:t>
      </w:r>
      <w:r>
        <w:rPr>
          <w:rFonts w:hint="eastAsia" w:ascii="Times New Roman" w:hAnsi="Times New Roman" w:eastAsia="仿宋_GB2312" w:cs="仿宋_GB2312"/>
          <w:snapToGrid w:val="0"/>
          <w:color w:val="auto"/>
          <w:spacing w:val="-4"/>
          <w:sz w:val="32"/>
          <w:szCs w:val="32"/>
        </w:rPr>
        <w:t>农贸市场周边流动摊贩、</w:t>
      </w:r>
      <w:r>
        <w:rPr>
          <w:rFonts w:ascii="Times New Roman" w:hAnsi="Times New Roman" w:eastAsia="仿宋_GB2312" w:cs="仿宋_GB2312"/>
          <w:snapToGrid w:val="0"/>
          <w:color w:val="auto"/>
          <w:spacing w:val="-4"/>
          <w:sz w:val="32"/>
          <w:szCs w:val="32"/>
        </w:rPr>
        <w:t>生鲜门店的管理，以及</w:t>
      </w:r>
      <w:r>
        <w:rPr>
          <w:rFonts w:hint="eastAsia" w:ascii="Times New Roman" w:hAnsi="Times New Roman" w:eastAsia="仿宋_GB2312" w:cs="仿宋_GB2312"/>
          <w:snapToGrid w:val="0"/>
          <w:color w:val="auto"/>
          <w:spacing w:val="-4"/>
          <w:sz w:val="32"/>
          <w:szCs w:val="32"/>
        </w:rPr>
        <w:t>占道经营</w:t>
      </w:r>
      <w:r>
        <w:rPr>
          <w:rFonts w:ascii="Times New Roman" w:hAnsi="Times New Roman" w:eastAsia="仿宋_GB2312" w:cs="仿宋_GB2312"/>
          <w:snapToGrid w:val="0"/>
          <w:color w:val="auto"/>
          <w:spacing w:val="-4"/>
          <w:sz w:val="32"/>
          <w:szCs w:val="32"/>
        </w:rPr>
        <w:t>等影响</w:t>
      </w:r>
      <w:r>
        <w:rPr>
          <w:rFonts w:hint="eastAsia" w:ascii="Times New Roman" w:hAnsi="Times New Roman" w:eastAsia="仿宋_GB2312" w:cs="仿宋_GB2312"/>
          <w:snapToGrid w:val="0"/>
          <w:color w:val="auto"/>
          <w:spacing w:val="-4"/>
          <w:sz w:val="32"/>
          <w:szCs w:val="32"/>
        </w:rPr>
        <w:t>交通秩序</w:t>
      </w:r>
      <w:r>
        <w:rPr>
          <w:rFonts w:ascii="Times New Roman" w:hAnsi="Times New Roman" w:eastAsia="仿宋_GB2312" w:cs="仿宋_GB2312"/>
          <w:snapToGrid w:val="0"/>
          <w:color w:val="auto"/>
          <w:spacing w:val="-4"/>
          <w:sz w:val="32"/>
          <w:szCs w:val="32"/>
        </w:rPr>
        <w:t>行为的管治，</w:t>
      </w:r>
      <w:r>
        <w:rPr>
          <w:rFonts w:hint="eastAsia" w:ascii="Times New Roman" w:hAnsi="Times New Roman" w:eastAsia="仿宋_GB2312" w:cs="仿宋_GB2312"/>
          <w:snapToGrid w:val="0"/>
          <w:color w:val="auto"/>
          <w:spacing w:val="-4"/>
          <w:sz w:val="32"/>
          <w:szCs w:val="32"/>
        </w:rPr>
        <w:t>维护好市场周边的交易环境。</w:t>
      </w:r>
      <w:r>
        <w:rPr>
          <w:rFonts w:ascii="Times New Roman" w:hAnsi="Times New Roman" w:eastAsia="仿宋_GB2312" w:cs="仿宋_GB2312"/>
          <w:snapToGrid w:val="0"/>
          <w:color w:val="auto"/>
          <w:spacing w:val="-4"/>
          <w:sz w:val="32"/>
          <w:szCs w:val="32"/>
        </w:rPr>
        <w:t>积极</w:t>
      </w:r>
      <w:r>
        <w:rPr>
          <w:rFonts w:hint="eastAsia" w:ascii="Times New Roman" w:hAnsi="Times New Roman" w:eastAsia="仿宋_GB2312" w:cs="仿宋_GB2312"/>
          <w:snapToGrid w:val="0"/>
          <w:color w:val="auto"/>
          <w:spacing w:val="-4"/>
          <w:sz w:val="32"/>
          <w:szCs w:val="32"/>
        </w:rPr>
        <w:t>引导市场周边流动摊贩至就近农贸市场</w:t>
      </w:r>
      <w:r>
        <w:rPr>
          <w:rFonts w:ascii="Times New Roman" w:hAnsi="Times New Roman" w:eastAsia="仿宋_GB2312" w:cs="仿宋_GB2312"/>
          <w:snapToGrid w:val="0"/>
          <w:color w:val="auto"/>
          <w:spacing w:val="-4"/>
          <w:sz w:val="32"/>
          <w:szCs w:val="32"/>
        </w:rPr>
        <w:t>，鼓励</w:t>
      </w:r>
      <w:r>
        <w:rPr>
          <w:rFonts w:hint="eastAsia" w:ascii="Times New Roman" w:hAnsi="Times New Roman" w:eastAsia="仿宋_GB2312" w:cs="仿宋_GB2312"/>
          <w:snapToGrid w:val="0"/>
          <w:color w:val="auto"/>
          <w:spacing w:val="-4"/>
          <w:sz w:val="32"/>
          <w:szCs w:val="32"/>
        </w:rPr>
        <w:t>农贸市场</w:t>
      </w:r>
      <w:r>
        <w:rPr>
          <w:rFonts w:ascii="Times New Roman" w:hAnsi="Times New Roman" w:eastAsia="仿宋_GB2312" w:cs="仿宋_GB2312"/>
          <w:snapToGrid w:val="0"/>
          <w:color w:val="auto"/>
          <w:spacing w:val="-4"/>
          <w:sz w:val="32"/>
          <w:szCs w:val="32"/>
        </w:rPr>
        <w:t>根据自身情况</w:t>
      </w:r>
      <w:r>
        <w:rPr>
          <w:rFonts w:hint="eastAsia" w:ascii="Times New Roman" w:hAnsi="Times New Roman" w:eastAsia="仿宋_GB2312" w:cs="仿宋_GB2312"/>
          <w:snapToGrid w:val="0"/>
          <w:color w:val="auto"/>
          <w:spacing w:val="-4"/>
          <w:sz w:val="32"/>
          <w:szCs w:val="32"/>
        </w:rPr>
        <w:t>设置</w:t>
      </w:r>
      <w:r>
        <w:rPr>
          <w:rFonts w:ascii="Times New Roman" w:hAnsi="Times New Roman" w:eastAsia="仿宋_GB2312" w:cs="仿宋_GB2312"/>
          <w:snapToGrid w:val="0"/>
          <w:color w:val="auto"/>
          <w:spacing w:val="-4"/>
          <w:sz w:val="32"/>
          <w:szCs w:val="32"/>
        </w:rPr>
        <w:t>一定比例</w:t>
      </w:r>
      <w:r>
        <w:rPr>
          <w:rFonts w:hint="eastAsia" w:ascii="Times New Roman" w:hAnsi="Times New Roman" w:eastAsia="仿宋_GB2312" w:cs="仿宋_GB2312"/>
          <w:snapToGrid w:val="0"/>
          <w:color w:val="auto"/>
          <w:spacing w:val="-4"/>
          <w:sz w:val="32"/>
          <w:szCs w:val="32"/>
        </w:rPr>
        <w:t>的自产自销区，</w:t>
      </w:r>
      <w:r>
        <w:rPr>
          <w:rFonts w:ascii="Times New Roman" w:hAnsi="Times New Roman" w:eastAsia="仿宋_GB2312" w:cs="仿宋_GB2312"/>
          <w:snapToGrid w:val="0"/>
          <w:color w:val="auto"/>
          <w:spacing w:val="-4"/>
          <w:sz w:val="32"/>
          <w:szCs w:val="32"/>
        </w:rPr>
        <w:t>供临时摊位免费摆放。</w:t>
      </w:r>
      <w:r>
        <w:rPr>
          <w:rFonts w:hint="eastAsia" w:ascii="Times New Roman" w:hAnsi="Times New Roman" w:eastAsia="仿宋_GB2312" w:cs="仿宋_GB2312"/>
          <w:snapToGrid w:val="0"/>
          <w:color w:val="auto"/>
          <w:spacing w:val="-4"/>
          <w:sz w:val="32"/>
          <w:szCs w:val="32"/>
        </w:rPr>
        <w:t>实施城区农贸市场周边</w:t>
      </w:r>
      <w:r>
        <w:rPr>
          <w:rFonts w:ascii="Times New Roman" w:hAnsi="Times New Roman" w:eastAsia="仿宋_GB2312" w:cs="仿宋_GB2312"/>
          <w:snapToGrid w:val="0"/>
          <w:color w:val="auto"/>
          <w:spacing w:val="-4"/>
          <w:sz w:val="32"/>
          <w:szCs w:val="32"/>
        </w:rPr>
        <w:t>生鲜门店</w:t>
      </w:r>
      <w:r>
        <w:rPr>
          <w:rFonts w:hint="eastAsia" w:ascii="Times New Roman" w:hAnsi="Times New Roman" w:eastAsia="仿宋_GB2312" w:cs="仿宋_GB2312"/>
          <w:snapToGrid w:val="0"/>
          <w:color w:val="auto"/>
          <w:spacing w:val="-4"/>
          <w:sz w:val="32"/>
          <w:szCs w:val="32"/>
        </w:rPr>
        <w:t>治理“一件事”</w:t>
      </w:r>
      <w:r>
        <w:rPr>
          <w:rFonts w:hint="eastAsia" w:ascii="仿宋_GB2312" w:hAnsi="宋体" w:eastAsia="仿宋_GB2312" w:cs="宋体"/>
          <w:color w:val="auto"/>
          <w:sz w:val="32"/>
          <w:szCs w:val="32"/>
        </w:rPr>
        <w:t>改革，加强市场周边食品安全、环境卫生等管理力度，构建场内场外一体化协同管理模式。</w:t>
      </w:r>
      <w:r>
        <w:rPr>
          <w:rFonts w:hint="eastAsia" w:ascii="仿宋_GB2312" w:eastAsia="仿宋_GB2312"/>
          <w:color w:val="auto"/>
          <w:sz w:val="32"/>
          <w:szCs w:val="32"/>
        </w:rPr>
        <w:t>（牵头单位：县市场监管局、县综合行政执法局</w:t>
      </w:r>
      <w:r>
        <w:rPr>
          <w:rFonts w:ascii="仿宋_GB2312" w:eastAsia="仿宋_GB2312"/>
          <w:color w:val="auto"/>
          <w:sz w:val="32"/>
          <w:szCs w:val="32"/>
        </w:rPr>
        <w:t>；</w:t>
      </w:r>
      <w:r>
        <w:rPr>
          <w:rFonts w:hint="eastAsia" w:ascii="仿宋_GB2312" w:eastAsia="仿宋_GB2312"/>
          <w:color w:val="auto"/>
          <w:sz w:val="32"/>
          <w:szCs w:val="32"/>
        </w:rPr>
        <w:t>配合单位：县公安局</w:t>
      </w:r>
      <w:r>
        <w:rPr>
          <w:rFonts w:ascii="仿宋_GB2312" w:eastAsia="仿宋_GB2312"/>
          <w:color w:val="auto"/>
          <w:sz w:val="32"/>
          <w:szCs w:val="32"/>
        </w:rPr>
        <w:t>；</w:t>
      </w:r>
      <w:r>
        <w:rPr>
          <w:rFonts w:hint="eastAsia" w:ascii="仿宋_GB2312" w:eastAsia="仿宋_GB2312"/>
          <w:color w:val="auto"/>
          <w:sz w:val="32"/>
          <w:szCs w:val="32"/>
        </w:rPr>
        <w:t>责任单位：各乡镇人民政府、街道办事处）</w:t>
      </w:r>
    </w:p>
    <w:p>
      <w:pPr>
        <w:spacing w:after="0" w:line="600" w:lineRule="exact"/>
        <w:ind w:firstLine="640" w:firstLineChars="200"/>
        <w:jc w:val="both"/>
        <w:rPr>
          <w:rFonts w:ascii="楷体" w:hAnsi="楷体" w:eastAsia="楷体" w:cs="楷体"/>
          <w:color w:val="auto"/>
          <w:sz w:val="32"/>
          <w:szCs w:val="32"/>
        </w:rPr>
      </w:pPr>
      <w:r>
        <w:rPr>
          <w:rFonts w:hint="eastAsia" w:ascii="楷体" w:hAnsi="楷体" w:eastAsia="楷体" w:cs="楷体"/>
          <w:color w:val="auto"/>
          <w:sz w:val="32"/>
          <w:szCs w:val="32"/>
        </w:rPr>
        <w:t>（四）推进无证市场整治规范</w:t>
      </w:r>
      <w:r>
        <w:rPr>
          <w:rFonts w:ascii="楷体" w:hAnsi="楷体" w:eastAsia="楷体" w:cs="楷体"/>
          <w:color w:val="auto"/>
          <w:sz w:val="32"/>
          <w:szCs w:val="32"/>
        </w:rPr>
        <w:t>。</w:t>
      </w:r>
    </w:p>
    <w:p>
      <w:pPr>
        <w:spacing w:after="0" w:line="600" w:lineRule="exact"/>
        <w:ind w:firstLine="624" w:firstLineChars="200"/>
        <w:jc w:val="both"/>
        <w:rPr>
          <w:rFonts w:ascii="仿宋_GB2312" w:eastAsia="仿宋_GB2312"/>
          <w:color w:val="auto"/>
          <w:sz w:val="32"/>
          <w:szCs w:val="32"/>
        </w:rPr>
      </w:pPr>
      <w:r>
        <w:rPr>
          <w:rFonts w:hint="eastAsia" w:ascii="Times New Roman" w:hAnsi="Times New Roman" w:eastAsia="仿宋_GB2312" w:cs="仿宋_GB2312"/>
          <w:snapToGrid w:val="0"/>
          <w:color w:val="auto"/>
          <w:spacing w:val="-4"/>
          <w:sz w:val="32"/>
          <w:szCs w:val="32"/>
        </w:rPr>
        <w:t>开展无证农贸市场大排查，加大整治力度，</w:t>
      </w:r>
      <w:r>
        <w:rPr>
          <w:rFonts w:ascii="Times New Roman" w:hAnsi="Times New Roman" w:eastAsia="仿宋_GB2312" w:cs="仿宋_GB2312"/>
          <w:snapToGrid w:val="0"/>
          <w:color w:val="auto"/>
          <w:spacing w:val="-4"/>
          <w:sz w:val="32"/>
          <w:szCs w:val="32"/>
        </w:rPr>
        <w:t>实施</w:t>
      </w:r>
      <w:r>
        <w:rPr>
          <w:rFonts w:hint="eastAsia" w:ascii="仿宋_GB2312" w:eastAsia="仿宋_GB2312"/>
          <w:color w:val="auto"/>
          <w:sz w:val="32"/>
          <w:szCs w:val="32"/>
        </w:rPr>
        <w:t>分类处置</w:t>
      </w:r>
      <w:r>
        <w:rPr>
          <w:rFonts w:hint="eastAsia" w:ascii="Times New Roman" w:hAnsi="Times New Roman" w:eastAsia="仿宋_GB2312" w:cs="仿宋_GB2312"/>
          <w:snapToGrid w:val="0"/>
          <w:color w:val="auto"/>
          <w:spacing w:val="-4"/>
          <w:sz w:val="32"/>
          <w:szCs w:val="32"/>
        </w:rPr>
        <w:t>，限期</w:t>
      </w:r>
      <w:r>
        <w:rPr>
          <w:rFonts w:ascii="Times New Roman" w:hAnsi="Times New Roman" w:eastAsia="仿宋_GB2312" w:cs="仿宋_GB2312"/>
          <w:snapToGrid w:val="0"/>
          <w:color w:val="auto"/>
          <w:spacing w:val="-4"/>
          <w:sz w:val="32"/>
          <w:szCs w:val="32"/>
        </w:rPr>
        <w:t>完成</w:t>
      </w:r>
      <w:r>
        <w:rPr>
          <w:rFonts w:hint="eastAsia" w:ascii="Times New Roman" w:hAnsi="Times New Roman" w:eastAsia="仿宋_GB2312" w:cs="仿宋_GB2312"/>
          <w:snapToGrid w:val="0"/>
          <w:color w:val="auto"/>
          <w:spacing w:val="-4"/>
          <w:sz w:val="32"/>
          <w:szCs w:val="32"/>
        </w:rPr>
        <w:t>改造</w:t>
      </w:r>
      <w:r>
        <w:rPr>
          <w:rFonts w:hint="eastAsia" w:ascii="仿宋_GB2312" w:eastAsia="仿宋_GB2312"/>
          <w:color w:val="auto"/>
          <w:sz w:val="32"/>
          <w:szCs w:val="32"/>
        </w:rPr>
        <w:t>。</w:t>
      </w:r>
      <w:r>
        <w:rPr>
          <w:rFonts w:hint="eastAsia" w:ascii="Times New Roman" w:hAnsi="Times New Roman" w:eastAsia="仿宋_GB2312" w:cs="仿宋_GB2312"/>
          <w:snapToGrid w:val="0"/>
          <w:color w:val="auto"/>
          <w:spacing w:val="-4"/>
          <w:sz w:val="32"/>
          <w:szCs w:val="32"/>
        </w:rPr>
        <w:t>因人民群众生活需要</w:t>
      </w:r>
      <w:r>
        <w:rPr>
          <w:rFonts w:ascii="Times New Roman" w:hAnsi="Times New Roman" w:eastAsia="仿宋_GB2312" w:cs="仿宋_GB2312"/>
          <w:snapToGrid w:val="0"/>
          <w:color w:val="auto"/>
          <w:spacing w:val="-4"/>
          <w:sz w:val="32"/>
          <w:szCs w:val="32"/>
        </w:rPr>
        <w:t>，</w:t>
      </w:r>
      <w:r>
        <w:rPr>
          <w:rFonts w:hint="eastAsia" w:ascii="Times New Roman" w:hAnsi="Times New Roman" w:eastAsia="仿宋_GB2312" w:cs="仿宋_GB2312"/>
          <w:snapToGrid w:val="0"/>
          <w:color w:val="auto"/>
          <w:spacing w:val="-4"/>
          <w:sz w:val="32"/>
          <w:szCs w:val="32"/>
        </w:rPr>
        <w:t>属地政府确定保留的无证农贸市场，须及时进行改造提升、规范管理，</w:t>
      </w:r>
      <w:r>
        <w:rPr>
          <w:rFonts w:ascii="Times New Roman" w:hAnsi="Times New Roman" w:eastAsia="仿宋_GB2312" w:cs="仿宋_GB2312"/>
          <w:snapToGrid w:val="0"/>
          <w:color w:val="auto"/>
          <w:spacing w:val="-4"/>
          <w:sz w:val="32"/>
          <w:szCs w:val="32"/>
        </w:rPr>
        <w:t>并</w:t>
      </w:r>
      <w:r>
        <w:rPr>
          <w:rFonts w:hint="eastAsia" w:ascii="Times New Roman" w:hAnsi="Times New Roman" w:eastAsia="仿宋_GB2312" w:cs="仿宋_GB2312"/>
          <w:snapToGrid w:val="0"/>
          <w:color w:val="auto"/>
          <w:spacing w:val="-4"/>
          <w:sz w:val="32"/>
          <w:szCs w:val="32"/>
        </w:rPr>
        <w:t>依法办理市场名称登记。</w:t>
      </w:r>
      <w:r>
        <w:rPr>
          <w:rFonts w:ascii="Times New Roman" w:hAnsi="Times New Roman" w:eastAsia="仿宋_GB2312" w:cs="仿宋_GB2312"/>
          <w:snapToGrid w:val="0"/>
          <w:color w:val="auto"/>
          <w:spacing w:val="-4"/>
          <w:sz w:val="32"/>
          <w:szCs w:val="32"/>
        </w:rPr>
        <w:t>存在安全隐患、未取得相关验收许可等违法行为的由属地政府或相关部门负责依法处理。</w:t>
      </w:r>
      <w:r>
        <w:rPr>
          <w:rFonts w:hint="eastAsia" w:ascii="仿宋_GB2312" w:eastAsia="仿宋_GB2312"/>
          <w:color w:val="auto"/>
          <w:sz w:val="32"/>
          <w:szCs w:val="32"/>
        </w:rPr>
        <w:t>（牵头单位：县农提办</w:t>
      </w:r>
      <w:r>
        <w:rPr>
          <w:rFonts w:ascii="仿宋_GB2312" w:eastAsia="仿宋_GB2312"/>
          <w:color w:val="auto"/>
          <w:sz w:val="32"/>
          <w:szCs w:val="32"/>
        </w:rPr>
        <w:t>；</w:t>
      </w:r>
      <w:r>
        <w:rPr>
          <w:rFonts w:hint="eastAsia" w:ascii="仿宋_GB2312" w:eastAsia="仿宋_GB2312"/>
          <w:color w:val="auto"/>
          <w:sz w:val="32"/>
          <w:szCs w:val="32"/>
        </w:rPr>
        <w:t>配合单位：县市场监管局、县综合行政执法局、县自然资源和规划局、县住房和城乡建设局、县消防救援</w:t>
      </w:r>
      <w:r>
        <w:rPr>
          <w:rFonts w:ascii="仿宋_GB2312" w:eastAsia="仿宋_GB2312"/>
          <w:color w:val="auto"/>
          <w:sz w:val="32"/>
          <w:szCs w:val="32"/>
        </w:rPr>
        <w:t>大</w:t>
      </w:r>
      <w:r>
        <w:rPr>
          <w:rFonts w:hint="eastAsia" w:ascii="仿宋_GB2312" w:eastAsia="仿宋_GB2312"/>
          <w:color w:val="auto"/>
          <w:sz w:val="32"/>
          <w:szCs w:val="32"/>
        </w:rPr>
        <w:t>队</w:t>
      </w:r>
      <w:r>
        <w:rPr>
          <w:rFonts w:ascii="仿宋_GB2312" w:eastAsia="仿宋_GB2312"/>
          <w:color w:val="auto"/>
          <w:sz w:val="32"/>
          <w:szCs w:val="32"/>
        </w:rPr>
        <w:t>；</w:t>
      </w:r>
      <w:r>
        <w:rPr>
          <w:rFonts w:hint="eastAsia" w:ascii="仿宋_GB2312" w:eastAsia="仿宋_GB2312"/>
          <w:color w:val="auto"/>
          <w:sz w:val="32"/>
          <w:szCs w:val="32"/>
        </w:rPr>
        <w:t>责任单位：各乡镇人民政府、街道办事处）</w:t>
      </w:r>
    </w:p>
    <w:p>
      <w:pPr>
        <w:spacing w:after="0" w:line="600" w:lineRule="exact"/>
        <w:ind w:firstLine="640" w:firstLineChars="200"/>
        <w:jc w:val="both"/>
        <w:rPr>
          <w:rFonts w:ascii="楷体" w:hAnsi="楷体" w:eastAsia="楷体" w:cs="楷体"/>
          <w:color w:val="auto"/>
          <w:sz w:val="32"/>
          <w:szCs w:val="32"/>
        </w:rPr>
      </w:pPr>
      <w:r>
        <w:rPr>
          <w:rFonts w:hint="eastAsia" w:ascii="仿宋_GB2312" w:eastAsia="仿宋_GB2312"/>
          <w:color w:val="auto"/>
          <w:sz w:val="32"/>
          <w:szCs w:val="32"/>
        </w:rPr>
        <w:t>（五）</w:t>
      </w:r>
      <w:r>
        <w:rPr>
          <w:rFonts w:hint="eastAsia" w:ascii="楷体" w:hAnsi="楷体" w:eastAsia="楷体" w:cs="楷体"/>
          <w:color w:val="auto"/>
          <w:sz w:val="32"/>
          <w:szCs w:val="32"/>
        </w:rPr>
        <w:t>推进新型农贸市场建设</w:t>
      </w:r>
      <w:r>
        <w:rPr>
          <w:rFonts w:ascii="楷体" w:hAnsi="楷体" w:eastAsia="楷体" w:cs="楷体"/>
          <w:color w:val="auto"/>
          <w:sz w:val="32"/>
          <w:szCs w:val="32"/>
        </w:rPr>
        <w:t>。</w:t>
      </w:r>
    </w:p>
    <w:p>
      <w:pPr>
        <w:spacing w:after="0" w:line="600" w:lineRule="exact"/>
        <w:ind w:firstLine="624" w:firstLineChars="200"/>
        <w:jc w:val="both"/>
        <w:rPr>
          <w:rFonts w:ascii="仿宋_GB2312" w:eastAsia="仿宋_GB2312"/>
          <w:color w:val="auto"/>
          <w:sz w:val="32"/>
          <w:szCs w:val="32"/>
        </w:rPr>
      </w:pPr>
      <w:r>
        <w:rPr>
          <w:rFonts w:hint="eastAsia" w:ascii="Times New Roman" w:hAnsi="Times New Roman" w:eastAsia="仿宋_GB2312" w:cs="仿宋_GB2312"/>
          <w:snapToGrid w:val="0"/>
          <w:color w:val="auto"/>
          <w:spacing w:val="-4"/>
          <w:sz w:val="32"/>
          <w:szCs w:val="32"/>
        </w:rPr>
        <w:t>新建民生社区市场，发挥农贸市场民生属性，融合社区服务、邻里中心等功能，方便人民群众生活，打造一批“十分钟生活圈”的社区型市场</w:t>
      </w:r>
      <w:r>
        <w:rPr>
          <w:rFonts w:ascii="Times New Roman" w:hAnsi="Times New Roman" w:eastAsia="仿宋_GB2312" w:cs="仿宋_GB2312"/>
          <w:snapToGrid w:val="0"/>
          <w:color w:val="auto"/>
          <w:spacing w:val="-4"/>
          <w:sz w:val="32"/>
          <w:szCs w:val="32"/>
        </w:rPr>
        <w:t>。</w:t>
      </w:r>
      <w:r>
        <w:rPr>
          <w:rFonts w:hint="eastAsia" w:ascii="Times New Roman" w:hAnsi="Times New Roman" w:eastAsia="仿宋_GB2312" w:cs="仿宋_GB2312"/>
          <w:snapToGrid w:val="0"/>
          <w:color w:val="auto"/>
          <w:spacing w:val="-4"/>
          <w:sz w:val="32"/>
          <w:szCs w:val="32"/>
        </w:rPr>
        <w:t>新建数字型市场，探索智慧菜场模式，</w:t>
      </w:r>
      <w:r>
        <w:rPr>
          <w:rFonts w:ascii="Times New Roman" w:hAnsi="Times New Roman" w:eastAsia="仿宋_GB2312" w:cs="仿宋_GB2312"/>
          <w:snapToGrid w:val="0"/>
          <w:color w:val="auto"/>
          <w:spacing w:val="-4"/>
          <w:sz w:val="32"/>
          <w:szCs w:val="32"/>
        </w:rPr>
        <w:t>加快信息化改造，</w:t>
      </w:r>
      <w:r>
        <w:rPr>
          <w:rFonts w:hint="eastAsia" w:ascii="Times New Roman" w:hAnsi="Times New Roman" w:eastAsia="仿宋_GB2312" w:cs="仿宋_GB2312"/>
          <w:snapToGrid w:val="0"/>
          <w:color w:val="auto"/>
          <w:spacing w:val="-4"/>
          <w:sz w:val="32"/>
          <w:szCs w:val="32"/>
        </w:rPr>
        <w:t>运用</w:t>
      </w:r>
      <w:r>
        <w:rPr>
          <w:rFonts w:ascii="Times New Roman" w:hAnsi="Times New Roman" w:eastAsia="仿宋_GB2312" w:cs="仿宋_GB2312"/>
          <w:snapToGrid w:val="0"/>
          <w:color w:val="auto"/>
          <w:spacing w:val="-4"/>
          <w:sz w:val="32"/>
          <w:szCs w:val="32"/>
        </w:rPr>
        <w:t>浙江省商品市场综合管理平台</w:t>
      </w:r>
      <w:r>
        <w:rPr>
          <w:rFonts w:hint="eastAsia" w:ascii="Times New Roman" w:hAnsi="Times New Roman" w:eastAsia="仿宋_GB2312" w:cs="仿宋_GB2312"/>
          <w:snapToGrid w:val="0"/>
          <w:color w:val="auto"/>
          <w:spacing w:val="-4"/>
          <w:sz w:val="32"/>
          <w:szCs w:val="32"/>
        </w:rPr>
        <w:t>等数字化手段改变传统经营管理方式，为把控全局提供有效抓手，实现高效监管</w:t>
      </w:r>
      <w:r>
        <w:rPr>
          <w:rFonts w:ascii="Times New Roman" w:hAnsi="Times New Roman" w:eastAsia="仿宋_GB2312" w:cs="仿宋_GB2312"/>
          <w:snapToGrid w:val="0"/>
          <w:color w:val="auto"/>
          <w:spacing w:val="-4"/>
          <w:sz w:val="32"/>
          <w:szCs w:val="32"/>
        </w:rPr>
        <w:t>。</w:t>
      </w:r>
      <w:r>
        <w:rPr>
          <w:rFonts w:hint="eastAsia" w:ascii="Times New Roman" w:hAnsi="Times New Roman" w:eastAsia="仿宋_GB2312" w:cs="仿宋_GB2312"/>
          <w:snapToGrid w:val="0"/>
          <w:color w:val="auto"/>
          <w:spacing w:val="-4"/>
          <w:sz w:val="32"/>
          <w:szCs w:val="32"/>
        </w:rPr>
        <w:t>新建绿色环保型市场，实施垃圾分类、源头减量，推广使用菜篮子、布袋子，到2023年底，县城以上建成区的集贸市场禁止使用不可降解塑料袋</w:t>
      </w:r>
      <w:r>
        <w:rPr>
          <w:rFonts w:ascii="Times New Roman" w:hAnsi="Times New Roman" w:eastAsia="仿宋_GB2312" w:cs="仿宋_GB2312"/>
          <w:snapToGrid w:val="0"/>
          <w:color w:val="auto"/>
          <w:spacing w:val="-4"/>
          <w:sz w:val="32"/>
          <w:szCs w:val="32"/>
        </w:rPr>
        <w:t>；</w:t>
      </w:r>
      <w:r>
        <w:rPr>
          <w:rFonts w:hint="eastAsia" w:ascii="Times New Roman" w:hAnsi="Times New Roman" w:eastAsia="仿宋_GB2312" w:cs="仿宋_GB2312"/>
          <w:snapToGrid w:val="0"/>
          <w:color w:val="auto"/>
          <w:spacing w:val="-4"/>
          <w:sz w:val="32"/>
          <w:szCs w:val="32"/>
        </w:rPr>
        <w:t>到2</w:t>
      </w:r>
      <w:r>
        <w:rPr>
          <w:rFonts w:ascii="Times New Roman" w:hAnsi="Times New Roman" w:eastAsia="仿宋_GB2312" w:cs="仿宋_GB2312"/>
          <w:snapToGrid w:val="0"/>
          <w:color w:val="auto"/>
          <w:spacing w:val="-4"/>
          <w:sz w:val="32"/>
          <w:szCs w:val="32"/>
        </w:rPr>
        <w:t>025</w:t>
      </w:r>
      <w:r>
        <w:rPr>
          <w:rFonts w:hint="eastAsia" w:ascii="Times New Roman" w:hAnsi="Times New Roman" w:eastAsia="仿宋_GB2312" w:cs="仿宋_GB2312"/>
          <w:snapToGrid w:val="0"/>
          <w:color w:val="auto"/>
          <w:spacing w:val="-4"/>
          <w:sz w:val="32"/>
          <w:szCs w:val="32"/>
        </w:rPr>
        <w:t>年底，全</w:t>
      </w:r>
      <w:r>
        <w:rPr>
          <w:rFonts w:ascii="Times New Roman" w:hAnsi="Times New Roman" w:eastAsia="仿宋_GB2312" w:cs="仿宋_GB2312"/>
          <w:snapToGrid w:val="0"/>
          <w:color w:val="auto"/>
          <w:spacing w:val="-4"/>
          <w:sz w:val="32"/>
          <w:szCs w:val="32"/>
        </w:rPr>
        <w:t>县</w:t>
      </w:r>
      <w:r>
        <w:rPr>
          <w:rFonts w:hint="eastAsia" w:ascii="Times New Roman" w:hAnsi="Times New Roman" w:eastAsia="仿宋_GB2312" w:cs="仿宋_GB2312"/>
          <w:snapToGrid w:val="0"/>
          <w:color w:val="auto"/>
          <w:spacing w:val="-4"/>
          <w:sz w:val="32"/>
          <w:szCs w:val="32"/>
        </w:rPr>
        <w:t>农贸市场禁止使用不可降解塑料袋。</w:t>
      </w:r>
      <w:r>
        <w:rPr>
          <w:rFonts w:hint="eastAsia" w:ascii="仿宋_GB2312" w:eastAsia="仿宋_GB2312"/>
          <w:color w:val="auto"/>
          <w:sz w:val="32"/>
          <w:szCs w:val="32"/>
        </w:rPr>
        <w:t>（牵头单位：县市场监管局</w:t>
      </w:r>
      <w:r>
        <w:rPr>
          <w:rFonts w:ascii="仿宋_GB2312" w:eastAsia="仿宋_GB2312"/>
          <w:color w:val="auto"/>
          <w:sz w:val="32"/>
          <w:szCs w:val="32"/>
        </w:rPr>
        <w:t>；</w:t>
      </w:r>
      <w:r>
        <w:rPr>
          <w:rFonts w:hint="eastAsia" w:ascii="仿宋_GB2312" w:eastAsia="仿宋_GB2312"/>
          <w:color w:val="auto"/>
          <w:sz w:val="32"/>
          <w:szCs w:val="32"/>
        </w:rPr>
        <w:t>配合单位：县住房和城乡建设局、县商务局、县综合行政执法局、县发改</w:t>
      </w:r>
      <w:r>
        <w:rPr>
          <w:rFonts w:ascii="仿宋_GB2312" w:eastAsia="仿宋_GB2312"/>
          <w:color w:val="auto"/>
          <w:sz w:val="32"/>
          <w:szCs w:val="32"/>
        </w:rPr>
        <w:t>局</w:t>
      </w:r>
      <w:r>
        <w:rPr>
          <w:rFonts w:hint="eastAsia" w:ascii="仿宋_GB2312" w:eastAsia="仿宋_GB2312"/>
          <w:color w:val="auto"/>
          <w:sz w:val="32"/>
          <w:szCs w:val="32"/>
        </w:rPr>
        <w:t>、县生态环境局</w:t>
      </w:r>
      <w:r>
        <w:rPr>
          <w:rFonts w:ascii="仿宋_GB2312" w:eastAsia="仿宋_GB2312"/>
          <w:color w:val="auto"/>
          <w:sz w:val="32"/>
          <w:szCs w:val="32"/>
        </w:rPr>
        <w:t>；</w:t>
      </w:r>
      <w:r>
        <w:rPr>
          <w:rFonts w:hint="eastAsia" w:ascii="仿宋_GB2312" w:eastAsia="仿宋_GB2312"/>
          <w:color w:val="auto"/>
          <w:sz w:val="32"/>
          <w:szCs w:val="32"/>
        </w:rPr>
        <w:t>责任单位：各乡镇人民政府、街道办事处）</w:t>
      </w:r>
    </w:p>
    <w:p>
      <w:pPr>
        <w:pStyle w:val="5"/>
        <w:spacing w:after="0" w:line="600" w:lineRule="exact"/>
        <w:jc w:val="both"/>
        <w:rPr>
          <w:rFonts w:ascii="楷体" w:hAnsi="楷体" w:eastAsia="楷体" w:cs="楷体"/>
          <w:color w:val="auto"/>
          <w:sz w:val="32"/>
          <w:szCs w:val="32"/>
        </w:rPr>
      </w:pPr>
      <w:r>
        <w:rPr>
          <w:rFonts w:hint="eastAsia" w:ascii="楷体" w:hAnsi="楷体" w:eastAsia="楷体" w:cs="楷体"/>
          <w:color w:val="auto"/>
          <w:sz w:val="32"/>
          <w:szCs w:val="32"/>
        </w:rPr>
        <w:t>（六）推进市场</w:t>
      </w:r>
      <w:r>
        <w:rPr>
          <w:rFonts w:ascii="楷体" w:hAnsi="楷体" w:eastAsia="楷体" w:cs="楷体"/>
          <w:color w:val="auto"/>
          <w:sz w:val="32"/>
          <w:szCs w:val="32"/>
        </w:rPr>
        <w:t>国有</w:t>
      </w:r>
      <w:r>
        <w:rPr>
          <w:rFonts w:hint="eastAsia" w:ascii="楷体" w:hAnsi="楷体" w:eastAsia="楷体" w:cs="楷体"/>
          <w:color w:val="auto"/>
          <w:sz w:val="32"/>
          <w:szCs w:val="32"/>
        </w:rPr>
        <w:t>专业化管理</w:t>
      </w:r>
      <w:r>
        <w:rPr>
          <w:rFonts w:ascii="楷体" w:hAnsi="楷体" w:eastAsia="楷体" w:cs="楷体"/>
          <w:color w:val="auto"/>
          <w:sz w:val="32"/>
          <w:szCs w:val="32"/>
        </w:rPr>
        <w:t>。</w:t>
      </w:r>
    </w:p>
    <w:p>
      <w:pPr>
        <w:spacing w:after="0" w:line="600" w:lineRule="exact"/>
        <w:ind w:firstLine="624" w:firstLineChars="200"/>
        <w:jc w:val="both"/>
        <w:rPr>
          <w:rFonts w:ascii="Times New Roman" w:hAnsi="Times New Roman" w:eastAsia="仿宋_GB2312" w:cs="Times New Roman"/>
          <w:snapToGrid w:val="0"/>
          <w:color w:val="auto"/>
          <w:spacing w:val="-4"/>
          <w:sz w:val="32"/>
          <w:szCs w:val="32"/>
        </w:rPr>
      </w:pPr>
      <w:r>
        <w:rPr>
          <w:rFonts w:hint="eastAsia" w:ascii="Times New Roman" w:hAnsi="Times New Roman" w:eastAsia="仿宋_GB2312" w:cs="仿宋_GB2312"/>
          <w:snapToGrid w:val="0"/>
          <w:color w:val="auto"/>
          <w:spacing w:val="-4"/>
          <w:sz w:val="32"/>
          <w:szCs w:val="32"/>
        </w:rPr>
        <w:t>加快推进农贸市场专业化经营进程，打造或引进优秀的农贸市场管理团队，参与村办市场管理。</w:t>
      </w:r>
      <w:r>
        <w:rPr>
          <w:rFonts w:hint="eastAsia" w:ascii="Times New Roman" w:hAnsi="Times New Roman" w:eastAsia="仿宋_GB2312" w:cs="Times New Roman"/>
          <w:snapToGrid w:val="0"/>
          <w:color w:val="auto"/>
          <w:spacing w:val="-4"/>
          <w:sz w:val="32"/>
          <w:szCs w:val="32"/>
        </w:rPr>
        <w:t>要加大国有资本投入，</w:t>
      </w:r>
      <w:r>
        <w:rPr>
          <w:rFonts w:hint="eastAsia" w:ascii="Times New Roman" w:hAnsi="Times New Roman" w:eastAsia="仿宋_GB2312" w:cs="仿宋_GB2312"/>
          <w:snapToGrid w:val="0"/>
          <w:color w:val="auto"/>
          <w:spacing w:val="-4"/>
          <w:sz w:val="32"/>
          <w:szCs w:val="32"/>
        </w:rPr>
        <w:t>探索村办市场国有化新模式</w:t>
      </w:r>
      <w:r>
        <w:rPr>
          <w:rFonts w:ascii="Times New Roman" w:hAnsi="Times New Roman" w:eastAsia="仿宋_GB2312" w:cs="仿宋_GB2312"/>
          <w:snapToGrid w:val="0"/>
          <w:color w:val="auto"/>
          <w:spacing w:val="-4"/>
          <w:sz w:val="32"/>
          <w:szCs w:val="32"/>
        </w:rPr>
        <w:t>，</w:t>
      </w:r>
      <w:r>
        <w:rPr>
          <w:rFonts w:hint="eastAsia" w:ascii="仿宋_GB2312" w:eastAsia="仿宋_GB2312"/>
          <w:color w:val="auto"/>
          <w:sz w:val="32"/>
          <w:szCs w:val="32"/>
        </w:rPr>
        <w:t>积极推动国有企事业单位</w:t>
      </w:r>
      <w:r>
        <w:rPr>
          <w:rFonts w:hint="eastAsia" w:ascii="Times New Roman" w:hAnsi="Times New Roman" w:eastAsia="仿宋_GB2312" w:cs="Times New Roman"/>
          <w:snapToGrid w:val="0"/>
          <w:color w:val="auto"/>
          <w:spacing w:val="-4"/>
          <w:sz w:val="32"/>
          <w:szCs w:val="32"/>
        </w:rPr>
        <w:t>运用回购、回租、入股、托管等方式，</w:t>
      </w:r>
      <w:r>
        <w:rPr>
          <w:rFonts w:hint="eastAsia" w:ascii="Times New Roman" w:hAnsi="Times New Roman" w:eastAsia="仿宋_GB2312" w:cs="仿宋_GB2312"/>
          <w:snapToGrid w:val="0"/>
          <w:color w:val="auto"/>
          <w:spacing w:val="-4"/>
          <w:sz w:val="32"/>
          <w:szCs w:val="32"/>
        </w:rPr>
        <w:t>实现村办农贸市场转</w:t>
      </w:r>
      <w:r>
        <w:rPr>
          <w:rFonts w:hint="eastAsia" w:ascii="仿宋_GB2312" w:eastAsia="仿宋_GB2312"/>
          <w:color w:val="auto"/>
          <w:sz w:val="32"/>
          <w:szCs w:val="32"/>
        </w:rPr>
        <w:t>国有、国有控股或国有经营管理</w:t>
      </w:r>
      <w:r>
        <w:rPr>
          <w:rFonts w:hint="eastAsia" w:ascii="Times New Roman" w:hAnsi="Times New Roman" w:eastAsia="仿宋_GB2312" w:cs="仿宋_GB2312"/>
          <w:snapToGrid w:val="0"/>
          <w:color w:val="auto"/>
          <w:spacing w:val="-4"/>
          <w:sz w:val="32"/>
          <w:szCs w:val="32"/>
        </w:rPr>
        <w:t>。</w:t>
      </w:r>
      <w:r>
        <w:rPr>
          <w:rFonts w:ascii="Times New Roman" w:hAnsi="Times New Roman" w:eastAsia="仿宋_GB2312" w:cs="仿宋_GB2312"/>
          <w:snapToGrid w:val="0"/>
          <w:color w:val="auto"/>
          <w:spacing w:val="-4"/>
          <w:sz w:val="32"/>
          <w:szCs w:val="32"/>
        </w:rPr>
        <w:t>列入整村整体改造的村办农贸市场，鼓励以货币形式安置。建立国有农贸市场微盈利模式，进一步强化农贸市场民生基础保障属性，确立农贸市场城市基础性公共服务设施地位，加大政府对农贸市场民生投入力度，鼓励引导国有资本积极开办农贸市场。加快完善</w:t>
      </w:r>
      <w:r>
        <w:rPr>
          <w:rFonts w:hint="eastAsia" w:ascii="Times New Roman" w:hAnsi="Times New Roman" w:eastAsia="仿宋_GB2312" w:cs="仿宋_GB2312"/>
          <w:snapToGrid w:val="0"/>
          <w:color w:val="auto"/>
          <w:spacing w:val="-4"/>
          <w:sz w:val="32"/>
          <w:szCs w:val="32"/>
        </w:rPr>
        <w:t>农贸市场公益保险运行机制，推进“食品安全责任</w:t>
      </w:r>
      <w:r>
        <w:rPr>
          <w:rFonts w:hint="eastAsia" w:ascii="仿宋_GB2312" w:eastAsia="仿宋_GB2312"/>
          <w:color w:val="auto"/>
          <w:sz w:val="32"/>
          <w:szCs w:val="32"/>
        </w:rPr>
        <w:t>险”和“公共场所意外险”落地。</w:t>
      </w:r>
      <w:r>
        <w:rPr>
          <w:rFonts w:hint="eastAsia" w:ascii="Times New Roman" w:hAnsi="Times New Roman" w:eastAsia="仿宋_GB2312" w:cs="Times New Roman"/>
          <w:snapToGrid w:val="0"/>
          <w:color w:val="auto"/>
          <w:spacing w:val="-4"/>
          <w:sz w:val="32"/>
          <w:szCs w:val="32"/>
        </w:rPr>
        <w:t>（牵头单位：</w:t>
      </w:r>
      <w:r>
        <w:rPr>
          <w:rFonts w:ascii="Times New Roman" w:hAnsi="Times New Roman" w:eastAsia="仿宋_GB2312" w:cs="Times New Roman"/>
          <w:snapToGrid w:val="0"/>
          <w:color w:val="auto"/>
          <w:spacing w:val="-4"/>
          <w:sz w:val="32"/>
          <w:szCs w:val="32"/>
        </w:rPr>
        <w:t>县农提办；配合单位：</w:t>
      </w:r>
      <w:r>
        <w:rPr>
          <w:rFonts w:ascii="Times New Roman" w:hAnsi="Times New Roman" w:eastAsia="仿宋_GB2312" w:cs="仿宋_GB2312"/>
          <w:snapToGrid w:val="0"/>
          <w:color w:val="auto"/>
          <w:spacing w:val="-4"/>
          <w:sz w:val="32"/>
          <w:szCs w:val="32"/>
        </w:rPr>
        <w:t>县发改局</w:t>
      </w:r>
      <w:r>
        <w:rPr>
          <w:rFonts w:ascii="Times New Roman" w:hAnsi="Times New Roman" w:eastAsia="仿宋_GB2312" w:cs="Times New Roman"/>
          <w:snapToGrid w:val="0"/>
          <w:color w:val="auto"/>
          <w:spacing w:val="-4"/>
          <w:sz w:val="32"/>
          <w:szCs w:val="32"/>
        </w:rPr>
        <w:t>、县国资委、</w:t>
      </w:r>
      <w:r>
        <w:rPr>
          <w:rFonts w:hint="eastAsia" w:ascii="Times New Roman" w:hAnsi="Times New Roman" w:eastAsia="仿宋_GB2312" w:cs="Times New Roman"/>
          <w:snapToGrid w:val="0"/>
          <w:color w:val="auto"/>
          <w:spacing w:val="-4"/>
          <w:sz w:val="32"/>
          <w:szCs w:val="32"/>
        </w:rPr>
        <w:t>县市场监管局</w:t>
      </w:r>
      <w:r>
        <w:rPr>
          <w:rFonts w:ascii="Times New Roman" w:hAnsi="Times New Roman" w:eastAsia="仿宋_GB2312" w:cs="Times New Roman"/>
          <w:snapToGrid w:val="0"/>
          <w:color w:val="auto"/>
          <w:spacing w:val="-4"/>
          <w:sz w:val="32"/>
          <w:szCs w:val="32"/>
        </w:rPr>
        <w:t>、县城发集团；</w:t>
      </w:r>
      <w:r>
        <w:rPr>
          <w:rFonts w:hint="eastAsia" w:ascii="Times New Roman" w:hAnsi="Times New Roman" w:eastAsia="仿宋_GB2312" w:cs="Times New Roman"/>
          <w:snapToGrid w:val="0"/>
          <w:color w:val="auto"/>
          <w:spacing w:val="-4"/>
          <w:sz w:val="32"/>
          <w:szCs w:val="32"/>
        </w:rPr>
        <w:t>责任单位：</w:t>
      </w:r>
      <w:r>
        <w:rPr>
          <w:rFonts w:hint="eastAsia" w:ascii="仿宋_GB2312" w:eastAsia="仿宋_GB2312"/>
          <w:color w:val="auto"/>
          <w:sz w:val="32"/>
          <w:szCs w:val="32"/>
        </w:rPr>
        <w:t>各乡镇人民政府、街道办事处</w:t>
      </w:r>
      <w:r>
        <w:rPr>
          <w:rFonts w:hint="eastAsia" w:ascii="Times New Roman" w:hAnsi="Times New Roman" w:eastAsia="仿宋_GB2312" w:cs="Times New Roman"/>
          <w:snapToGrid w:val="0"/>
          <w:color w:val="auto"/>
          <w:spacing w:val="-4"/>
          <w:sz w:val="32"/>
          <w:szCs w:val="32"/>
        </w:rPr>
        <w:t>）</w:t>
      </w:r>
    </w:p>
    <w:p>
      <w:pPr>
        <w:spacing w:after="0" w:line="600" w:lineRule="exact"/>
        <w:ind w:firstLine="640" w:firstLineChars="200"/>
        <w:jc w:val="both"/>
        <w:rPr>
          <w:rFonts w:ascii="Times New Roman" w:hAnsi="Times New Roman" w:eastAsia="仿宋_GB2312" w:cs="Times New Roman"/>
          <w:snapToGrid w:val="0"/>
          <w:color w:val="auto"/>
          <w:spacing w:val="-4"/>
          <w:sz w:val="32"/>
          <w:szCs w:val="32"/>
        </w:rPr>
      </w:pPr>
      <w:r>
        <w:rPr>
          <w:rFonts w:hint="eastAsia" w:ascii="楷体" w:hAnsi="楷体" w:eastAsia="楷体" w:cs="楷体"/>
          <w:color w:val="auto"/>
          <w:sz w:val="32"/>
          <w:szCs w:val="32"/>
        </w:rPr>
        <w:t>（七）推进市场食品安全闭环</w:t>
      </w:r>
      <w:r>
        <w:rPr>
          <w:rFonts w:ascii="Times New Roman" w:hAnsi="Times New Roman" w:eastAsia="仿宋_GB2312" w:cs="Times New Roman"/>
          <w:snapToGrid w:val="0"/>
          <w:color w:val="auto"/>
          <w:spacing w:val="-4"/>
          <w:sz w:val="32"/>
          <w:szCs w:val="32"/>
        </w:rPr>
        <w:t>。</w:t>
      </w:r>
    </w:p>
    <w:p>
      <w:pPr>
        <w:spacing w:after="0" w:line="600" w:lineRule="exact"/>
        <w:ind w:firstLine="624" w:firstLineChars="200"/>
        <w:jc w:val="both"/>
        <w:rPr>
          <w:rFonts w:ascii="Times New Roman" w:hAnsi="Times New Roman" w:eastAsia="仿宋_GB2312" w:cs="Times New Roman"/>
          <w:snapToGrid w:val="0"/>
          <w:color w:val="auto"/>
          <w:spacing w:val="-4"/>
          <w:sz w:val="32"/>
          <w:szCs w:val="32"/>
        </w:rPr>
      </w:pPr>
      <w:r>
        <w:rPr>
          <w:rFonts w:hint="eastAsia" w:ascii="Times New Roman" w:hAnsi="Times New Roman" w:eastAsia="仿宋_GB2312" w:cs="仿宋_GB2312"/>
          <w:snapToGrid w:val="0"/>
          <w:color w:val="auto"/>
          <w:spacing w:val="-4"/>
          <w:sz w:val="32"/>
          <w:szCs w:val="32"/>
        </w:rPr>
        <w:t>推动全球二维码数字平台（G</w:t>
      </w:r>
      <w:r>
        <w:rPr>
          <w:rFonts w:ascii="Times New Roman" w:hAnsi="Times New Roman" w:eastAsia="仿宋_GB2312" w:cs="仿宋_GB2312"/>
          <w:snapToGrid w:val="0"/>
          <w:color w:val="auto"/>
          <w:spacing w:val="-4"/>
          <w:sz w:val="32"/>
          <w:szCs w:val="32"/>
        </w:rPr>
        <w:t>M2D</w:t>
      </w:r>
      <w:r>
        <w:rPr>
          <w:rFonts w:hint="eastAsia" w:ascii="Times New Roman" w:hAnsi="Times New Roman" w:eastAsia="仿宋_GB2312" w:cs="仿宋_GB2312"/>
          <w:snapToGrid w:val="0"/>
          <w:color w:val="auto"/>
          <w:spacing w:val="-4"/>
          <w:sz w:val="32"/>
          <w:szCs w:val="32"/>
        </w:rPr>
        <w:t>）在农贸市场落地应用。探索对场内销售熟食卤肉等直接入口食品实施智慧监管。持续推进智慧快检室建设，进一步规范快检服务流程、优化快检结果应用，充分发挥农贸市场食品安全哨点作用，筑牢市民餐桌安全防线。</w:t>
      </w:r>
      <w:r>
        <w:rPr>
          <w:rFonts w:ascii="Times New Roman" w:hAnsi="Times New Roman" w:eastAsia="仿宋_GB2312" w:cs="仿宋_GB2312"/>
          <w:snapToGrid w:val="0"/>
          <w:color w:val="auto"/>
          <w:spacing w:val="-4"/>
          <w:sz w:val="32"/>
          <w:szCs w:val="32"/>
        </w:rPr>
        <w:t>结合国家</w:t>
      </w:r>
      <w:r>
        <w:rPr>
          <w:rFonts w:hint="eastAsia" w:ascii="Times New Roman" w:hAnsi="Times New Roman" w:eastAsia="仿宋_GB2312" w:cs="仿宋_GB2312"/>
          <w:snapToGrid w:val="0"/>
          <w:color w:val="auto"/>
          <w:spacing w:val="-4"/>
          <w:sz w:val="32"/>
          <w:szCs w:val="32"/>
        </w:rPr>
        <w:t>食品安全示范城市创建</w:t>
      </w:r>
      <w:r>
        <w:rPr>
          <w:rFonts w:ascii="Times New Roman" w:hAnsi="Times New Roman" w:eastAsia="仿宋_GB2312" w:cs="仿宋_GB2312"/>
          <w:snapToGrid w:val="0"/>
          <w:color w:val="auto"/>
          <w:spacing w:val="-4"/>
          <w:sz w:val="32"/>
          <w:szCs w:val="32"/>
        </w:rPr>
        <w:t>要求</w:t>
      </w:r>
      <w:r>
        <w:rPr>
          <w:rFonts w:hint="eastAsia" w:ascii="Times New Roman" w:hAnsi="Times New Roman" w:eastAsia="仿宋_GB2312" w:cs="仿宋_GB2312"/>
          <w:snapToGrid w:val="0"/>
          <w:color w:val="auto"/>
          <w:spacing w:val="-4"/>
          <w:sz w:val="32"/>
          <w:szCs w:val="32"/>
        </w:rPr>
        <w:t>，全面完善农贸市场食品安全隐患闭环管控机制，开展食品安全规范化建设，切实提升食品安全风险防控能力。</w:t>
      </w:r>
      <w:r>
        <w:rPr>
          <w:rFonts w:hint="eastAsia" w:ascii="Times New Roman" w:hAnsi="Times New Roman" w:eastAsia="仿宋_GB2312" w:cs="Times New Roman"/>
          <w:snapToGrid w:val="0"/>
          <w:color w:val="auto"/>
          <w:spacing w:val="-4"/>
          <w:sz w:val="32"/>
          <w:szCs w:val="32"/>
        </w:rPr>
        <w:t>（牵头单位：县市场监管局</w:t>
      </w:r>
      <w:r>
        <w:rPr>
          <w:rFonts w:ascii="Times New Roman" w:hAnsi="Times New Roman" w:eastAsia="仿宋_GB2312" w:cs="Times New Roman"/>
          <w:snapToGrid w:val="0"/>
          <w:color w:val="auto"/>
          <w:spacing w:val="-4"/>
          <w:sz w:val="32"/>
          <w:szCs w:val="32"/>
        </w:rPr>
        <w:t>；</w:t>
      </w:r>
      <w:r>
        <w:rPr>
          <w:rFonts w:hint="eastAsia" w:ascii="Times New Roman" w:hAnsi="Times New Roman" w:eastAsia="仿宋_GB2312" w:cs="Times New Roman"/>
          <w:snapToGrid w:val="0"/>
          <w:color w:val="auto"/>
          <w:spacing w:val="-4"/>
          <w:sz w:val="32"/>
          <w:szCs w:val="32"/>
        </w:rPr>
        <w:t>责任单位：</w:t>
      </w:r>
      <w:r>
        <w:rPr>
          <w:rFonts w:hint="eastAsia" w:ascii="仿宋_GB2312" w:eastAsia="仿宋_GB2312"/>
          <w:color w:val="auto"/>
          <w:sz w:val="32"/>
          <w:szCs w:val="32"/>
        </w:rPr>
        <w:t>各乡镇人民政府、街道办事处</w:t>
      </w:r>
      <w:r>
        <w:rPr>
          <w:rFonts w:hint="eastAsia" w:ascii="Times New Roman" w:hAnsi="Times New Roman" w:eastAsia="仿宋_GB2312" w:cs="Times New Roman"/>
          <w:snapToGrid w:val="0"/>
          <w:color w:val="auto"/>
          <w:spacing w:val="-4"/>
          <w:sz w:val="32"/>
          <w:szCs w:val="32"/>
        </w:rPr>
        <w:t>）</w:t>
      </w:r>
    </w:p>
    <w:p>
      <w:pPr>
        <w:spacing w:after="0" w:line="600" w:lineRule="exact"/>
        <w:ind w:firstLine="640" w:firstLineChars="200"/>
        <w:jc w:val="both"/>
        <w:rPr>
          <w:rFonts w:ascii="楷体" w:hAnsi="楷体" w:eastAsia="楷体" w:cs="楷体"/>
          <w:color w:val="auto"/>
          <w:sz w:val="32"/>
          <w:szCs w:val="32"/>
        </w:rPr>
      </w:pPr>
      <w:r>
        <w:rPr>
          <w:rFonts w:hint="eastAsia" w:ascii="楷体" w:hAnsi="楷体" w:eastAsia="楷体" w:cs="楷体"/>
          <w:color w:val="auto"/>
          <w:sz w:val="32"/>
          <w:szCs w:val="32"/>
        </w:rPr>
        <w:t>（八）推进农贸市场长效管理</w:t>
      </w:r>
      <w:r>
        <w:rPr>
          <w:rFonts w:ascii="楷体" w:hAnsi="楷体" w:eastAsia="楷体" w:cs="楷体"/>
          <w:color w:val="auto"/>
          <w:sz w:val="32"/>
          <w:szCs w:val="32"/>
        </w:rPr>
        <w:t>。</w:t>
      </w:r>
    </w:p>
    <w:p>
      <w:pPr>
        <w:spacing w:after="0" w:line="600" w:lineRule="exact"/>
        <w:ind w:firstLine="640"/>
        <w:jc w:val="both"/>
        <w:rPr>
          <w:rFonts w:ascii="Times New Roman" w:hAnsi="Times New Roman" w:eastAsia="仿宋_GB2312" w:cs="仿宋_GB2312"/>
          <w:snapToGrid w:val="0"/>
          <w:color w:val="auto"/>
          <w:spacing w:val="-4"/>
          <w:sz w:val="32"/>
          <w:szCs w:val="32"/>
        </w:rPr>
      </w:pPr>
      <w:r>
        <w:rPr>
          <w:rFonts w:hint="eastAsia" w:ascii="Times New Roman" w:hAnsi="Times New Roman" w:eastAsia="仿宋_GB2312" w:cs="仿宋_GB2312"/>
          <w:snapToGrid w:val="0"/>
          <w:color w:val="auto"/>
          <w:spacing w:val="-4"/>
          <w:sz w:val="32"/>
          <w:szCs w:val="32"/>
        </w:rPr>
        <w:t>助力争创全国文明城市，进一步健全农贸市场诚信文明、消防安全、商品质量、消费者权益保护等基本管理制度，开展经营户信用评价及信用公示，推行农贸市场信用分类监管。建立农贸市场长效管理考评机制，完善管理评价体系，开展或委托第三方机构对农贸市场进行抽查测评，实行奖惩挂钩。（牵头单位：</w:t>
      </w:r>
      <w:r>
        <w:rPr>
          <w:rFonts w:ascii="Times New Roman" w:hAnsi="Times New Roman" w:eastAsia="仿宋_GB2312" w:cs="仿宋_GB2312"/>
          <w:snapToGrid w:val="0"/>
          <w:color w:val="auto"/>
          <w:spacing w:val="-4"/>
          <w:sz w:val="32"/>
          <w:szCs w:val="32"/>
        </w:rPr>
        <w:t>县农提办、县创建办；</w:t>
      </w:r>
      <w:r>
        <w:rPr>
          <w:rFonts w:hint="eastAsia" w:ascii="Times New Roman" w:hAnsi="Times New Roman" w:eastAsia="仿宋_GB2312" w:cs="仿宋_GB2312"/>
          <w:snapToGrid w:val="0"/>
          <w:color w:val="auto"/>
          <w:spacing w:val="-4"/>
          <w:sz w:val="32"/>
          <w:szCs w:val="32"/>
        </w:rPr>
        <w:t>配合单位：县市场监管局</w:t>
      </w:r>
      <w:r>
        <w:rPr>
          <w:rFonts w:ascii="Times New Roman" w:hAnsi="Times New Roman" w:eastAsia="仿宋_GB2312" w:cs="仿宋_GB2312"/>
          <w:snapToGrid w:val="0"/>
          <w:color w:val="auto"/>
          <w:spacing w:val="-4"/>
          <w:sz w:val="32"/>
          <w:szCs w:val="32"/>
        </w:rPr>
        <w:t>、</w:t>
      </w:r>
      <w:r>
        <w:rPr>
          <w:rFonts w:hint="eastAsia" w:ascii="Times New Roman" w:hAnsi="Times New Roman" w:eastAsia="仿宋_GB2312" w:cs="仿宋_GB2312"/>
          <w:snapToGrid w:val="0"/>
          <w:color w:val="auto"/>
          <w:spacing w:val="-4"/>
          <w:sz w:val="32"/>
          <w:szCs w:val="32"/>
        </w:rPr>
        <w:t>县消防救援大队</w:t>
      </w:r>
      <w:r>
        <w:rPr>
          <w:rFonts w:ascii="Times New Roman" w:hAnsi="Times New Roman" w:eastAsia="仿宋_GB2312" w:cs="仿宋_GB2312"/>
          <w:snapToGrid w:val="0"/>
          <w:color w:val="auto"/>
          <w:spacing w:val="-4"/>
          <w:sz w:val="32"/>
          <w:szCs w:val="32"/>
        </w:rPr>
        <w:t>；</w:t>
      </w:r>
      <w:r>
        <w:rPr>
          <w:rFonts w:hint="eastAsia" w:ascii="Times New Roman" w:hAnsi="Times New Roman" w:eastAsia="仿宋_GB2312" w:cs="仿宋_GB2312"/>
          <w:snapToGrid w:val="0"/>
          <w:color w:val="auto"/>
          <w:spacing w:val="-4"/>
          <w:sz w:val="32"/>
          <w:szCs w:val="32"/>
        </w:rPr>
        <w:t>责任单位：</w:t>
      </w:r>
      <w:r>
        <w:rPr>
          <w:rFonts w:hint="eastAsia" w:ascii="仿宋_GB2312" w:eastAsia="仿宋_GB2312"/>
          <w:color w:val="auto"/>
          <w:sz w:val="32"/>
          <w:szCs w:val="32"/>
        </w:rPr>
        <w:t>各乡镇人民政府、街道办事处</w:t>
      </w:r>
      <w:r>
        <w:rPr>
          <w:rFonts w:hint="eastAsia" w:ascii="Times New Roman" w:hAnsi="Times New Roman" w:eastAsia="仿宋_GB2312" w:cs="仿宋_GB2312"/>
          <w:snapToGrid w:val="0"/>
          <w:color w:val="auto"/>
          <w:spacing w:val="-4"/>
          <w:sz w:val="32"/>
          <w:szCs w:val="32"/>
        </w:rPr>
        <w:t>）</w:t>
      </w:r>
    </w:p>
    <w:p>
      <w:pPr>
        <w:spacing w:after="0" w:line="600" w:lineRule="exact"/>
        <w:ind w:firstLine="640"/>
        <w:jc w:val="both"/>
        <w:rPr>
          <w:rFonts w:ascii="Times New Roman" w:hAnsi="Times New Roman" w:eastAsia="仿宋_GB2312" w:cs="仿宋_GB2312"/>
          <w:snapToGrid w:val="0"/>
          <w:color w:val="auto"/>
          <w:spacing w:val="-4"/>
          <w:sz w:val="32"/>
          <w:szCs w:val="32"/>
        </w:rPr>
      </w:pPr>
      <w:r>
        <w:rPr>
          <w:rFonts w:ascii="Times New Roman" w:hAnsi="Times New Roman" w:eastAsia="仿宋_GB2312" w:cs="仿宋_GB2312"/>
          <w:snapToGrid w:val="0"/>
          <w:color w:val="auto"/>
          <w:spacing w:val="-4"/>
          <w:sz w:val="32"/>
          <w:szCs w:val="32"/>
        </w:rPr>
        <w:t>（九）推进农贸市场公益属性提升。</w:t>
      </w:r>
    </w:p>
    <w:p>
      <w:pPr>
        <w:spacing w:after="0" w:line="600" w:lineRule="exact"/>
        <w:ind w:firstLine="640"/>
        <w:jc w:val="both"/>
        <w:rPr>
          <w:rFonts w:ascii="Times New Roman" w:hAnsi="Times New Roman" w:eastAsia="仿宋_GB2312" w:cs="仿宋_GB2312"/>
          <w:snapToGrid w:val="0"/>
          <w:color w:val="auto"/>
          <w:spacing w:val="-4"/>
          <w:sz w:val="32"/>
          <w:szCs w:val="32"/>
        </w:rPr>
      </w:pPr>
      <w:r>
        <w:rPr>
          <w:rFonts w:ascii="Times New Roman" w:hAnsi="Times New Roman" w:eastAsia="仿宋_GB2312" w:cs="仿宋_GB2312"/>
          <w:snapToGrid w:val="0"/>
          <w:color w:val="auto"/>
          <w:spacing w:val="-4"/>
          <w:sz w:val="32"/>
          <w:szCs w:val="32"/>
        </w:rPr>
        <w:t>强化农贸市场</w:t>
      </w:r>
      <w:r>
        <w:rPr>
          <w:rFonts w:hint="eastAsia" w:ascii="Times New Roman" w:hAnsi="Times New Roman" w:eastAsia="仿宋_GB2312" w:cs="仿宋_GB2312"/>
          <w:snapToGrid w:val="0"/>
          <w:color w:val="auto"/>
          <w:spacing w:val="-4"/>
          <w:sz w:val="32"/>
          <w:szCs w:val="32"/>
        </w:rPr>
        <w:t>“民生性、公益性、社会性”</w:t>
      </w:r>
      <w:r>
        <w:rPr>
          <w:rFonts w:ascii="Times New Roman" w:hAnsi="Times New Roman" w:eastAsia="仿宋_GB2312" w:cs="仿宋_GB2312"/>
          <w:snapToGrid w:val="0"/>
          <w:color w:val="auto"/>
          <w:spacing w:val="-4"/>
          <w:sz w:val="32"/>
          <w:szCs w:val="32"/>
        </w:rPr>
        <w:t>定位，应坚持公益优先，全民共享。探索平价农贸市场建设，出台平价农贸市场扶持政策，引导现有农贸市场设立平价摊位、开设平价日。探索建立辖区农贸市场民生价格调节机制，避免摊位租金无限制上涨。鼓励村办农贸市场建立市场专款专用独立账户，积极引导每年至少留出收益总额的30%作为市场可持续发展资金，实现市场发展良性循环。</w:t>
      </w:r>
      <w:r>
        <w:rPr>
          <w:rFonts w:hint="eastAsia" w:ascii="Times New Roman" w:hAnsi="Times New Roman" w:eastAsia="仿宋_GB2312" w:cs="仿宋_GB2312"/>
          <w:snapToGrid w:val="0"/>
          <w:color w:val="auto"/>
          <w:spacing w:val="-4"/>
          <w:sz w:val="32"/>
          <w:szCs w:val="32"/>
        </w:rPr>
        <w:t>（牵头单位：</w:t>
      </w:r>
      <w:r>
        <w:rPr>
          <w:rFonts w:ascii="Times New Roman" w:hAnsi="Times New Roman" w:eastAsia="仿宋_GB2312" w:cs="仿宋_GB2312"/>
          <w:snapToGrid w:val="0"/>
          <w:color w:val="auto"/>
          <w:spacing w:val="-4"/>
          <w:sz w:val="32"/>
          <w:szCs w:val="32"/>
        </w:rPr>
        <w:t>县农提办；</w:t>
      </w:r>
      <w:r>
        <w:rPr>
          <w:rFonts w:hint="eastAsia" w:ascii="Times New Roman" w:hAnsi="Times New Roman" w:eastAsia="仿宋_GB2312" w:cs="仿宋_GB2312"/>
          <w:snapToGrid w:val="0"/>
          <w:color w:val="auto"/>
          <w:spacing w:val="-4"/>
          <w:sz w:val="32"/>
          <w:szCs w:val="32"/>
        </w:rPr>
        <w:t>配合单位：</w:t>
      </w:r>
      <w:r>
        <w:rPr>
          <w:rFonts w:ascii="Times New Roman" w:hAnsi="Times New Roman" w:eastAsia="仿宋_GB2312" w:cs="仿宋_GB2312"/>
          <w:snapToGrid w:val="0"/>
          <w:color w:val="auto"/>
          <w:spacing w:val="-4"/>
          <w:sz w:val="32"/>
          <w:szCs w:val="32"/>
        </w:rPr>
        <w:t>县发改局、</w:t>
      </w:r>
      <w:r>
        <w:rPr>
          <w:rFonts w:hint="eastAsia" w:ascii="Times New Roman" w:hAnsi="Times New Roman" w:eastAsia="仿宋_GB2312" w:cs="仿宋_GB2312"/>
          <w:snapToGrid w:val="0"/>
          <w:color w:val="auto"/>
          <w:spacing w:val="-4"/>
          <w:sz w:val="32"/>
          <w:szCs w:val="32"/>
        </w:rPr>
        <w:t>县市场监管局</w:t>
      </w:r>
      <w:r>
        <w:rPr>
          <w:rFonts w:ascii="Times New Roman" w:hAnsi="Times New Roman" w:eastAsia="仿宋_GB2312" w:cs="仿宋_GB2312"/>
          <w:snapToGrid w:val="0"/>
          <w:color w:val="auto"/>
          <w:spacing w:val="-4"/>
          <w:sz w:val="32"/>
          <w:szCs w:val="32"/>
        </w:rPr>
        <w:t>、</w:t>
      </w:r>
      <w:r>
        <w:rPr>
          <w:rFonts w:hint="eastAsia" w:ascii="Times New Roman" w:hAnsi="Times New Roman" w:eastAsia="仿宋_GB2312" w:cs="仿宋_GB2312"/>
          <w:snapToGrid w:val="0"/>
          <w:color w:val="auto"/>
          <w:spacing w:val="-4"/>
          <w:sz w:val="32"/>
          <w:szCs w:val="32"/>
        </w:rPr>
        <w:t>县</w:t>
      </w:r>
      <w:r>
        <w:rPr>
          <w:rFonts w:ascii="Times New Roman" w:hAnsi="Times New Roman" w:eastAsia="仿宋_GB2312" w:cs="仿宋_GB2312"/>
          <w:snapToGrid w:val="0"/>
          <w:color w:val="auto"/>
          <w:spacing w:val="-4"/>
          <w:sz w:val="32"/>
          <w:szCs w:val="32"/>
        </w:rPr>
        <w:t>商务局；</w:t>
      </w:r>
      <w:r>
        <w:rPr>
          <w:rFonts w:hint="eastAsia" w:ascii="Times New Roman" w:hAnsi="Times New Roman" w:eastAsia="仿宋_GB2312" w:cs="仿宋_GB2312"/>
          <w:snapToGrid w:val="0"/>
          <w:color w:val="auto"/>
          <w:spacing w:val="-4"/>
          <w:sz w:val="32"/>
          <w:szCs w:val="32"/>
        </w:rPr>
        <w:t>责任单位：</w:t>
      </w:r>
      <w:r>
        <w:rPr>
          <w:rFonts w:hint="eastAsia" w:ascii="仿宋_GB2312" w:eastAsia="仿宋_GB2312"/>
          <w:color w:val="auto"/>
          <w:sz w:val="32"/>
          <w:szCs w:val="32"/>
        </w:rPr>
        <w:t>各乡镇人民政府、街道办事处</w:t>
      </w:r>
      <w:r>
        <w:rPr>
          <w:rFonts w:hint="eastAsia" w:ascii="Times New Roman" w:hAnsi="Times New Roman" w:eastAsia="仿宋_GB2312" w:cs="仿宋_GB2312"/>
          <w:snapToGrid w:val="0"/>
          <w:color w:val="auto"/>
          <w:spacing w:val="-4"/>
          <w:sz w:val="32"/>
          <w:szCs w:val="32"/>
        </w:rPr>
        <w:t>）</w:t>
      </w:r>
    </w:p>
    <w:p>
      <w:pPr>
        <w:pStyle w:val="5"/>
        <w:numPr>
          <w:ilvl w:val="0"/>
          <w:numId w:val="1"/>
        </w:numPr>
        <w:adjustRightInd/>
        <w:snapToGrid/>
        <w:spacing w:after="0" w:line="600" w:lineRule="exact"/>
        <w:ind w:firstLineChars="0"/>
        <w:jc w:val="both"/>
        <w:rPr>
          <w:rFonts w:ascii="Times New Roman" w:hAnsi="Times New Roman" w:eastAsia="黑体" w:cs="黑体"/>
          <w:snapToGrid w:val="0"/>
          <w:color w:val="auto"/>
          <w:spacing w:val="-4"/>
          <w:kern w:val="2"/>
          <w:sz w:val="32"/>
          <w:szCs w:val="32"/>
        </w:rPr>
      </w:pPr>
      <w:r>
        <w:rPr>
          <w:rFonts w:hint="eastAsia" w:ascii="Times New Roman" w:hAnsi="Times New Roman" w:eastAsia="黑体" w:cs="黑体"/>
          <w:snapToGrid w:val="0"/>
          <w:color w:val="auto"/>
          <w:spacing w:val="-4"/>
          <w:kern w:val="2"/>
          <w:sz w:val="32"/>
          <w:szCs w:val="32"/>
        </w:rPr>
        <w:t>保障措施</w:t>
      </w:r>
    </w:p>
    <w:p>
      <w:pPr>
        <w:numPr>
          <w:ilvl w:val="0"/>
          <w:numId w:val="2"/>
        </w:numPr>
        <w:spacing w:after="0" w:line="600" w:lineRule="exact"/>
        <w:ind w:left="0" w:firstLine="624" w:firstLineChars="200"/>
        <w:jc w:val="both"/>
        <w:rPr>
          <w:rFonts w:ascii="仿宋_GB2312" w:hAnsi="仿宋_GB2312" w:eastAsia="仿宋_GB2312" w:cs="仿宋_GB2312"/>
          <w:snapToGrid w:val="0"/>
          <w:color w:val="auto"/>
          <w:spacing w:val="-4"/>
          <w:sz w:val="32"/>
          <w:szCs w:val="32"/>
        </w:rPr>
      </w:pPr>
      <w:r>
        <w:rPr>
          <w:rFonts w:hint="eastAsia" w:ascii="楷体" w:hAnsi="楷体" w:eastAsia="楷体" w:cs="楷体"/>
          <w:snapToGrid w:val="0"/>
          <w:color w:val="auto"/>
          <w:spacing w:val="-4"/>
          <w:sz w:val="32"/>
          <w:szCs w:val="32"/>
        </w:rPr>
        <w:t>加强组织领导。</w:t>
      </w:r>
      <w:r>
        <w:rPr>
          <w:rFonts w:hint="eastAsia" w:ascii="仿宋_GB2312" w:eastAsia="仿宋_GB2312"/>
          <w:color w:val="auto"/>
          <w:sz w:val="32"/>
          <w:szCs w:val="32"/>
        </w:rPr>
        <w:t>各乡镇人民政府、街道办事处</w:t>
      </w:r>
      <w:r>
        <w:rPr>
          <w:rFonts w:hint="eastAsia" w:ascii="Times New Roman" w:hAnsi="Times New Roman" w:eastAsia="仿宋_GB2312" w:cs="仿宋_GB2312"/>
          <w:snapToGrid w:val="0"/>
          <w:color w:val="auto"/>
          <w:spacing w:val="-4"/>
          <w:sz w:val="32"/>
          <w:szCs w:val="32"/>
        </w:rPr>
        <w:t>负责辖区内农贸市场更新提质工作，制定符合本地实际的工作计划，全力落实农贸市场更新提质行动。县</w:t>
      </w:r>
      <w:r>
        <w:rPr>
          <w:rFonts w:ascii="Times New Roman" w:hAnsi="Times New Roman" w:eastAsia="仿宋_GB2312" w:cs="仿宋_GB2312"/>
          <w:snapToGrid w:val="0"/>
          <w:color w:val="auto"/>
          <w:spacing w:val="-4"/>
          <w:sz w:val="32"/>
          <w:szCs w:val="32"/>
        </w:rPr>
        <w:t>农</w:t>
      </w:r>
      <w:r>
        <w:rPr>
          <w:rFonts w:hint="eastAsia" w:ascii="Times New Roman" w:hAnsi="Times New Roman" w:eastAsia="仿宋_GB2312" w:cs="仿宋_GB2312"/>
          <w:snapToGrid w:val="0"/>
          <w:color w:val="auto"/>
          <w:spacing w:val="-4"/>
          <w:sz w:val="32"/>
          <w:szCs w:val="32"/>
        </w:rPr>
        <w:t>提办</w:t>
      </w:r>
      <w:r>
        <w:rPr>
          <w:rFonts w:ascii="Times New Roman" w:hAnsi="Times New Roman" w:eastAsia="仿宋_GB2312" w:cs="仿宋_GB2312"/>
          <w:snapToGrid w:val="0"/>
          <w:color w:val="auto"/>
          <w:spacing w:val="-4"/>
          <w:sz w:val="32"/>
          <w:szCs w:val="32"/>
        </w:rPr>
        <w:t>要做好组织协调，</w:t>
      </w:r>
      <w:r>
        <w:rPr>
          <w:rFonts w:hint="eastAsia" w:ascii="Times New Roman" w:hAnsi="Times New Roman" w:eastAsia="仿宋_GB2312" w:cs="仿宋_GB2312"/>
          <w:snapToGrid w:val="0"/>
          <w:color w:val="auto"/>
          <w:spacing w:val="-4"/>
          <w:sz w:val="32"/>
          <w:szCs w:val="32"/>
        </w:rPr>
        <w:t>统筹推进农贸市场更新提质，全面提升农贸市场建设管理水平。</w:t>
      </w:r>
      <w:r>
        <w:rPr>
          <w:rFonts w:hint="eastAsia" w:ascii="仿宋_GB2312" w:eastAsia="仿宋_GB2312"/>
          <w:color w:val="auto"/>
          <w:sz w:val="32"/>
          <w:szCs w:val="32"/>
        </w:rPr>
        <w:t>（牵头单位：县农提办</w:t>
      </w:r>
      <w:r>
        <w:rPr>
          <w:rFonts w:ascii="仿宋_GB2312" w:eastAsia="仿宋_GB2312"/>
          <w:color w:val="auto"/>
          <w:sz w:val="32"/>
          <w:szCs w:val="32"/>
        </w:rPr>
        <w:t>；</w:t>
      </w:r>
      <w:r>
        <w:rPr>
          <w:rFonts w:hint="eastAsia" w:ascii="仿宋_GB2312" w:eastAsia="仿宋_GB2312"/>
          <w:color w:val="auto"/>
          <w:sz w:val="32"/>
          <w:szCs w:val="32"/>
        </w:rPr>
        <w:t>责任单位：各乡镇人民政府、街道办事处）</w:t>
      </w:r>
    </w:p>
    <w:p>
      <w:pPr>
        <w:numPr>
          <w:ilvl w:val="0"/>
          <w:numId w:val="2"/>
        </w:numPr>
        <w:spacing w:after="0" w:line="600" w:lineRule="exact"/>
        <w:ind w:left="0" w:firstLine="624" w:firstLineChars="200"/>
        <w:jc w:val="both"/>
        <w:rPr>
          <w:rFonts w:ascii="仿宋_GB2312" w:hAnsi="仿宋_GB2312" w:eastAsia="仿宋_GB2312" w:cs="仿宋_GB2312"/>
          <w:snapToGrid w:val="0"/>
          <w:color w:val="auto"/>
          <w:spacing w:val="-4"/>
          <w:sz w:val="32"/>
          <w:szCs w:val="32"/>
        </w:rPr>
      </w:pPr>
      <w:r>
        <w:rPr>
          <w:rFonts w:hint="eastAsia" w:ascii="楷体" w:hAnsi="楷体" w:eastAsia="楷体" w:cs="楷体"/>
          <w:snapToGrid w:val="0"/>
          <w:color w:val="auto"/>
          <w:spacing w:val="-4"/>
          <w:sz w:val="32"/>
          <w:szCs w:val="32"/>
        </w:rPr>
        <w:t>加大政策扶持。</w:t>
      </w:r>
      <w:r>
        <w:rPr>
          <w:rFonts w:hint="eastAsia" w:ascii="仿宋_GB2312" w:eastAsia="仿宋_GB2312"/>
          <w:color w:val="auto"/>
          <w:sz w:val="32"/>
          <w:szCs w:val="32"/>
        </w:rPr>
        <w:t>各乡镇人民政府、街道办事处</w:t>
      </w:r>
      <w:r>
        <w:rPr>
          <w:rFonts w:hint="eastAsia" w:ascii="Times New Roman" w:hAnsi="Times New Roman" w:eastAsia="仿宋_GB2312" w:cs="仿宋_GB2312"/>
          <w:snapToGrid w:val="0"/>
          <w:color w:val="auto"/>
          <w:spacing w:val="-4"/>
          <w:sz w:val="32"/>
          <w:szCs w:val="32"/>
        </w:rPr>
        <w:t>要根据实际情况，研究制定</w:t>
      </w:r>
      <w:r>
        <w:rPr>
          <w:rFonts w:hint="eastAsia" w:ascii="仿宋_GB2312" w:hAnsi="仿宋_GB2312" w:eastAsia="仿宋_GB2312" w:cs="仿宋_GB2312"/>
          <w:snapToGrid w:val="0"/>
          <w:color w:val="auto"/>
          <w:spacing w:val="-4"/>
          <w:sz w:val="32"/>
          <w:szCs w:val="32"/>
        </w:rPr>
        <w:t>农贸市场相关的</w:t>
      </w:r>
      <w:r>
        <w:rPr>
          <w:rFonts w:hint="eastAsia" w:ascii="Times New Roman" w:hAnsi="Times New Roman" w:eastAsia="仿宋_GB2312" w:cs="仿宋_GB2312"/>
          <w:snapToGrid w:val="0"/>
          <w:color w:val="auto"/>
          <w:spacing w:val="-4"/>
          <w:sz w:val="32"/>
          <w:szCs w:val="32"/>
        </w:rPr>
        <w:t>规划、土地、水电费及其他收费等优惠扶持</w:t>
      </w:r>
      <w:r>
        <w:rPr>
          <w:rFonts w:hint="eastAsia" w:ascii="仿宋_GB2312" w:hAnsi="仿宋_GB2312" w:eastAsia="仿宋_GB2312" w:cs="仿宋_GB2312"/>
          <w:snapToGrid w:val="0"/>
          <w:color w:val="auto"/>
          <w:spacing w:val="-4"/>
          <w:sz w:val="32"/>
          <w:szCs w:val="32"/>
        </w:rPr>
        <w:t>政策，</w:t>
      </w:r>
      <w:r>
        <w:rPr>
          <w:rFonts w:hint="eastAsia" w:ascii="Times New Roman" w:hAnsi="Times New Roman" w:eastAsia="仿宋_GB2312" w:cs="仿宋_GB2312"/>
          <w:snapToGrid w:val="0"/>
          <w:color w:val="auto"/>
          <w:spacing w:val="-4"/>
          <w:sz w:val="32"/>
          <w:szCs w:val="32"/>
        </w:rPr>
        <w:t>努力降低市场经营成本。（牵头单位：县农提办，配合单位：县市场监管局、</w:t>
      </w:r>
      <w:r>
        <w:rPr>
          <w:rFonts w:hint="eastAsia" w:ascii="仿宋_GB2312" w:eastAsia="仿宋_GB2312"/>
          <w:color w:val="auto"/>
          <w:sz w:val="32"/>
          <w:szCs w:val="32"/>
        </w:rPr>
        <w:t>县发展改革委、县自然资源和规划局</w:t>
      </w:r>
      <w:r>
        <w:rPr>
          <w:rFonts w:ascii="Times New Roman" w:hAnsi="Times New Roman" w:eastAsia="仿宋_GB2312" w:cs="仿宋_GB2312"/>
          <w:snapToGrid w:val="0"/>
          <w:color w:val="auto"/>
          <w:spacing w:val="-4"/>
          <w:sz w:val="32"/>
          <w:szCs w:val="32"/>
        </w:rPr>
        <w:t>；</w:t>
      </w:r>
      <w:r>
        <w:rPr>
          <w:rFonts w:hint="eastAsia" w:ascii="Times New Roman" w:hAnsi="Times New Roman" w:eastAsia="仿宋_GB2312" w:cs="仿宋_GB2312"/>
          <w:snapToGrid w:val="0"/>
          <w:color w:val="auto"/>
          <w:spacing w:val="-4"/>
          <w:sz w:val="32"/>
          <w:szCs w:val="32"/>
        </w:rPr>
        <w:t>责任单位：</w:t>
      </w:r>
      <w:r>
        <w:rPr>
          <w:rFonts w:hint="eastAsia" w:ascii="仿宋_GB2312" w:eastAsia="仿宋_GB2312"/>
          <w:color w:val="auto"/>
          <w:sz w:val="32"/>
          <w:szCs w:val="32"/>
        </w:rPr>
        <w:t>各乡镇人民政府、街道办事处</w:t>
      </w:r>
      <w:r>
        <w:rPr>
          <w:rFonts w:hint="eastAsia" w:ascii="Times New Roman" w:hAnsi="Times New Roman" w:eastAsia="仿宋_GB2312" w:cs="仿宋_GB2312"/>
          <w:snapToGrid w:val="0"/>
          <w:color w:val="auto"/>
          <w:spacing w:val="-4"/>
          <w:sz w:val="32"/>
          <w:szCs w:val="32"/>
        </w:rPr>
        <w:t>）</w:t>
      </w:r>
    </w:p>
    <w:p>
      <w:pPr>
        <w:numPr>
          <w:ilvl w:val="0"/>
          <w:numId w:val="2"/>
        </w:numPr>
        <w:spacing w:after="0" w:line="600" w:lineRule="exact"/>
        <w:ind w:left="0" w:firstLine="624" w:firstLineChars="200"/>
        <w:jc w:val="both"/>
        <w:rPr>
          <w:rFonts w:ascii="Times New Roman" w:hAnsi="Times New Roman" w:eastAsia="仿宋_GB2312" w:cs="仿宋_GB2312"/>
          <w:snapToGrid w:val="0"/>
          <w:color w:val="auto"/>
          <w:spacing w:val="-4"/>
          <w:sz w:val="32"/>
          <w:szCs w:val="32"/>
        </w:rPr>
      </w:pPr>
      <w:r>
        <w:rPr>
          <w:rFonts w:hint="eastAsia" w:ascii="楷体" w:hAnsi="楷体" w:eastAsia="楷体" w:cs="楷体"/>
          <w:snapToGrid w:val="0"/>
          <w:color w:val="auto"/>
          <w:spacing w:val="-4"/>
          <w:sz w:val="32"/>
          <w:szCs w:val="32"/>
        </w:rPr>
        <w:t>落实资金保障。</w:t>
      </w:r>
      <w:r>
        <w:rPr>
          <w:rFonts w:hint="eastAsia" w:ascii="Times New Roman" w:hAnsi="Times New Roman" w:eastAsia="仿宋_GB2312" w:cs="仿宋_GB2312"/>
          <w:snapToGrid w:val="0"/>
          <w:color w:val="auto"/>
          <w:spacing w:val="-4"/>
          <w:sz w:val="32"/>
          <w:szCs w:val="32"/>
        </w:rPr>
        <w:t>通过改造提升，新创建成</w:t>
      </w:r>
      <w:r>
        <w:rPr>
          <w:rFonts w:ascii="Times New Roman" w:hAnsi="Times New Roman" w:eastAsia="仿宋_GB2312" w:cs="仿宋_GB2312"/>
          <w:snapToGrid w:val="0"/>
          <w:color w:val="auto"/>
          <w:spacing w:val="-4"/>
          <w:sz w:val="32"/>
          <w:szCs w:val="32"/>
        </w:rPr>
        <w:t>三</w:t>
      </w:r>
      <w:r>
        <w:rPr>
          <w:rFonts w:hint="eastAsia" w:ascii="Times New Roman" w:hAnsi="Times New Roman" w:eastAsia="仿宋_GB2312" w:cs="仿宋_GB2312"/>
          <w:snapToGrid w:val="0"/>
          <w:color w:val="auto"/>
          <w:spacing w:val="-4"/>
          <w:sz w:val="32"/>
          <w:szCs w:val="32"/>
        </w:rPr>
        <w:t>星级及以上的农贸市场，将按照改造投</w:t>
      </w:r>
      <w:r>
        <w:rPr>
          <w:rFonts w:hint="eastAsia" w:ascii="仿宋_GB2312" w:hAnsi="仿宋_GB2312" w:eastAsia="仿宋_GB2312" w:cs="仿宋_GB2312"/>
          <w:snapToGrid w:val="0"/>
          <w:color w:val="auto"/>
          <w:spacing w:val="-4"/>
          <w:sz w:val="32"/>
          <w:szCs w:val="32"/>
        </w:rPr>
        <w:t>资</w:t>
      </w:r>
      <w:r>
        <w:rPr>
          <w:rFonts w:ascii="仿宋_GB2312" w:hAnsi="仿宋_GB2312" w:eastAsia="仿宋_GB2312" w:cs="仿宋_GB2312"/>
          <w:snapToGrid w:val="0"/>
          <w:color w:val="auto"/>
          <w:spacing w:val="-4"/>
          <w:sz w:val="32"/>
          <w:szCs w:val="32"/>
        </w:rPr>
        <w:t>额的5</w:t>
      </w:r>
      <w:r>
        <w:rPr>
          <w:rFonts w:hint="eastAsia" w:ascii="仿宋_GB2312" w:hAnsi="仿宋_GB2312" w:eastAsia="仿宋_GB2312" w:cs="仿宋_GB2312"/>
          <w:snapToGrid w:val="0"/>
          <w:color w:val="auto"/>
          <w:spacing w:val="-4"/>
          <w:sz w:val="32"/>
          <w:szCs w:val="32"/>
        </w:rPr>
        <w:t>0%进行</w:t>
      </w:r>
      <w:r>
        <w:rPr>
          <w:rFonts w:ascii="仿宋_GB2312" w:hAnsi="仿宋_GB2312" w:eastAsia="仿宋_GB2312" w:cs="仿宋_GB2312"/>
          <w:snapToGrid w:val="0"/>
          <w:color w:val="auto"/>
          <w:spacing w:val="-4"/>
          <w:sz w:val="32"/>
          <w:szCs w:val="32"/>
        </w:rPr>
        <w:t>奖</w:t>
      </w:r>
      <w:r>
        <w:rPr>
          <w:rFonts w:hint="eastAsia" w:ascii="仿宋_GB2312" w:hAnsi="仿宋_GB2312" w:eastAsia="仿宋_GB2312" w:cs="仿宋_GB2312"/>
          <w:snapToGrid w:val="0"/>
          <w:color w:val="auto"/>
          <w:spacing w:val="-4"/>
          <w:sz w:val="32"/>
          <w:szCs w:val="32"/>
        </w:rPr>
        <w:t>补（</w:t>
      </w:r>
      <w:r>
        <w:rPr>
          <w:rFonts w:hint="eastAsia" w:ascii="Times New Roman" w:hAnsi="Times New Roman" w:eastAsia="仿宋_GB2312" w:cs="仿宋_GB2312"/>
          <w:snapToGrid w:val="0"/>
          <w:color w:val="auto"/>
          <w:spacing w:val="-4"/>
          <w:sz w:val="32"/>
          <w:szCs w:val="32"/>
        </w:rPr>
        <w:t>新建重建的封顶</w:t>
      </w:r>
      <w:r>
        <w:rPr>
          <w:rFonts w:ascii="Times New Roman" w:hAnsi="Times New Roman" w:eastAsia="仿宋_GB2312" w:cs="仿宋_GB2312"/>
          <w:snapToGrid w:val="0"/>
          <w:color w:val="auto"/>
          <w:spacing w:val="-4"/>
          <w:sz w:val="32"/>
          <w:szCs w:val="32"/>
        </w:rPr>
        <w:t>200</w:t>
      </w:r>
      <w:r>
        <w:rPr>
          <w:rFonts w:hint="eastAsia" w:ascii="Times New Roman" w:hAnsi="Times New Roman" w:eastAsia="仿宋_GB2312" w:cs="仿宋_GB2312"/>
          <w:snapToGrid w:val="0"/>
          <w:color w:val="auto"/>
          <w:spacing w:val="-4"/>
          <w:sz w:val="32"/>
          <w:szCs w:val="32"/>
        </w:rPr>
        <w:t>万</w:t>
      </w:r>
      <w:r>
        <w:rPr>
          <w:rFonts w:ascii="Times New Roman" w:hAnsi="Times New Roman" w:eastAsia="仿宋_GB2312" w:cs="仿宋_GB2312"/>
          <w:snapToGrid w:val="0"/>
          <w:color w:val="auto"/>
          <w:spacing w:val="-4"/>
          <w:sz w:val="32"/>
          <w:szCs w:val="32"/>
        </w:rPr>
        <w:t>元</w:t>
      </w:r>
      <w:r>
        <w:rPr>
          <w:rFonts w:hint="eastAsia" w:ascii="Times New Roman" w:hAnsi="Times New Roman" w:eastAsia="仿宋_GB2312" w:cs="仿宋_GB2312"/>
          <w:snapToGrid w:val="0"/>
          <w:color w:val="auto"/>
          <w:spacing w:val="-4"/>
          <w:sz w:val="32"/>
          <w:szCs w:val="32"/>
        </w:rPr>
        <w:t>，内部改造的封顶1</w:t>
      </w:r>
      <w:r>
        <w:rPr>
          <w:rFonts w:ascii="Times New Roman" w:hAnsi="Times New Roman" w:eastAsia="仿宋_GB2312" w:cs="仿宋_GB2312"/>
          <w:snapToGrid w:val="0"/>
          <w:color w:val="auto"/>
          <w:spacing w:val="-4"/>
          <w:sz w:val="32"/>
          <w:szCs w:val="32"/>
        </w:rPr>
        <w:t>50</w:t>
      </w:r>
      <w:r>
        <w:rPr>
          <w:rFonts w:hint="eastAsia" w:ascii="Times New Roman" w:hAnsi="Times New Roman" w:eastAsia="仿宋_GB2312" w:cs="仿宋_GB2312"/>
          <w:snapToGrid w:val="0"/>
          <w:color w:val="auto"/>
          <w:spacing w:val="-4"/>
          <w:sz w:val="32"/>
          <w:szCs w:val="32"/>
        </w:rPr>
        <w:t>万</w:t>
      </w:r>
      <w:r>
        <w:rPr>
          <w:rFonts w:ascii="Times New Roman" w:hAnsi="Times New Roman" w:eastAsia="仿宋_GB2312" w:cs="仿宋_GB2312"/>
          <w:snapToGrid w:val="0"/>
          <w:color w:val="auto"/>
          <w:spacing w:val="-4"/>
          <w:sz w:val="32"/>
          <w:szCs w:val="32"/>
        </w:rPr>
        <w:t>元</w:t>
      </w:r>
      <w:r>
        <w:rPr>
          <w:rFonts w:hint="eastAsia" w:ascii="Times New Roman" w:hAnsi="Times New Roman" w:eastAsia="仿宋_GB2312" w:cs="仿宋_GB2312"/>
          <w:snapToGrid w:val="0"/>
          <w:color w:val="auto"/>
          <w:spacing w:val="-4"/>
          <w:sz w:val="32"/>
          <w:szCs w:val="32"/>
        </w:rPr>
        <w:t>，起补5</w:t>
      </w:r>
      <w:r>
        <w:rPr>
          <w:rFonts w:ascii="Times New Roman" w:hAnsi="Times New Roman" w:eastAsia="仿宋_GB2312" w:cs="仿宋_GB2312"/>
          <w:snapToGrid w:val="0"/>
          <w:color w:val="auto"/>
          <w:spacing w:val="-4"/>
          <w:sz w:val="32"/>
          <w:szCs w:val="32"/>
        </w:rPr>
        <w:t>0</w:t>
      </w:r>
      <w:r>
        <w:rPr>
          <w:rFonts w:hint="eastAsia" w:ascii="Times New Roman" w:hAnsi="Times New Roman" w:eastAsia="仿宋_GB2312" w:cs="仿宋_GB2312"/>
          <w:snapToGrid w:val="0"/>
          <w:color w:val="auto"/>
          <w:spacing w:val="-4"/>
          <w:sz w:val="32"/>
          <w:szCs w:val="32"/>
        </w:rPr>
        <w:t>万</w:t>
      </w:r>
      <w:r>
        <w:rPr>
          <w:rFonts w:ascii="Times New Roman" w:hAnsi="Times New Roman" w:eastAsia="仿宋_GB2312" w:cs="仿宋_GB2312"/>
          <w:snapToGrid w:val="0"/>
          <w:color w:val="auto"/>
          <w:spacing w:val="-4"/>
          <w:sz w:val="32"/>
          <w:szCs w:val="32"/>
        </w:rPr>
        <w:t>元</w:t>
      </w:r>
      <w:r>
        <w:rPr>
          <w:rFonts w:hint="eastAsia" w:ascii="仿宋_GB2312" w:hAnsi="仿宋_GB2312" w:eastAsia="仿宋_GB2312" w:cs="仿宋_GB2312"/>
          <w:snapToGrid w:val="0"/>
          <w:color w:val="auto"/>
          <w:spacing w:val="-4"/>
          <w:sz w:val="32"/>
          <w:szCs w:val="32"/>
        </w:rPr>
        <w:t>）</w:t>
      </w:r>
      <w:r>
        <w:rPr>
          <w:rFonts w:hint="eastAsia" w:ascii="Times New Roman" w:hAnsi="Times New Roman" w:eastAsia="仿宋_GB2312" w:cs="仿宋_GB2312"/>
          <w:snapToGrid w:val="0"/>
          <w:color w:val="auto"/>
          <w:spacing w:val="-4"/>
          <w:sz w:val="32"/>
          <w:szCs w:val="32"/>
        </w:rPr>
        <w:t>，创建成五星级农贸市场另奖</w:t>
      </w:r>
      <w:r>
        <w:rPr>
          <w:rFonts w:ascii="Times New Roman" w:hAnsi="Times New Roman" w:eastAsia="仿宋_GB2312" w:cs="仿宋_GB2312"/>
          <w:snapToGrid w:val="0"/>
          <w:color w:val="auto"/>
          <w:spacing w:val="-4"/>
          <w:sz w:val="32"/>
          <w:szCs w:val="32"/>
        </w:rPr>
        <w:t>补</w:t>
      </w:r>
      <w:r>
        <w:rPr>
          <w:rFonts w:hint="eastAsia" w:ascii="Times New Roman" w:hAnsi="Times New Roman" w:eastAsia="仿宋_GB2312" w:cs="仿宋_GB2312"/>
          <w:snapToGrid w:val="0"/>
          <w:color w:val="auto"/>
          <w:spacing w:val="-4"/>
          <w:sz w:val="32"/>
          <w:szCs w:val="32"/>
        </w:rPr>
        <w:t>1</w:t>
      </w:r>
      <w:r>
        <w:rPr>
          <w:rFonts w:ascii="Times New Roman" w:hAnsi="Times New Roman" w:eastAsia="仿宋_GB2312" w:cs="仿宋_GB2312"/>
          <w:snapToGrid w:val="0"/>
          <w:color w:val="auto"/>
          <w:spacing w:val="-4"/>
          <w:sz w:val="32"/>
          <w:szCs w:val="32"/>
        </w:rPr>
        <w:t>00</w:t>
      </w:r>
      <w:r>
        <w:rPr>
          <w:rFonts w:hint="eastAsia" w:ascii="Times New Roman" w:hAnsi="Times New Roman" w:eastAsia="仿宋_GB2312" w:cs="仿宋_GB2312"/>
          <w:snapToGrid w:val="0"/>
          <w:color w:val="auto"/>
          <w:spacing w:val="-4"/>
          <w:sz w:val="32"/>
          <w:szCs w:val="32"/>
        </w:rPr>
        <w:t>万</w:t>
      </w:r>
      <w:r>
        <w:rPr>
          <w:rFonts w:ascii="Times New Roman" w:hAnsi="Times New Roman" w:eastAsia="仿宋_GB2312" w:cs="仿宋_GB2312"/>
          <w:snapToGrid w:val="0"/>
          <w:color w:val="auto"/>
          <w:spacing w:val="-4"/>
          <w:sz w:val="32"/>
          <w:szCs w:val="32"/>
        </w:rPr>
        <w:t>元</w:t>
      </w:r>
      <w:r>
        <w:rPr>
          <w:rFonts w:hint="eastAsia" w:ascii="Times New Roman" w:hAnsi="Times New Roman" w:eastAsia="仿宋_GB2312" w:cs="仿宋_GB2312"/>
          <w:snapToGrid w:val="0"/>
          <w:color w:val="auto"/>
          <w:spacing w:val="-4"/>
          <w:sz w:val="32"/>
          <w:szCs w:val="32"/>
        </w:rPr>
        <w:t>，创建成四星级农贸市场另奖</w:t>
      </w:r>
      <w:r>
        <w:rPr>
          <w:rFonts w:ascii="Times New Roman" w:hAnsi="Times New Roman" w:eastAsia="仿宋_GB2312" w:cs="仿宋_GB2312"/>
          <w:snapToGrid w:val="0"/>
          <w:color w:val="auto"/>
          <w:spacing w:val="-4"/>
          <w:sz w:val="32"/>
          <w:szCs w:val="32"/>
        </w:rPr>
        <w:t>补30</w:t>
      </w:r>
      <w:r>
        <w:rPr>
          <w:rFonts w:hint="eastAsia" w:ascii="Times New Roman" w:hAnsi="Times New Roman" w:eastAsia="仿宋_GB2312" w:cs="仿宋_GB2312"/>
          <w:snapToGrid w:val="0"/>
          <w:color w:val="auto"/>
          <w:spacing w:val="-4"/>
          <w:sz w:val="32"/>
          <w:szCs w:val="32"/>
        </w:rPr>
        <w:t>万</w:t>
      </w:r>
      <w:r>
        <w:rPr>
          <w:rFonts w:ascii="Times New Roman" w:hAnsi="Times New Roman" w:eastAsia="仿宋_GB2312" w:cs="仿宋_GB2312"/>
          <w:snapToGrid w:val="0"/>
          <w:color w:val="auto"/>
          <w:spacing w:val="-4"/>
          <w:sz w:val="32"/>
          <w:szCs w:val="32"/>
        </w:rPr>
        <w:t>元，</w:t>
      </w:r>
      <w:r>
        <w:rPr>
          <w:rFonts w:hint="eastAsia" w:ascii="仿宋_GB2312" w:hAnsi="仿宋_GB2312" w:eastAsia="仿宋_GB2312" w:cs="仿宋_GB2312"/>
          <w:snapToGrid w:val="0"/>
          <w:color w:val="auto"/>
          <w:spacing w:val="-4"/>
          <w:sz w:val="32"/>
          <w:szCs w:val="32"/>
        </w:rPr>
        <w:t>创建成三星级农贸市场</w:t>
      </w:r>
      <w:r>
        <w:rPr>
          <w:rFonts w:hint="eastAsia" w:ascii="Times New Roman" w:hAnsi="Times New Roman" w:eastAsia="仿宋_GB2312" w:cs="仿宋_GB2312"/>
          <w:snapToGrid w:val="0"/>
          <w:color w:val="auto"/>
          <w:spacing w:val="-4"/>
          <w:sz w:val="32"/>
          <w:szCs w:val="32"/>
        </w:rPr>
        <w:t>另奖</w:t>
      </w:r>
      <w:r>
        <w:rPr>
          <w:rFonts w:ascii="Times New Roman" w:hAnsi="Times New Roman" w:eastAsia="仿宋_GB2312" w:cs="仿宋_GB2312"/>
          <w:snapToGrid w:val="0"/>
          <w:color w:val="auto"/>
          <w:spacing w:val="-4"/>
          <w:sz w:val="32"/>
          <w:szCs w:val="32"/>
        </w:rPr>
        <w:t>补10</w:t>
      </w:r>
      <w:r>
        <w:rPr>
          <w:rFonts w:hint="eastAsia" w:ascii="Times New Roman" w:hAnsi="Times New Roman" w:eastAsia="仿宋_GB2312" w:cs="仿宋_GB2312"/>
          <w:snapToGrid w:val="0"/>
          <w:color w:val="auto"/>
          <w:spacing w:val="-4"/>
          <w:sz w:val="32"/>
          <w:szCs w:val="32"/>
        </w:rPr>
        <w:t>万</w:t>
      </w:r>
      <w:r>
        <w:rPr>
          <w:rFonts w:ascii="Times New Roman" w:hAnsi="Times New Roman" w:eastAsia="仿宋_GB2312" w:cs="仿宋_GB2312"/>
          <w:snapToGrid w:val="0"/>
          <w:color w:val="auto"/>
          <w:spacing w:val="-4"/>
          <w:sz w:val="32"/>
          <w:szCs w:val="32"/>
        </w:rPr>
        <w:t>元</w:t>
      </w:r>
      <w:r>
        <w:rPr>
          <w:rFonts w:hint="eastAsia" w:ascii="Times New Roman" w:hAnsi="Times New Roman" w:eastAsia="仿宋_GB2312" w:cs="仿宋_GB2312"/>
          <w:snapToGrid w:val="0"/>
          <w:color w:val="auto"/>
          <w:spacing w:val="-4"/>
          <w:sz w:val="32"/>
          <w:szCs w:val="32"/>
        </w:rPr>
        <w:t>。</w:t>
      </w:r>
      <w:r>
        <w:rPr>
          <w:rFonts w:hint="eastAsia" w:ascii="仿宋_GB2312" w:hAnsi="仿宋_GB2312" w:eastAsia="仿宋_GB2312" w:cs="仿宋_GB2312"/>
          <w:snapToGrid w:val="0"/>
          <w:color w:val="auto"/>
          <w:spacing w:val="-4"/>
          <w:sz w:val="32"/>
          <w:szCs w:val="32"/>
        </w:rPr>
        <w:t>（牵头单位：县财政局</w:t>
      </w:r>
      <w:r>
        <w:rPr>
          <w:rFonts w:ascii="仿宋_GB2312" w:hAnsi="仿宋_GB2312" w:eastAsia="仿宋_GB2312" w:cs="仿宋_GB2312"/>
          <w:snapToGrid w:val="0"/>
          <w:color w:val="auto"/>
          <w:spacing w:val="-4"/>
          <w:sz w:val="32"/>
          <w:szCs w:val="32"/>
        </w:rPr>
        <w:t>；</w:t>
      </w:r>
      <w:r>
        <w:rPr>
          <w:rFonts w:hint="eastAsia" w:ascii="仿宋_GB2312" w:hAnsi="仿宋_GB2312" w:eastAsia="仿宋_GB2312" w:cs="仿宋_GB2312"/>
          <w:snapToGrid w:val="0"/>
          <w:color w:val="auto"/>
          <w:spacing w:val="-4"/>
          <w:sz w:val="32"/>
          <w:szCs w:val="32"/>
        </w:rPr>
        <w:t>配合单位：县市场监管局</w:t>
      </w:r>
      <w:r>
        <w:rPr>
          <w:rFonts w:ascii="仿宋_GB2312" w:hAnsi="仿宋_GB2312" w:eastAsia="仿宋_GB2312" w:cs="仿宋_GB2312"/>
          <w:snapToGrid w:val="0"/>
          <w:color w:val="auto"/>
          <w:spacing w:val="-4"/>
          <w:sz w:val="32"/>
          <w:szCs w:val="32"/>
        </w:rPr>
        <w:t>；</w:t>
      </w:r>
      <w:r>
        <w:rPr>
          <w:rFonts w:hint="eastAsia" w:ascii="仿宋_GB2312" w:hAnsi="仿宋_GB2312" w:eastAsia="仿宋_GB2312" w:cs="仿宋_GB2312"/>
          <w:snapToGrid w:val="0"/>
          <w:color w:val="auto"/>
          <w:spacing w:val="-4"/>
          <w:sz w:val="32"/>
          <w:szCs w:val="32"/>
        </w:rPr>
        <w:t>责任单位：</w:t>
      </w:r>
      <w:r>
        <w:rPr>
          <w:rFonts w:hint="eastAsia" w:ascii="仿宋_GB2312" w:eastAsia="仿宋_GB2312"/>
          <w:color w:val="auto"/>
          <w:sz w:val="32"/>
          <w:szCs w:val="32"/>
        </w:rPr>
        <w:t>各乡镇人民政府、街道办事处）</w:t>
      </w:r>
    </w:p>
    <w:p>
      <w:pPr>
        <w:spacing w:after="0" w:line="600" w:lineRule="exact"/>
        <w:ind w:firstLine="624" w:firstLineChars="200"/>
        <w:jc w:val="both"/>
        <w:rPr>
          <w:rFonts w:ascii="Times New Roman" w:hAnsi="Times New Roman" w:eastAsia="仿宋_GB2312" w:cs="仿宋_GB2312"/>
          <w:snapToGrid w:val="0"/>
          <w:color w:val="auto"/>
          <w:spacing w:val="-4"/>
          <w:sz w:val="32"/>
          <w:szCs w:val="32"/>
        </w:rPr>
      </w:pPr>
      <w:r>
        <w:rPr>
          <w:rFonts w:hint="eastAsia" w:ascii="楷体" w:hAnsi="楷体" w:eastAsia="楷体" w:cs="楷体"/>
          <w:snapToGrid w:val="0"/>
          <w:color w:val="auto"/>
          <w:spacing w:val="-4"/>
          <w:sz w:val="32"/>
          <w:szCs w:val="32"/>
        </w:rPr>
        <w:t>（四）强化督查考核。</w:t>
      </w:r>
      <w:r>
        <w:rPr>
          <w:rFonts w:hint="eastAsia" w:ascii="Times New Roman" w:hAnsi="Times New Roman" w:eastAsia="仿宋_GB2312" w:cs="仿宋_GB2312"/>
          <w:snapToGrid w:val="0"/>
          <w:color w:val="auto"/>
          <w:spacing w:val="-4"/>
          <w:sz w:val="32"/>
          <w:szCs w:val="32"/>
        </w:rPr>
        <w:t>将农贸市场更新提质工作纳入全县年度重点工作考核。县农提办要做好组织协调、统计分析等工作，</w:t>
      </w:r>
      <w:r>
        <w:rPr>
          <w:rFonts w:ascii="Times New Roman" w:hAnsi="Times New Roman" w:eastAsia="仿宋_GB2312" w:cs="仿宋_GB2312"/>
          <w:snapToGrid w:val="0"/>
          <w:color w:val="auto"/>
          <w:spacing w:val="-4"/>
          <w:sz w:val="32"/>
          <w:szCs w:val="32"/>
        </w:rPr>
        <w:t>根据相关要求对</w:t>
      </w:r>
      <w:r>
        <w:rPr>
          <w:rFonts w:hint="eastAsia" w:ascii="Times New Roman" w:hAnsi="Times New Roman" w:eastAsia="仿宋_GB2312" w:cs="仿宋_GB2312"/>
          <w:snapToGrid w:val="0"/>
          <w:color w:val="auto"/>
          <w:spacing w:val="-4"/>
          <w:sz w:val="32"/>
          <w:szCs w:val="32"/>
        </w:rPr>
        <w:t>市场长效管理、食品安全、限塑等</w:t>
      </w:r>
      <w:r>
        <w:rPr>
          <w:rFonts w:ascii="Times New Roman" w:hAnsi="Times New Roman" w:eastAsia="仿宋_GB2312" w:cs="仿宋_GB2312"/>
          <w:snapToGrid w:val="0"/>
          <w:color w:val="auto"/>
          <w:spacing w:val="-4"/>
          <w:sz w:val="32"/>
          <w:szCs w:val="32"/>
        </w:rPr>
        <w:t>工作开展</w:t>
      </w:r>
      <w:r>
        <w:rPr>
          <w:rFonts w:hint="eastAsia" w:ascii="Times New Roman" w:hAnsi="Times New Roman" w:eastAsia="仿宋_GB2312" w:cs="仿宋_GB2312"/>
          <w:snapToGrid w:val="0"/>
          <w:color w:val="auto"/>
          <w:spacing w:val="-4"/>
          <w:sz w:val="32"/>
          <w:szCs w:val="32"/>
        </w:rPr>
        <w:t>督查，</w:t>
      </w:r>
      <w:r>
        <w:rPr>
          <w:rFonts w:ascii="Times New Roman" w:hAnsi="Times New Roman" w:eastAsia="仿宋_GB2312" w:cs="仿宋_GB2312"/>
          <w:snapToGrid w:val="0"/>
          <w:color w:val="auto"/>
          <w:spacing w:val="-4"/>
          <w:sz w:val="32"/>
          <w:szCs w:val="32"/>
        </w:rPr>
        <w:t>并</w:t>
      </w:r>
      <w:r>
        <w:rPr>
          <w:rFonts w:hint="eastAsia" w:ascii="Times New Roman" w:hAnsi="Times New Roman" w:eastAsia="仿宋_GB2312" w:cs="仿宋_GB2312"/>
          <w:snapToGrid w:val="0"/>
          <w:color w:val="auto"/>
          <w:spacing w:val="-4"/>
          <w:sz w:val="32"/>
          <w:szCs w:val="32"/>
        </w:rPr>
        <w:t>实行定期通报，确保农贸市场更新提质工作</w:t>
      </w:r>
      <w:r>
        <w:rPr>
          <w:rFonts w:ascii="Times New Roman" w:hAnsi="Times New Roman" w:eastAsia="仿宋_GB2312" w:cs="仿宋_GB2312"/>
          <w:snapToGrid w:val="0"/>
          <w:color w:val="auto"/>
          <w:spacing w:val="-4"/>
          <w:sz w:val="32"/>
          <w:szCs w:val="32"/>
        </w:rPr>
        <w:t>高质</w:t>
      </w:r>
      <w:r>
        <w:rPr>
          <w:rFonts w:hint="eastAsia" w:ascii="Times New Roman" w:hAnsi="Times New Roman" w:eastAsia="仿宋_GB2312" w:cs="仿宋_GB2312"/>
          <w:snapToGrid w:val="0"/>
          <w:color w:val="auto"/>
          <w:spacing w:val="-4"/>
          <w:sz w:val="32"/>
          <w:szCs w:val="32"/>
        </w:rPr>
        <w:t>量完成</w:t>
      </w:r>
      <w:r>
        <w:rPr>
          <w:rFonts w:ascii="Times New Roman" w:hAnsi="Times New Roman" w:eastAsia="仿宋_GB2312" w:cs="仿宋_GB2312"/>
          <w:snapToGrid w:val="0"/>
          <w:color w:val="auto"/>
          <w:spacing w:val="-4"/>
          <w:sz w:val="32"/>
          <w:szCs w:val="32"/>
        </w:rPr>
        <w:t>，不断巩固全国文明城市创建成果</w:t>
      </w:r>
      <w:r>
        <w:rPr>
          <w:rFonts w:hint="eastAsia" w:ascii="Times New Roman" w:hAnsi="Times New Roman" w:eastAsia="仿宋_GB2312" w:cs="仿宋_GB2312"/>
          <w:snapToGrid w:val="0"/>
          <w:color w:val="auto"/>
          <w:spacing w:val="-4"/>
          <w:sz w:val="32"/>
          <w:szCs w:val="32"/>
        </w:rPr>
        <w:t>。（牵头单位：县农提办</w:t>
      </w:r>
      <w:r>
        <w:rPr>
          <w:rFonts w:ascii="Times New Roman" w:hAnsi="Times New Roman" w:eastAsia="仿宋_GB2312" w:cs="仿宋_GB2312"/>
          <w:snapToGrid w:val="0"/>
          <w:color w:val="auto"/>
          <w:spacing w:val="-4"/>
          <w:sz w:val="32"/>
          <w:szCs w:val="32"/>
        </w:rPr>
        <w:t>；</w:t>
      </w:r>
      <w:r>
        <w:rPr>
          <w:rFonts w:hint="eastAsia" w:ascii="Times New Roman" w:hAnsi="Times New Roman" w:eastAsia="仿宋_GB2312" w:cs="仿宋_GB2312"/>
          <w:snapToGrid w:val="0"/>
          <w:color w:val="auto"/>
          <w:spacing w:val="-4"/>
          <w:sz w:val="32"/>
          <w:szCs w:val="32"/>
        </w:rPr>
        <w:t>配合单位：县创建办、县市场监管局、县卫健委、</w:t>
      </w:r>
      <w:r>
        <w:rPr>
          <w:rFonts w:hint="eastAsia" w:ascii="仿宋_GB2312" w:eastAsia="仿宋_GB2312"/>
          <w:color w:val="auto"/>
          <w:sz w:val="32"/>
          <w:szCs w:val="32"/>
        </w:rPr>
        <w:t>县综合行政执法局</w:t>
      </w:r>
      <w:r>
        <w:rPr>
          <w:rFonts w:ascii="Times New Roman" w:hAnsi="Times New Roman" w:eastAsia="仿宋_GB2312" w:cs="仿宋_GB2312"/>
          <w:snapToGrid w:val="0"/>
          <w:color w:val="auto"/>
          <w:spacing w:val="-4"/>
          <w:sz w:val="32"/>
          <w:szCs w:val="32"/>
        </w:rPr>
        <w:t>；</w:t>
      </w:r>
      <w:r>
        <w:rPr>
          <w:rFonts w:hint="eastAsia" w:ascii="Times New Roman" w:hAnsi="Times New Roman" w:eastAsia="仿宋_GB2312" w:cs="仿宋_GB2312"/>
          <w:snapToGrid w:val="0"/>
          <w:color w:val="auto"/>
          <w:spacing w:val="-4"/>
          <w:sz w:val="32"/>
          <w:szCs w:val="32"/>
        </w:rPr>
        <w:t>责任单位：</w:t>
      </w:r>
      <w:r>
        <w:rPr>
          <w:rFonts w:hint="eastAsia" w:ascii="仿宋_GB2312" w:eastAsia="仿宋_GB2312"/>
          <w:color w:val="auto"/>
          <w:sz w:val="32"/>
          <w:szCs w:val="32"/>
        </w:rPr>
        <w:t>各乡镇人民政府、街道办事处</w:t>
      </w:r>
      <w:r>
        <w:rPr>
          <w:rFonts w:hint="eastAsia" w:ascii="Times New Roman" w:hAnsi="Times New Roman" w:eastAsia="仿宋_GB2312" w:cs="仿宋_GB2312"/>
          <w:snapToGrid w:val="0"/>
          <w:color w:val="auto"/>
          <w:spacing w:val="-4"/>
          <w:sz w:val="32"/>
          <w:szCs w:val="32"/>
        </w:rPr>
        <w:t>）</w:t>
      </w:r>
    </w:p>
    <w:p>
      <w:pPr>
        <w:spacing w:line="580" w:lineRule="exact"/>
        <w:ind w:firstLine="624" w:firstLineChars="200"/>
        <w:rPr>
          <w:rFonts w:ascii="Times New Roman" w:hAnsi="Times New Roman" w:eastAsia="仿宋_GB2312" w:cs="Times New Roman"/>
          <w:snapToGrid w:val="0"/>
          <w:color w:val="auto"/>
          <w:spacing w:val="-4"/>
          <w:sz w:val="32"/>
          <w:szCs w:val="32"/>
        </w:rPr>
      </w:pPr>
    </w:p>
    <w:p>
      <w:pPr>
        <w:spacing w:after="0" w:line="600" w:lineRule="exact"/>
        <w:ind w:firstLine="624" w:firstLineChars="200"/>
        <w:jc w:val="both"/>
        <w:rPr>
          <w:rFonts w:ascii="Times New Roman" w:hAnsi="Times New Roman" w:eastAsia="仿宋_GB2312" w:cs="仿宋_GB2312"/>
          <w:snapToGrid w:val="0"/>
          <w:color w:val="auto"/>
          <w:spacing w:val="-4"/>
          <w:sz w:val="32"/>
          <w:szCs w:val="32"/>
        </w:rPr>
      </w:pPr>
      <w:r>
        <w:rPr>
          <w:rFonts w:hint="eastAsia" w:ascii="Times New Roman" w:hAnsi="Times New Roman" w:eastAsia="仿宋_GB2312" w:cs="仿宋_GB2312"/>
          <w:snapToGrid w:val="0"/>
          <w:color w:val="auto"/>
          <w:spacing w:val="-4"/>
          <w:sz w:val="32"/>
          <w:szCs w:val="32"/>
        </w:rPr>
        <w:t>附件：仙居县农贸市场更新提质四年行动计划任务总表</w:t>
      </w:r>
    </w:p>
    <w:p>
      <w:pPr>
        <w:spacing w:after="0" w:line="600" w:lineRule="exact"/>
        <w:ind w:firstLine="624" w:firstLineChars="200"/>
        <w:jc w:val="both"/>
        <w:rPr>
          <w:rFonts w:ascii="Times New Roman" w:hAnsi="Times New Roman" w:eastAsia="仿宋_GB2312" w:cs="仿宋_GB2312"/>
          <w:snapToGrid w:val="0"/>
          <w:color w:val="auto"/>
          <w:spacing w:val="-4"/>
          <w:sz w:val="32"/>
          <w:szCs w:val="32"/>
        </w:rPr>
      </w:pPr>
    </w:p>
    <w:p>
      <w:pPr>
        <w:spacing w:line="580" w:lineRule="exact"/>
        <w:ind w:firstLine="624" w:firstLineChars="200"/>
        <w:jc w:val="both"/>
        <w:rPr>
          <w:rFonts w:ascii="Times New Roman" w:hAnsi="Times New Roman" w:eastAsia="仿宋_GB2312" w:cs="仿宋_GB2312"/>
          <w:snapToGrid w:val="0"/>
          <w:color w:val="auto"/>
          <w:spacing w:val="-4"/>
          <w:sz w:val="32"/>
          <w:szCs w:val="32"/>
        </w:rPr>
      </w:pPr>
    </w:p>
    <w:p>
      <w:pPr>
        <w:spacing w:line="580" w:lineRule="exact"/>
        <w:ind w:firstLine="4992" w:firstLineChars="1600"/>
        <w:jc w:val="both"/>
        <w:rPr>
          <w:rFonts w:ascii="Times New Roman" w:hAnsi="Times New Roman" w:eastAsia="仿宋_GB2312" w:cs="仿宋_GB2312"/>
          <w:snapToGrid w:val="0"/>
          <w:color w:val="auto"/>
          <w:spacing w:val="-4"/>
          <w:sz w:val="32"/>
          <w:szCs w:val="32"/>
        </w:rPr>
        <w:sectPr>
          <w:footerReference r:id="rId4" w:type="default"/>
          <w:pgSz w:w="11906" w:h="16838"/>
          <w:pgMar w:top="2098" w:right="1474" w:bottom="1701" w:left="1587" w:header="708" w:footer="708" w:gutter="0"/>
          <w:cols w:space="720" w:num="1"/>
          <w:docGrid w:linePitch="360" w:charSpace="0"/>
        </w:sectPr>
      </w:pPr>
    </w:p>
    <w:p>
      <w:pPr>
        <w:adjustRightInd/>
        <w:snapToGrid/>
        <w:spacing w:after="0"/>
        <w:rPr>
          <w:rFonts w:ascii="Times New Roman" w:hAnsi="Times New Roman" w:eastAsia="仿宋_GB2312" w:cs="仿宋_GB2312"/>
          <w:snapToGrid w:val="0"/>
          <w:color w:val="auto"/>
          <w:spacing w:val="-4"/>
          <w:sz w:val="32"/>
          <w:szCs w:val="32"/>
        </w:rPr>
      </w:pPr>
      <w:bookmarkStart w:id="0" w:name="_GoBack"/>
      <w:bookmarkEnd w:id="0"/>
      <w:r>
        <w:rPr>
          <w:rFonts w:ascii="宋体" w:hAnsi="宋体" w:eastAsia="宋体" w:cs="宋体"/>
          <w:b/>
          <w:bCs/>
          <w:snapToGrid w:val="0"/>
          <w:color w:val="auto"/>
          <w:spacing w:val="-4"/>
          <w:sz w:val="21"/>
          <w:szCs w:val="21"/>
        </w:rPr>
        <mc:AlternateContent>
          <mc:Choice Requires="wps">
            <w:drawing>
              <wp:anchor distT="0" distB="0" distL="113665" distR="113665" simplePos="0" relativeHeight="251659264" behindDoc="0" locked="0" layoutInCell="1" allowOverlap="1">
                <wp:simplePos x="0" y="0"/>
                <wp:positionH relativeFrom="column">
                  <wp:posOffset>1376680</wp:posOffset>
                </wp:positionH>
                <wp:positionV relativeFrom="paragraph">
                  <wp:posOffset>-189865</wp:posOffset>
                </wp:positionV>
                <wp:extent cx="9958705" cy="458470"/>
                <wp:effectExtent l="4445" t="4445" r="19050" b="13335"/>
                <wp:wrapNone/>
                <wp:docPr id="1" name="Text Box 1031"/>
                <wp:cNvGraphicFramePr/>
                <a:graphic xmlns:a="http://schemas.openxmlformats.org/drawingml/2006/main">
                  <a:graphicData uri="http://schemas.microsoft.com/office/word/2010/wordprocessingShape">
                    <wps:wsp>
                      <wps:cNvSpPr/>
                      <wps:spPr>
                        <a:xfrm>
                          <a:off x="0" y="0"/>
                          <a:ext cx="9958705" cy="458470"/>
                        </a:xfrm>
                        <a:prstGeom prst="rect">
                          <a:avLst/>
                        </a:prstGeom>
                        <a:solidFill>
                          <a:srgbClr val="FFFFFF"/>
                        </a:solidFill>
                        <a:ln w="9525" cap="flat" cmpd="sng">
                          <a:solidFill>
                            <a:srgbClr val="FFFFFF"/>
                          </a:solidFill>
                          <a:prstDash val="solid"/>
                          <a:miter/>
                        </a:ln>
                      </wps:spPr>
                      <wps:txbx>
                        <w:txbxContent>
                          <w:p>
                            <w:r>
                              <w:rPr>
                                <w:rFonts w:hint="eastAsia" w:ascii="方正小标宋简体" w:hAnsi="方正小标宋简体" w:eastAsia="方正小标宋简体" w:cs="方正小标宋简体"/>
                                <w:color w:val="000000"/>
                                <w:sz w:val="36"/>
                                <w:szCs w:val="36"/>
                              </w:rPr>
                              <w:t>附</w:t>
                            </w:r>
                            <w:r>
                              <w:rPr>
                                <w:rFonts w:hint="eastAsia" w:ascii="方正小标宋简体" w:hAnsi="方正小标宋简体" w:eastAsia="方正小标宋简体" w:cs="方正小标宋简体"/>
                                <w:color w:val="auto"/>
                                <w:sz w:val="36"/>
                                <w:szCs w:val="36"/>
                              </w:rPr>
                              <w:t>件：</w:t>
                            </w:r>
                            <w:r>
                              <w:rPr>
                                <w:rFonts w:ascii="方正小标宋简体" w:hAnsi="方正小标宋简体" w:eastAsia="方正小标宋简体" w:cs="方正小标宋简体"/>
                                <w:color w:val="auto"/>
                                <w:sz w:val="36"/>
                                <w:szCs w:val="36"/>
                              </w:rPr>
                              <w:t>仙居县</w:t>
                            </w:r>
                            <w:r>
                              <w:rPr>
                                <w:rFonts w:hint="eastAsia" w:ascii="方正小标宋简体" w:hAnsi="方正小标宋简体" w:eastAsia="方正小标宋简体" w:cs="方正小标宋简体"/>
                                <w:color w:val="000000"/>
                                <w:sz w:val="36"/>
                                <w:szCs w:val="36"/>
                              </w:rPr>
                              <w:t>农贸市场更新提质四年行动计划</w:t>
                            </w:r>
                            <w:r>
                              <w:rPr>
                                <w:rFonts w:hint="eastAsia" w:ascii="宋体" w:hAnsi="宋体" w:eastAsia="宋体" w:cs="宋体"/>
                                <w:color w:val="000000"/>
                                <w:sz w:val="36"/>
                                <w:szCs w:val="36"/>
                              </w:rPr>
                              <w:t>（</w:t>
                            </w:r>
                            <w:r>
                              <w:rPr>
                                <w:rFonts w:hint="eastAsia" w:ascii="方正小标宋简体" w:hAnsi="方正小标宋简体" w:eastAsia="方正小标宋简体" w:cs="方正小标宋简体"/>
                                <w:color w:val="000000"/>
                                <w:sz w:val="36"/>
                                <w:szCs w:val="36"/>
                              </w:rPr>
                              <w:t>2023-202</w:t>
                            </w:r>
                            <w:r>
                              <w:rPr>
                                <w:rFonts w:ascii="方正小标宋简体" w:hAnsi="方正小标宋简体" w:eastAsia="方正小标宋简体" w:cs="方正小标宋简体"/>
                                <w:color w:val="000000"/>
                                <w:sz w:val="36"/>
                                <w:szCs w:val="36"/>
                              </w:rPr>
                              <w:t>6</w:t>
                            </w:r>
                            <w:r>
                              <w:rPr>
                                <w:rFonts w:hint="eastAsia" w:ascii="宋体" w:hAnsi="宋体" w:eastAsia="宋体" w:cs="宋体"/>
                                <w:color w:val="000000"/>
                                <w:sz w:val="36"/>
                                <w:szCs w:val="36"/>
                              </w:rPr>
                              <w:t>）</w:t>
                            </w:r>
                            <w:r>
                              <w:rPr>
                                <w:rFonts w:ascii="方正小标宋简体" w:hAnsi="方正小标宋简体" w:eastAsia="方正小标宋简体" w:cs="方正小标宋简体"/>
                                <w:color w:val="000000"/>
                                <w:sz w:val="36"/>
                                <w:szCs w:val="36"/>
                              </w:rPr>
                              <w:t>任务总表</w:t>
                            </w:r>
                          </w:p>
                          <w:p/>
                          <w:p/>
                        </w:txbxContent>
                      </wps:txbx>
                      <wps:bodyPr vert="horz" wrap="square" lIns="91440" tIns="45720" rIns="91440" bIns="45720" anchor="t" anchorCtr="0" upright="1">
                        <a:noAutofit/>
                      </wps:bodyPr>
                    </wps:wsp>
                  </a:graphicData>
                </a:graphic>
              </wp:anchor>
            </w:drawing>
          </mc:Choice>
          <mc:Fallback>
            <w:pict>
              <v:rect id="Text Box 1031" o:spid="_x0000_s1026" o:spt="1" style="position:absolute;left:0pt;margin-left:108.4pt;margin-top:-14.95pt;height:36.1pt;width:784.15pt;z-index:251659264;mso-width-relative:page;mso-height-relative:page;" fillcolor="#FFFFFF" filled="t" stroked="t" coordsize="21600,21600" o:gfxdata="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CG9s9oAAAALAQAA&#10;DwAAAAAAAAABACAAAAAiAAAAZHJzL2Rvd25yZXYueG1sUEsBAhQAFAAAAAgAh07iQDHUqyQXAgAA&#10;WwQAAA4AAAAAAAAAAQAgAAAAKQEAAGRycy9lMm9Eb2MueG1sUEsFBgAAAAAGAAYAWQEAALIFAAAA&#10;AA==&#10;">
                <v:fill on="t" focussize="0,0"/>
                <v:stroke color="#FFFFFF" joinstyle="miter"/>
                <v:imagedata o:title=""/>
                <o:lock v:ext="edit" aspectratio="f"/>
                <v:textbox>
                  <w:txbxContent>
                    <w:p>
                      <w:r>
                        <w:rPr>
                          <w:rFonts w:hint="eastAsia" w:ascii="方正小标宋简体" w:hAnsi="方正小标宋简体" w:eastAsia="方正小标宋简体" w:cs="方正小标宋简体"/>
                          <w:color w:val="000000"/>
                          <w:sz w:val="36"/>
                          <w:szCs w:val="36"/>
                        </w:rPr>
                        <w:t>附</w:t>
                      </w:r>
                      <w:r>
                        <w:rPr>
                          <w:rFonts w:hint="eastAsia" w:ascii="方正小标宋简体" w:hAnsi="方正小标宋简体" w:eastAsia="方正小标宋简体" w:cs="方正小标宋简体"/>
                          <w:color w:val="auto"/>
                          <w:sz w:val="36"/>
                          <w:szCs w:val="36"/>
                        </w:rPr>
                        <w:t>件：</w:t>
                      </w:r>
                      <w:r>
                        <w:rPr>
                          <w:rFonts w:ascii="方正小标宋简体" w:hAnsi="方正小标宋简体" w:eastAsia="方正小标宋简体" w:cs="方正小标宋简体"/>
                          <w:color w:val="auto"/>
                          <w:sz w:val="36"/>
                          <w:szCs w:val="36"/>
                        </w:rPr>
                        <w:t>仙居县</w:t>
                      </w:r>
                      <w:r>
                        <w:rPr>
                          <w:rFonts w:hint="eastAsia" w:ascii="方正小标宋简体" w:hAnsi="方正小标宋简体" w:eastAsia="方正小标宋简体" w:cs="方正小标宋简体"/>
                          <w:color w:val="000000"/>
                          <w:sz w:val="36"/>
                          <w:szCs w:val="36"/>
                        </w:rPr>
                        <w:t>农贸市场更新提质四年行动计划</w:t>
                      </w:r>
                      <w:r>
                        <w:rPr>
                          <w:rFonts w:hint="eastAsia" w:ascii="宋体" w:hAnsi="宋体" w:eastAsia="宋体" w:cs="宋体"/>
                          <w:color w:val="000000"/>
                          <w:sz w:val="36"/>
                          <w:szCs w:val="36"/>
                        </w:rPr>
                        <w:t>（</w:t>
                      </w:r>
                      <w:r>
                        <w:rPr>
                          <w:rFonts w:hint="eastAsia" w:ascii="方正小标宋简体" w:hAnsi="方正小标宋简体" w:eastAsia="方正小标宋简体" w:cs="方正小标宋简体"/>
                          <w:color w:val="000000"/>
                          <w:sz w:val="36"/>
                          <w:szCs w:val="36"/>
                        </w:rPr>
                        <w:t>2023-202</w:t>
                      </w:r>
                      <w:r>
                        <w:rPr>
                          <w:rFonts w:ascii="方正小标宋简体" w:hAnsi="方正小标宋简体" w:eastAsia="方正小标宋简体" w:cs="方正小标宋简体"/>
                          <w:color w:val="000000"/>
                          <w:sz w:val="36"/>
                          <w:szCs w:val="36"/>
                        </w:rPr>
                        <w:t>6</w:t>
                      </w:r>
                      <w:r>
                        <w:rPr>
                          <w:rFonts w:hint="eastAsia" w:ascii="宋体" w:hAnsi="宋体" w:eastAsia="宋体" w:cs="宋体"/>
                          <w:color w:val="000000"/>
                          <w:sz w:val="36"/>
                          <w:szCs w:val="36"/>
                        </w:rPr>
                        <w:t>）</w:t>
                      </w:r>
                      <w:r>
                        <w:rPr>
                          <w:rFonts w:ascii="方正小标宋简体" w:hAnsi="方正小标宋简体" w:eastAsia="方正小标宋简体" w:cs="方正小标宋简体"/>
                          <w:color w:val="000000"/>
                          <w:sz w:val="36"/>
                          <w:szCs w:val="36"/>
                        </w:rPr>
                        <w:t>任务总表</w:t>
                      </w:r>
                    </w:p>
                    <w:p/>
                    <w:p/>
                  </w:txbxContent>
                </v:textbox>
              </v:rect>
            </w:pict>
          </mc:Fallback>
        </mc:AlternateContent>
      </w:r>
    </w:p>
    <w:tbl>
      <w:tblPr>
        <w:tblStyle w:val="3"/>
        <w:tblpPr w:leftFromText="180" w:rightFromText="180" w:vertAnchor="text" w:horzAnchor="page" w:tblpX="1141" w:tblpY="168"/>
        <w:tblW w:w="15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09"/>
        <w:gridCol w:w="4669"/>
        <w:gridCol w:w="1416"/>
        <w:gridCol w:w="2606"/>
        <w:gridCol w:w="4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43" w:type="dxa"/>
            <w:vAlign w:val="center"/>
          </w:tcPr>
          <w:p>
            <w:pPr>
              <w:widowControl/>
              <w:spacing w:line="300" w:lineRule="exact"/>
              <w:jc w:val="center"/>
              <w:rPr>
                <w:rFonts w:hint="eastAsia" w:ascii="宋体" w:hAnsi="宋体" w:eastAsia="宋体" w:cs="宋体"/>
                <w:b/>
                <w:bCs/>
                <w:snapToGrid w:val="0"/>
                <w:color w:val="auto"/>
                <w:spacing w:val="-4"/>
                <w:sz w:val="30"/>
                <w:szCs w:val="30"/>
              </w:rPr>
            </w:pPr>
            <w:r>
              <w:rPr>
                <w:rFonts w:hint="eastAsia" w:ascii="宋体" w:hAnsi="宋体" w:eastAsia="宋体" w:cs="宋体"/>
                <w:b/>
                <w:bCs/>
                <w:snapToGrid w:val="0"/>
                <w:color w:val="auto"/>
                <w:spacing w:val="-4"/>
                <w:sz w:val="30"/>
                <w:szCs w:val="30"/>
              </w:rPr>
              <w:t>序号</w:t>
            </w:r>
          </w:p>
        </w:tc>
        <w:tc>
          <w:tcPr>
            <w:tcW w:w="909" w:type="dxa"/>
            <w:vAlign w:val="center"/>
          </w:tcPr>
          <w:p>
            <w:pPr>
              <w:widowControl/>
              <w:spacing w:line="300" w:lineRule="exact"/>
              <w:jc w:val="center"/>
              <w:rPr>
                <w:rFonts w:hint="eastAsia" w:ascii="宋体" w:hAnsi="宋体" w:eastAsia="宋体" w:cs="宋体"/>
                <w:b/>
                <w:bCs/>
                <w:snapToGrid w:val="0"/>
                <w:color w:val="auto"/>
                <w:spacing w:val="-4"/>
                <w:sz w:val="30"/>
                <w:szCs w:val="30"/>
              </w:rPr>
            </w:pPr>
            <w:r>
              <w:rPr>
                <w:rFonts w:hint="eastAsia" w:ascii="宋体" w:hAnsi="宋体" w:eastAsia="宋体" w:cs="宋体"/>
                <w:b/>
                <w:bCs/>
                <w:snapToGrid w:val="0"/>
                <w:color w:val="auto"/>
                <w:spacing w:val="-4"/>
                <w:sz w:val="30"/>
                <w:szCs w:val="30"/>
              </w:rPr>
              <w:t>主要任务</w:t>
            </w:r>
          </w:p>
        </w:tc>
        <w:tc>
          <w:tcPr>
            <w:tcW w:w="4669" w:type="dxa"/>
            <w:vAlign w:val="center"/>
          </w:tcPr>
          <w:p>
            <w:pPr>
              <w:widowControl/>
              <w:spacing w:line="300" w:lineRule="exact"/>
              <w:jc w:val="center"/>
              <w:rPr>
                <w:rFonts w:hint="eastAsia" w:ascii="宋体" w:hAnsi="宋体" w:eastAsia="宋体" w:cs="宋体"/>
                <w:b/>
                <w:bCs/>
                <w:snapToGrid w:val="0"/>
                <w:color w:val="auto"/>
                <w:spacing w:val="-4"/>
                <w:sz w:val="30"/>
                <w:szCs w:val="30"/>
              </w:rPr>
            </w:pPr>
            <w:r>
              <w:rPr>
                <w:rFonts w:hint="eastAsia" w:ascii="宋体" w:hAnsi="宋体" w:eastAsia="宋体" w:cs="宋体"/>
                <w:b/>
                <w:bCs/>
                <w:snapToGrid w:val="0"/>
                <w:color w:val="auto"/>
                <w:spacing w:val="-4"/>
                <w:sz w:val="30"/>
                <w:szCs w:val="30"/>
              </w:rPr>
              <w:t>工作内容</w:t>
            </w:r>
          </w:p>
        </w:tc>
        <w:tc>
          <w:tcPr>
            <w:tcW w:w="1416" w:type="dxa"/>
            <w:vAlign w:val="center"/>
          </w:tcPr>
          <w:p>
            <w:pPr>
              <w:widowControl/>
              <w:spacing w:line="300" w:lineRule="exact"/>
              <w:jc w:val="center"/>
              <w:rPr>
                <w:rFonts w:hint="eastAsia" w:ascii="宋体" w:hAnsi="宋体" w:eastAsia="宋体" w:cs="宋体"/>
                <w:b/>
                <w:bCs/>
                <w:snapToGrid w:val="0"/>
                <w:color w:val="auto"/>
                <w:spacing w:val="-4"/>
                <w:sz w:val="30"/>
                <w:szCs w:val="30"/>
              </w:rPr>
            </w:pPr>
            <w:r>
              <w:rPr>
                <w:rFonts w:hint="eastAsia" w:ascii="宋体" w:hAnsi="宋体" w:eastAsia="宋体" w:cs="宋体"/>
                <w:b/>
                <w:bCs/>
                <w:snapToGrid w:val="0"/>
                <w:color w:val="auto"/>
                <w:spacing w:val="-4"/>
                <w:sz w:val="30"/>
                <w:szCs w:val="30"/>
              </w:rPr>
              <w:t>时间节点</w:t>
            </w:r>
          </w:p>
        </w:tc>
        <w:tc>
          <w:tcPr>
            <w:tcW w:w="2606" w:type="dxa"/>
            <w:shd w:val="clear" w:color="auto" w:fill="auto"/>
            <w:vAlign w:val="center"/>
          </w:tcPr>
          <w:p>
            <w:pPr>
              <w:widowControl/>
              <w:spacing w:line="300" w:lineRule="exact"/>
              <w:jc w:val="both"/>
              <w:rPr>
                <w:rFonts w:ascii="宋体" w:hAnsi="宋体" w:eastAsia="宋体" w:cs="宋体"/>
                <w:b/>
                <w:bCs/>
                <w:snapToGrid w:val="0"/>
                <w:color w:val="auto"/>
                <w:spacing w:val="-4"/>
                <w:sz w:val="30"/>
                <w:szCs w:val="30"/>
              </w:rPr>
            </w:pPr>
          </w:p>
          <w:p>
            <w:pPr>
              <w:widowControl/>
              <w:spacing w:line="300" w:lineRule="exact"/>
              <w:jc w:val="center"/>
              <w:rPr>
                <w:rFonts w:hint="eastAsia" w:ascii="宋体" w:hAnsi="宋体" w:eastAsia="宋体" w:cs="宋体"/>
                <w:b/>
                <w:bCs/>
                <w:snapToGrid w:val="0"/>
                <w:color w:val="auto"/>
                <w:spacing w:val="-4"/>
                <w:sz w:val="30"/>
                <w:szCs w:val="30"/>
              </w:rPr>
            </w:pPr>
            <w:r>
              <w:rPr>
                <w:rFonts w:hint="eastAsia" w:ascii="宋体" w:hAnsi="宋体" w:eastAsia="宋体" w:cs="宋体"/>
                <w:b/>
                <w:bCs/>
                <w:snapToGrid w:val="0"/>
                <w:color w:val="auto"/>
                <w:spacing w:val="-4"/>
                <w:sz w:val="30"/>
                <w:szCs w:val="30"/>
              </w:rPr>
              <w:t>任务数</w:t>
            </w:r>
          </w:p>
        </w:tc>
        <w:tc>
          <w:tcPr>
            <w:tcW w:w="4851" w:type="dxa"/>
            <w:shd w:val="clear" w:color="auto" w:fill="auto"/>
          </w:tcPr>
          <w:p>
            <w:pPr>
              <w:widowControl/>
              <w:spacing w:line="300" w:lineRule="exact"/>
              <w:jc w:val="center"/>
              <w:rPr>
                <w:rFonts w:hint="eastAsia" w:ascii="宋体" w:hAnsi="宋体" w:eastAsia="宋体" w:cs="宋体"/>
                <w:snapToGrid w:val="0"/>
                <w:color w:val="auto"/>
                <w:spacing w:val="-4"/>
                <w:sz w:val="30"/>
                <w:szCs w:val="30"/>
              </w:rPr>
            </w:pPr>
          </w:p>
          <w:p>
            <w:pPr>
              <w:widowControl/>
              <w:spacing w:line="300" w:lineRule="exact"/>
              <w:jc w:val="center"/>
              <w:rPr>
                <w:rFonts w:ascii="宋体" w:hAnsi="宋体" w:eastAsia="宋体" w:cs="宋体"/>
                <w:b/>
                <w:bCs/>
                <w:snapToGrid w:val="0"/>
                <w:color w:val="auto"/>
                <w:spacing w:val="-4"/>
                <w:sz w:val="30"/>
                <w:szCs w:val="30"/>
              </w:rPr>
            </w:pPr>
          </w:p>
          <w:p>
            <w:pPr>
              <w:widowControl/>
              <w:spacing w:line="300" w:lineRule="exact"/>
              <w:jc w:val="center"/>
              <w:rPr>
                <w:rFonts w:hint="eastAsia" w:ascii="宋体" w:hAnsi="宋体" w:eastAsia="宋体" w:cs="宋体"/>
                <w:b/>
                <w:bCs/>
                <w:snapToGrid w:val="0"/>
                <w:color w:val="auto"/>
                <w:spacing w:val="-4"/>
                <w:sz w:val="30"/>
                <w:szCs w:val="30"/>
              </w:rPr>
            </w:pPr>
            <w:r>
              <w:rPr>
                <w:rFonts w:hint="eastAsia" w:ascii="宋体" w:hAnsi="宋体" w:eastAsia="宋体" w:cs="宋体"/>
                <w:b/>
                <w:bCs/>
                <w:snapToGrid w:val="0"/>
                <w:color w:val="auto"/>
                <w:spacing w:val="-4"/>
                <w:sz w:val="30"/>
                <w:szCs w:val="30"/>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3" w:type="dxa"/>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1</w:t>
            </w:r>
          </w:p>
        </w:tc>
        <w:tc>
          <w:tcPr>
            <w:tcW w:w="909" w:type="dxa"/>
            <w:vMerge w:val="restart"/>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p>
          <w:p>
            <w:pPr>
              <w:widowControl/>
              <w:spacing w:line="300" w:lineRule="exact"/>
              <w:jc w:val="center"/>
              <w:rPr>
                <w:rFonts w:hint="eastAsia" w:ascii="宋体" w:hAnsi="宋体" w:eastAsia="宋体" w:cs="宋体"/>
                <w:snapToGrid w:val="0"/>
                <w:color w:val="auto"/>
                <w:spacing w:val="-4"/>
                <w:sz w:val="28"/>
                <w:szCs w:val="28"/>
              </w:rPr>
            </w:pPr>
          </w:p>
          <w:p>
            <w:pPr>
              <w:widowControl/>
              <w:spacing w:line="300" w:lineRule="exact"/>
              <w:jc w:val="center"/>
              <w:rPr>
                <w:rFonts w:hint="eastAsia" w:ascii="宋体" w:hAnsi="宋体" w:eastAsia="宋体" w:cs="宋体"/>
                <w:snapToGrid w:val="0"/>
                <w:color w:val="auto"/>
                <w:spacing w:val="-4"/>
                <w:sz w:val="28"/>
                <w:szCs w:val="28"/>
              </w:rPr>
            </w:pPr>
          </w:p>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推进农贸市场更新提质</w:t>
            </w:r>
          </w:p>
          <w:p>
            <w:pPr>
              <w:widowControl/>
              <w:spacing w:line="300" w:lineRule="exact"/>
              <w:jc w:val="center"/>
              <w:rPr>
                <w:rFonts w:hint="eastAsia" w:ascii="宋体" w:hAnsi="宋体" w:eastAsia="宋体" w:cs="宋体"/>
                <w:snapToGrid w:val="0"/>
                <w:color w:val="auto"/>
                <w:spacing w:val="-4"/>
                <w:sz w:val="28"/>
                <w:szCs w:val="28"/>
              </w:rPr>
            </w:pPr>
          </w:p>
          <w:p>
            <w:pPr>
              <w:widowControl/>
              <w:spacing w:line="300" w:lineRule="exact"/>
              <w:jc w:val="center"/>
              <w:rPr>
                <w:rFonts w:hint="eastAsia" w:ascii="宋体" w:hAnsi="宋体" w:eastAsia="宋体" w:cs="宋体"/>
                <w:snapToGrid w:val="0"/>
                <w:color w:val="auto"/>
                <w:spacing w:val="-4"/>
                <w:sz w:val="28"/>
                <w:szCs w:val="28"/>
              </w:rPr>
            </w:pPr>
          </w:p>
          <w:p>
            <w:pPr>
              <w:widowControl/>
              <w:spacing w:line="300" w:lineRule="exact"/>
              <w:jc w:val="center"/>
              <w:rPr>
                <w:rFonts w:hint="eastAsia" w:ascii="宋体" w:hAnsi="宋体" w:eastAsia="宋体" w:cs="宋体"/>
                <w:snapToGrid w:val="0"/>
                <w:color w:val="auto"/>
                <w:spacing w:val="-4"/>
                <w:sz w:val="28"/>
                <w:szCs w:val="28"/>
              </w:rPr>
            </w:pPr>
          </w:p>
          <w:p>
            <w:pPr>
              <w:widowControl/>
              <w:spacing w:line="300" w:lineRule="exact"/>
              <w:jc w:val="center"/>
              <w:rPr>
                <w:rFonts w:hint="eastAsia" w:ascii="宋体" w:hAnsi="宋体" w:eastAsia="宋体" w:cs="宋体"/>
                <w:snapToGrid w:val="0"/>
                <w:color w:val="auto"/>
                <w:spacing w:val="-4"/>
                <w:sz w:val="28"/>
                <w:szCs w:val="28"/>
              </w:rPr>
            </w:pPr>
          </w:p>
          <w:p>
            <w:pPr>
              <w:widowControl/>
              <w:spacing w:line="300" w:lineRule="exact"/>
              <w:jc w:val="center"/>
              <w:rPr>
                <w:rFonts w:hint="eastAsia" w:ascii="宋体" w:hAnsi="宋体" w:eastAsia="宋体" w:cs="宋体"/>
                <w:snapToGrid w:val="0"/>
                <w:color w:val="auto"/>
                <w:spacing w:val="-4"/>
                <w:sz w:val="28"/>
                <w:szCs w:val="28"/>
              </w:rPr>
            </w:pPr>
          </w:p>
          <w:p>
            <w:pPr>
              <w:widowControl/>
              <w:spacing w:line="300" w:lineRule="exact"/>
              <w:jc w:val="center"/>
              <w:rPr>
                <w:rFonts w:hint="eastAsia" w:ascii="宋体" w:hAnsi="宋体" w:eastAsia="宋体" w:cs="宋体"/>
                <w:snapToGrid w:val="0"/>
                <w:color w:val="auto"/>
                <w:spacing w:val="-4"/>
                <w:sz w:val="28"/>
                <w:szCs w:val="28"/>
              </w:rPr>
            </w:pPr>
          </w:p>
          <w:p>
            <w:pPr>
              <w:widowControl/>
              <w:spacing w:line="300" w:lineRule="exact"/>
              <w:jc w:val="center"/>
              <w:rPr>
                <w:rFonts w:hint="eastAsia" w:ascii="宋体" w:hAnsi="宋体" w:eastAsia="宋体" w:cs="宋体"/>
                <w:snapToGrid w:val="0"/>
                <w:color w:val="auto"/>
                <w:spacing w:val="-4"/>
                <w:sz w:val="28"/>
                <w:szCs w:val="28"/>
              </w:rPr>
            </w:pPr>
          </w:p>
          <w:p>
            <w:pPr>
              <w:widowControl/>
              <w:spacing w:line="300" w:lineRule="exact"/>
              <w:jc w:val="both"/>
              <w:rPr>
                <w:rFonts w:hint="eastAsia" w:ascii="宋体" w:hAnsi="宋体" w:eastAsia="宋体" w:cs="宋体"/>
                <w:snapToGrid w:val="0"/>
                <w:color w:val="auto"/>
                <w:spacing w:val="-4"/>
                <w:sz w:val="28"/>
                <w:szCs w:val="28"/>
              </w:rPr>
            </w:pPr>
          </w:p>
          <w:p>
            <w:pPr>
              <w:widowControl/>
              <w:spacing w:line="300" w:lineRule="exact"/>
              <w:jc w:val="center"/>
              <w:rPr>
                <w:rFonts w:hint="eastAsia" w:ascii="宋体" w:hAnsi="宋体" w:eastAsia="宋体" w:cs="宋体"/>
                <w:snapToGrid w:val="0"/>
                <w:color w:val="auto"/>
                <w:spacing w:val="-4"/>
                <w:sz w:val="28"/>
                <w:szCs w:val="28"/>
              </w:rPr>
            </w:pPr>
          </w:p>
          <w:p>
            <w:pPr>
              <w:widowControl/>
              <w:spacing w:line="300" w:lineRule="exact"/>
              <w:jc w:val="center"/>
              <w:rPr>
                <w:rFonts w:hint="eastAsia" w:ascii="宋体" w:hAnsi="宋体" w:eastAsia="宋体" w:cs="宋体"/>
                <w:snapToGrid w:val="0"/>
                <w:color w:val="auto"/>
                <w:spacing w:val="-4"/>
                <w:sz w:val="28"/>
                <w:szCs w:val="28"/>
              </w:rPr>
            </w:pPr>
          </w:p>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推进农贸市场更新提质</w:t>
            </w:r>
          </w:p>
          <w:p>
            <w:pPr>
              <w:widowControl/>
              <w:spacing w:line="300" w:lineRule="exact"/>
              <w:jc w:val="center"/>
              <w:rPr>
                <w:rFonts w:hint="eastAsia" w:ascii="宋体" w:hAnsi="宋体" w:eastAsia="宋体" w:cs="宋体"/>
                <w:snapToGrid w:val="0"/>
                <w:color w:val="auto"/>
                <w:spacing w:val="-4"/>
                <w:sz w:val="28"/>
                <w:szCs w:val="28"/>
              </w:rPr>
            </w:pPr>
          </w:p>
        </w:tc>
        <w:tc>
          <w:tcPr>
            <w:tcW w:w="4669" w:type="dxa"/>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创建四星级农贸市场家数</w:t>
            </w:r>
          </w:p>
        </w:tc>
        <w:tc>
          <w:tcPr>
            <w:tcW w:w="1416" w:type="dxa"/>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2026</w:t>
            </w:r>
          </w:p>
        </w:tc>
        <w:tc>
          <w:tcPr>
            <w:tcW w:w="2606" w:type="dxa"/>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w:t>
            </w:r>
          </w:p>
        </w:tc>
        <w:tc>
          <w:tcPr>
            <w:tcW w:w="4851" w:type="dxa"/>
            <w:vMerge w:val="restart"/>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eastAsia="宋体" w:cs="宋体"/>
                <w:color w:val="auto"/>
                <w:sz w:val="28"/>
                <w:szCs w:val="28"/>
              </w:rPr>
              <w:t>各乡镇人民政府、街道办事处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3" w:type="dxa"/>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w:t>
            </w:r>
          </w:p>
        </w:tc>
        <w:tc>
          <w:tcPr>
            <w:tcW w:w="909" w:type="dxa"/>
            <w:vMerge w:val="continue"/>
            <w:tcBorders>
              <w:left w:val="single" w:color="auto" w:sz="4" w:space="0"/>
              <w:right w:val="single" w:color="auto" w:sz="4" w:space="0"/>
            </w:tcBorders>
            <w:vAlign w:val="center"/>
          </w:tcPr>
          <w:p>
            <w:pPr>
              <w:rPr>
                <w:color w:val="auto"/>
              </w:rPr>
            </w:pPr>
          </w:p>
        </w:tc>
        <w:tc>
          <w:tcPr>
            <w:tcW w:w="4669" w:type="dxa"/>
            <w:tcBorders>
              <w:left w:val="single" w:color="auto" w:sz="4" w:space="0"/>
              <w:right w:val="single" w:color="auto" w:sz="4" w:space="0"/>
              <w:tl2br w:val="nil"/>
              <w:tr2bl w:val="nil"/>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三星级市场、放心农贸市场覆盖率</w:t>
            </w:r>
          </w:p>
        </w:tc>
        <w:tc>
          <w:tcPr>
            <w:tcW w:w="1416"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2026</w:t>
            </w:r>
          </w:p>
        </w:tc>
        <w:tc>
          <w:tcPr>
            <w:tcW w:w="2606"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85%</w:t>
            </w:r>
          </w:p>
        </w:tc>
        <w:tc>
          <w:tcPr>
            <w:tcW w:w="4851" w:type="dxa"/>
            <w:vMerge w:val="continue"/>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3" w:type="dxa"/>
            <w:vAlign w:val="center"/>
          </w:tcPr>
          <w:p>
            <w:pPr>
              <w:widowControl/>
              <w:spacing w:line="300" w:lineRule="exact"/>
              <w:jc w:val="center"/>
              <w:rPr>
                <w:rFonts w:hint="eastAsia" w:ascii="宋体" w:hAnsi="宋体" w:eastAsia="宋体" w:cs="宋体"/>
                <w:snapToGrid w:val="0"/>
                <w:color w:val="auto"/>
                <w:spacing w:val="-4"/>
                <w:sz w:val="28"/>
                <w:szCs w:val="28"/>
                <w:lang w:eastAsia="zh-CN"/>
              </w:rPr>
            </w:pPr>
            <w:r>
              <w:rPr>
                <w:rFonts w:hint="eastAsia" w:ascii="宋体" w:hAnsi="宋体" w:eastAsia="宋体" w:cs="宋体"/>
                <w:snapToGrid w:val="0"/>
                <w:color w:val="auto"/>
                <w:spacing w:val="-4"/>
                <w:sz w:val="28"/>
                <w:szCs w:val="28"/>
                <w:lang w:val="en-US" w:eastAsia="zh-CN"/>
              </w:rPr>
              <w:t>3</w:t>
            </w:r>
          </w:p>
        </w:tc>
        <w:tc>
          <w:tcPr>
            <w:tcW w:w="909" w:type="dxa"/>
            <w:vMerge w:val="continue"/>
            <w:tcBorders>
              <w:left w:val="single" w:color="auto" w:sz="4" w:space="0"/>
              <w:right w:val="single" w:color="auto" w:sz="4" w:space="0"/>
            </w:tcBorders>
            <w:vAlign w:val="center"/>
          </w:tcPr>
          <w:p>
            <w:pPr>
              <w:rPr>
                <w:color w:val="auto"/>
              </w:rPr>
            </w:pPr>
          </w:p>
        </w:tc>
        <w:tc>
          <w:tcPr>
            <w:tcW w:w="4669" w:type="dxa"/>
            <w:tcBorders>
              <w:left w:val="single" w:color="auto" w:sz="4" w:space="0"/>
              <w:right w:val="single" w:color="auto" w:sz="4" w:space="0"/>
              <w:tl2br w:val="nil"/>
              <w:tr2bl w:val="nil"/>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农贸市场正规合法化</w:t>
            </w:r>
          </w:p>
        </w:tc>
        <w:tc>
          <w:tcPr>
            <w:tcW w:w="1416" w:type="dxa"/>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2026</w:t>
            </w:r>
          </w:p>
        </w:tc>
        <w:tc>
          <w:tcPr>
            <w:tcW w:w="2606" w:type="dxa"/>
            <w:tcBorders>
              <w:left w:val="single" w:color="auto" w:sz="4" w:space="0"/>
              <w:right w:val="single" w:color="auto" w:sz="4" w:space="0"/>
            </w:tcBorders>
            <w:vAlign w:val="center"/>
          </w:tcPr>
          <w:p>
            <w:pPr>
              <w:widowControl/>
              <w:spacing w:line="300" w:lineRule="exact"/>
              <w:jc w:val="center"/>
              <w:textAlignment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100%</w:t>
            </w:r>
          </w:p>
        </w:tc>
        <w:tc>
          <w:tcPr>
            <w:tcW w:w="4851" w:type="dxa"/>
            <w:vMerge w:val="continue"/>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3" w:type="dxa"/>
            <w:vAlign w:val="center"/>
          </w:tcPr>
          <w:p>
            <w:pPr>
              <w:spacing w:line="300" w:lineRule="exact"/>
              <w:jc w:val="center"/>
              <w:rPr>
                <w:rFonts w:hint="eastAsia" w:ascii="宋体" w:hAnsi="宋体" w:eastAsia="宋体" w:cs="宋体"/>
                <w:snapToGrid w:val="0"/>
                <w:color w:val="auto"/>
                <w:spacing w:val="-4"/>
                <w:sz w:val="28"/>
                <w:szCs w:val="28"/>
                <w:lang w:eastAsia="zh-CN"/>
              </w:rPr>
            </w:pPr>
            <w:r>
              <w:rPr>
                <w:rFonts w:hint="eastAsia" w:ascii="宋体" w:hAnsi="宋体" w:eastAsia="宋体" w:cs="宋体"/>
                <w:snapToGrid w:val="0"/>
                <w:color w:val="auto"/>
                <w:spacing w:val="-4"/>
                <w:sz w:val="28"/>
                <w:szCs w:val="28"/>
                <w:lang w:val="en-US" w:eastAsia="zh-CN"/>
              </w:rPr>
              <w:t>4</w:t>
            </w:r>
          </w:p>
        </w:tc>
        <w:tc>
          <w:tcPr>
            <w:tcW w:w="909" w:type="dxa"/>
            <w:vMerge w:val="continue"/>
            <w:tcBorders>
              <w:left w:val="single" w:color="auto" w:sz="4" w:space="0"/>
              <w:right w:val="single" w:color="auto" w:sz="4" w:space="0"/>
            </w:tcBorders>
            <w:vAlign w:val="center"/>
          </w:tcPr>
          <w:p>
            <w:pPr>
              <w:rPr>
                <w:color w:val="auto"/>
              </w:rPr>
            </w:pPr>
          </w:p>
        </w:tc>
        <w:tc>
          <w:tcPr>
            <w:tcW w:w="4669" w:type="dxa"/>
            <w:tcBorders>
              <w:left w:val="single" w:color="auto" w:sz="4" w:space="0"/>
              <w:right w:val="single" w:color="auto" w:sz="4" w:space="0"/>
              <w:tl2br w:val="nil"/>
              <w:tr2bl w:val="nil"/>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城区市场周边环境整治</w:t>
            </w:r>
          </w:p>
        </w:tc>
        <w:tc>
          <w:tcPr>
            <w:tcW w:w="1416"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2026</w:t>
            </w:r>
          </w:p>
        </w:tc>
        <w:tc>
          <w:tcPr>
            <w:tcW w:w="2606" w:type="dxa"/>
            <w:tcBorders>
              <w:left w:val="single" w:color="auto" w:sz="4" w:space="0"/>
              <w:right w:val="single" w:color="auto" w:sz="4" w:space="0"/>
            </w:tcBorders>
            <w:vAlign w:val="center"/>
          </w:tcPr>
          <w:p>
            <w:pPr>
              <w:spacing w:line="300" w:lineRule="exact"/>
              <w:jc w:val="center"/>
              <w:textAlignment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100%</w:t>
            </w:r>
          </w:p>
        </w:tc>
        <w:tc>
          <w:tcPr>
            <w:tcW w:w="4851" w:type="dxa"/>
            <w:vMerge w:val="continue"/>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3" w:type="dxa"/>
            <w:vAlign w:val="center"/>
          </w:tcPr>
          <w:p>
            <w:pPr>
              <w:spacing w:line="300" w:lineRule="exact"/>
              <w:jc w:val="center"/>
              <w:rPr>
                <w:rFonts w:hint="eastAsia" w:ascii="宋体" w:hAnsi="宋体" w:eastAsia="宋体" w:cs="宋体"/>
                <w:snapToGrid w:val="0"/>
                <w:color w:val="auto"/>
                <w:spacing w:val="-4"/>
                <w:sz w:val="28"/>
                <w:szCs w:val="28"/>
                <w:lang w:eastAsia="zh-CN"/>
              </w:rPr>
            </w:pPr>
            <w:r>
              <w:rPr>
                <w:rFonts w:hint="eastAsia" w:ascii="宋体" w:hAnsi="宋体" w:eastAsia="宋体" w:cs="宋体"/>
                <w:snapToGrid w:val="0"/>
                <w:color w:val="auto"/>
                <w:spacing w:val="-4"/>
                <w:sz w:val="28"/>
                <w:szCs w:val="28"/>
                <w:lang w:val="en-US" w:eastAsia="zh-CN"/>
              </w:rPr>
              <w:t>5</w:t>
            </w:r>
          </w:p>
        </w:tc>
        <w:tc>
          <w:tcPr>
            <w:tcW w:w="909" w:type="dxa"/>
            <w:vMerge w:val="continue"/>
            <w:tcBorders>
              <w:left w:val="single" w:color="auto" w:sz="4" w:space="0"/>
              <w:right w:val="single" w:color="auto" w:sz="4" w:space="0"/>
            </w:tcBorders>
            <w:vAlign w:val="center"/>
          </w:tcPr>
          <w:p>
            <w:pPr>
              <w:rPr>
                <w:color w:val="auto"/>
              </w:rPr>
            </w:pPr>
          </w:p>
        </w:tc>
        <w:tc>
          <w:tcPr>
            <w:tcW w:w="4669" w:type="dxa"/>
            <w:tcBorders>
              <w:left w:val="single" w:color="auto" w:sz="4" w:space="0"/>
              <w:right w:val="single" w:color="auto" w:sz="4" w:space="0"/>
              <w:tl2br w:val="nil"/>
              <w:tr2bl w:val="nil"/>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信用管理有效运行率</w:t>
            </w:r>
          </w:p>
        </w:tc>
        <w:tc>
          <w:tcPr>
            <w:tcW w:w="1416"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2026</w:t>
            </w:r>
          </w:p>
        </w:tc>
        <w:tc>
          <w:tcPr>
            <w:tcW w:w="2606" w:type="dxa"/>
            <w:tcBorders>
              <w:left w:val="single" w:color="auto" w:sz="4" w:space="0"/>
              <w:right w:val="single" w:color="auto" w:sz="4" w:space="0"/>
            </w:tcBorders>
            <w:vAlign w:val="center"/>
          </w:tcPr>
          <w:p>
            <w:pPr>
              <w:spacing w:line="300" w:lineRule="exact"/>
              <w:jc w:val="center"/>
              <w:textAlignment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80%</w:t>
            </w:r>
          </w:p>
        </w:tc>
        <w:tc>
          <w:tcPr>
            <w:tcW w:w="4851" w:type="dxa"/>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3" w:type="dxa"/>
            <w:vAlign w:val="center"/>
          </w:tcPr>
          <w:p>
            <w:pPr>
              <w:spacing w:line="300" w:lineRule="exact"/>
              <w:jc w:val="center"/>
              <w:rPr>
                <w:rFonts w:hint="eastAsia" w:ascii="宋体" w:hAnsi="宋体" w:eastAsia="宋体" w:cs="宋体"/>
                <w:snapToGrid w:val="0"/>
                <w:color w:val="auto"/>
                <w:spacing w:val="-4"/>
                <w:sz w:val="28"/>
                <w:szCs w:val="28"/>
                <w:lang w:eastAsia="zh-CN"/>
              </w:rPr>
            </w:pPr>
            <w:r>
              <w:rPr>
                <w:rFonts w:hint="eastAsia" w:ascii="宋体" w:hAnsi="宋体" w:eastAsia="宋体" w:cs="宋体"/>
                <w:snapToGrid w:val="0"/>
                <w:color w:val="auto"/>
                <w:spacing w:val="-4"/>
                <w:sz w:val="28"/>
                <w:szCs w:val="28"/>
                <w:lang w:val="en-US" w:eastAsia="zh-CN"/>
              </w:rPr>
              <w:t>6</w:t>
            </w:r>
          </w:p>
        </w:tc>
        <w:tc>
          <w:tcPr>
            <w:tcW w:w="909" w:type="dxa"/>
            <w:vMerge w:val="continue"/>
            <w:tcBorders>
              <w:left w:val="single" w:color="auto" w:sz="4" w:space="0"/>
              <w:right w:val="single" w:color="auto" w:sz="4" w:space="0"/>
            </w:tcBorders>
            <w:vAlign w:val="center"/>
          </w:tcPr>
          <w:p>
            <w:pPr>
              <w:rPr>
                <w:color w:val="auto"/>
              </w:rPr>
            </w:pPr>
          </w:p>
        </w:tc>
        <w:tc>
          <w:tcPr>
            <w:tcW w:w="4669" w:type="dxa"/>
            <w:tcBorders>
              <w:left w:val="single" w:color="auto" w:sz="4" w:space="0"/>
              <w:right w:val="single" w:color="auto" w:sz="4" w:space="0"/>
              <w:tl2br w:val="nil"/>
              <w:tr2bl w:val="nil"/>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“双险”投保率</w:t>
            </w:r>
          </w:p>
        </w:tc>
        <w:tc>
          <w:tcPr>
            <w:tcW w:w="1416"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2026</w:t>
            </w:r>
          </w:p>
        </w:tc>
        <w:tc>
          <w:tcPr>
            <w:tcW w:w="2606" w:type="dxa"/>
            <w:tcBorders>
              <w:left w:val="single" w:color="auto" w:sz="4" w:space="0"/>
              <w:right w:val="single" w:color="auto" w:sz="4" w:space="0"/>
            </w:tcBorders>
            <w:vAlign w:val="center"/>
          </w:tcPr>
          <w:p>
            <w:pPr>
              <w:spacing w:line="300" w:lineRule="exact"/>
              <w:jc w:val="center"/>
              <w:textAlignment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100%</w:t>
            </w:r>
          </w:p>
        </w:tc>
        <w:tc>
          <w:tcPr>
            <w:tcW w:w="4851"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3" w:type="dxa"/>
            <w:vAlign w:val="center"/>
          </w:tcPr>
          <w:p>
            <w:pPr>
              <w:spacing w:line="300" w:lineRule="exact"/>
              <w:jc w:val="center"/>
              <w:rPr>
                <w:rFonts w:hint="eastAsia" w:ascii="宋体" w:hAnsi="宋体" w:eastAsia="宋体" w:cs="宋体"/>
                <w:snapToGrid w:val="0"/>
                <w:color w:val="auto"/>
                <w:spacing w:val="-4"/>
                <w:sz w:val="28"/>
                <w:szCs w:val="28"/>
                <w:lang w:eastAsia="zh-CN"/>
              </w:rPr>
            </w:pPr>
            <w:r>
              <w:rPr>
                <w:rFonts w:hint="eastAsia" w:ascii="宋体" w:hAnsi="宋体" w:eastAsia="宋体" w:cs="宋体"/>
                <w:snapToGrid w:val="0"/>
                <w:color w:val="auto"/>
                <w:spacing w:val="-4"/>
                <w:sz w:val="28"/>
                <w:szCs w:val="28"/>
                <w:lang w:val="en-US" w:eastAsia="zh-CN"/>
              </w:rPr>
              <w:t>7</w:t>
            </w:r>
          </w:p>
        </w:tc>
        <w:tc>
          <w:tcPr>
            <w:vMerge w:val="continue"/>
            <w:tcBorders>
              <w:left w:val="single" w:color="auto" w:sz="4" w:space="0"/>
              <w:right w:val="single" w:color="auto" w:sz="4" w:space="0"/>
            </w:tcBorders>
            <w:vAlign w:val="center"/>
          </w:tcPr>
          <w:p>
            <w:pPr>
              <w:rPr>
                <w:color w:val="auto"/>
              </w:rPr>
            </w:pPr>
          </w:p>
        </w:tc>
        <w:tc>
          <w:tcPr>
            <w:tcW w:w="4669" w:type="dxa"/>
            <w:tcBorders>
              <w:left w:val="single" w:color="auto" w:sz="4" w:space="0"/>
              <w:right w:val="single" w:color="auto" w:sz="4" w:space="0"/>
              <w:tl2br w:val="nil"/>
              <w:tr2bl w:val="nil"/>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可降解塑料袋使用率</w:t>
            </w:r>
          </w:p>
        </w:tc>
        <w:tc>
          <w:tcPr>
            <w:tcW w:w="1416"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2025</w:t>
            </w:r>
          </w:p>
        </w:tc>
        <w:tc>
          <w:tcPr>
            <w:tcW w:w="2606" w:type="dxa"/>
            <w:tcBorders>
              <w:left w:val="single" w:color="auto" w:sz="4" w:space="0"/>
              <w:right w:val="single" w:color="auto" w:sz="4" w:space="0"/>
            </w:tcBorders>
            <w:vAlign w:val="center"/>
          </w:tcPr>
          <w:p>
            <w:pPr>
              <w:spacing w:line="300" w:lineRule="exact"/>
              <w:jc w:val="center"/>
              <w:textAlignment w:val="center"/>
              <w:rPr>
                <w:rFonts w:hint="eastAsia" w:ascii="宋体" w:hAnsi="宋体" w:eastAsia="宋体" w:cs="宋体"/>
                <w:snapToGrid w:val="0"/>
                <w:color w:val="auto"/>
                <w:spacing w:val="-4"/>
                <w:sz w:val="28"/>
                <w:szCs w:val="28"/>
              </w:rPr>
            </w:pPr>
            <w:r>
              <w:rPr>
                <w:rFonts w:hint="eastAsia" w:ascii="宋体" w:eastAsia="宋体" w:cs="宋体"/>
                <w:color w:val="auto"/>
                <w:sz w:val="28"/>
                <w:szCs w:val="28"/>
              </w:rPr>
              <w:t>在</w:t>
            </w:r>
            <w:r>
              <w:rPr>
                <w:rFonts w:hint="eastAsia" w:ascii="宋体" w:hAnsi="Times New Roman" w:eastAsia="宋体" w:cs="宋体"/>
                <w:color w:val="auto"/>
                <w:sz w:val="28"/>
                <w:szCs w:val="28"/>
              </w:rPr>
              <w:t xml:space="preserve">2023 </w:t>
            </w:r>
            <w:r>
              <w:rPr>
                <w:rFonts w:hint="eastAsia" w:ascii="宋体" w:eastAsia="宋体" w:cs="宋体"/>
                <w:color w:val="auto"/>
                <w:sz w:val="28"/>
                <w:szCs w:val="28"/>
              </w:rPr>
              <w:t>年实现全市县城以上建城区的农贸市场等场所禁止使用不可降解塑料袋的基础上， 2025年全域禁止使用不可降解塑料袋。</w:t>
            </w:r>
          </w:p>
        </w:tc>
        <w:tc>
          <w:tcPr>
            <w:tcW w:w="4851"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县市场监管局、县发改局、县生态环境局、县综合行政执法局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3" w:type="dxa"/>
            <w:vAlign w:val="center"/>
          </w:tcPr>
          <w:p>
            <w:pPr>
              <w:spacing w:line="300" w:lineRule="exact"/>
              <w:jc w:val="center"/>
              <w:rPr>
                <w:rFonts w:hint="eastAsia" w:ascii="宋体" w:hAnsi="宋体" w:eastAsia="宋体" w:cs="宋体"/>
                <w:snapToGrid w:val="0"/>
                <w:color w:val="auto"/>
                <w:spacing w:val="-4"/>
                <w:sz w:val="28"/>
                <w:szCs w:val="28"/>
                <w:lang w:eastAsia="zh-CN"/>
              </w:rPr>
            </w:pPr>
            <w:r>
              <w:rPr>
                <w:rFonts w:hint="eastAsia" w:ascii="宋体" w:hAnsi="宋体" w:eastAsia="宋体" w:cs="宋体"/>
                <w:snapToGrid w:val="0"/>
                <w:color w:val="auto"/>
                <w:spacing w:val="-4"/>
                <w:sz w:val="28"/>
                <w:szCs w:val="28"/>
                <w:lang w:val="en-US" w:eastAsia="zh-CN"/>
              </w:rPr>
              <w:t>8</w:t>
            </w:r>
          </w:p>
        </w:tc>
        <w:tc>
          <w:tcPr>
            <w:tcW w:w="909" w:type="dxa"/>
            <w:vMerge w:val="continue"/>
            <w:tcBorders>
              <w:left w:val="single" w:color="auto" w:sz="4" w:space="0"/>
              <w:right w:val="single" w:color="auto" w:sz="4" w:space="0"/>
            </w:tcBorders>
            <w:vAlign w:val="center"/>
          </w:tcPr>
          <w:p>
            <w:pPr>
              <w:rPr>
                <w:color w:val="auto"/>
              </w:rPr>
            </w:pPr>
          </w:p>
        </w:tc>
        <w:tc>
          <w:tcPr>
            <w:tcW w:w="4669" w:type="dxa"/>
            <w:tcBorders>
              <w:left w:val="single" w:color="auto" w:sz="4" w:space="0"/>
              <w:right w:val="single" w:color="auto" w:sz="4" w:space="0"/>
              <w:tl2br w:val="nil"/>
              <w:tr2bl w:val="nil"/>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农贸市场快检覆盖率</w:t>
            </w:r>
          </w:p>
        </w:tc>
        <w:tc>
          <w:tcPr>
            <w:tcW w:w="1416"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2026</w:t>
            </w:r>
          </w:p>
        </w:tc>
        <w:tc>
          <w:tcPr>
            <w:tcW w:w="2606" w:type="dxa"/>
            <w:tcBorders>
              <w:left w:val="single" w:color="auto" w:sz="4" w:space="0"/>
              <w:right w:val="single" w:color="auto" w:sz="4" w:space="0"/>
            </w:tcBorders>
            <w:vAlign w:val="center"/>
          </w:tcPr>
          <w:p>
            <w:pPr>
              <w:spacing w:line="300" w:lineRule="exact"/>
              <w:jc w:val="center"/>
              <w:textAlignment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100%</w:t>
            </w:r>
          </w:p>
        </w:tc>
        <w:tc>
          <w:tcPr>
            <w:tcW w:w="4851"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3" w:type="dxa"/>
            <w:vAlign w:val="center"/>
          </w:tcPr>
          <w:p>
            <w:pPr>
              <w:spacing w:line="300" w:lineRule="exact"/>
              <w:jc w:val="center"/>
              <w:rPr>
                <w:rFonts w:hint="eastAsia" w:ascii="宋体" w:hAnsi="宋体" w:eastAsia="宋体" w:cs="宋体"/>
                <w:snapToGrid w:val="0"/>
                <w:color w:val="auto"/>
                <w:spacing w:val="-4"/>
                <w:sz w:val="28"/>
                <w:szCs w:val="28"/>
                <w:lang w:eastAsia="zh-CN"/>
              </w:rPr>
            </w:pPr>
            <w:r>
              <w:rPr>
                <w:rFonts w:hint="eastAsia" w:ascii="宋体" w:hAnsi="宋体" w:eastAsia="宋体" w:cs="宋体"/>
                <w:snapToGrid w:val="0"/>
                <w:color w:val="auto"/>
                <w:spacing w:val="-4"/>
                <w:sz w:val="28"/>
                <w:szCs w:val="28"/>
                <w:lang w:val="en-US" w:eastAsia="zh-CN"/>
              </w:rPr>
              <w:t>9</w:t>
            </w:r>
          </w:p>
        </w:tc>
        <w:tc>
          <w:tcPr>
            <w:tcW w:w="909" w:type="dxa"/>
            <w:vMerge w:val="continue"/>
            <w:tcBorders>
              <w:left w:val="single" w:color="auto" w:sz="4" w:space="0"/>
              <w:right w:val="single" w:color="auto" w:sz="4" w:space="0"/>
            </w:tcBorders>
            <w:vAlign w:val="center"/>
          </w:tcPr>
          <w:p>
            <w:pPr>
              <w:rPr>
                <w:color w:val="auto"/>
              </w:rPr>
            </w:pPr>
          </w:p>
        </w:tc>
        <w:tc>
          <w:tcPr>
            <w:tcW w:w="4669" w:type="dxa"/>
            <w:tcBorders>
              <w:left w:val="single" w:color="auto" w:sz="4" w:space="0"/>
              <w:right w:val="single" w:color="auto" w:sz="4" w:space="0"/>
              <w:tl2br w:val="nil"/>
              <w:tr2bl w:val="nil"/>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浙江省商品市场综合管理平台使用率</w:t>
            </w:r>
          </w:p>
        </w:tc>
        <w:tc>
          <w:tcPr>
            <w:tcW w:w="1416"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2026</w:t>
            </w:r>
          </w:p>
        </w:tc>
        <w:tc>
          <w:tcPr>
            <w:tcW w:w="2606" w:type="dxa"/>
            <w:tcBorders>
              <w:left w:val="single" w:color="auto" w:sz="4" w:space="0"/>
              <w:right w:val="single" w:color="auto" w:sz="4" w:space="0"/>
            </w:tcBorders>
            <w:vAlign w:val="center"/>
          </w:tcPr>
          <w:p>
            <w:pPr>
              <w:spacing w:line="300" w:lineRule="exact"/>
              <w:jc w:val="center"/>
              <w:textAlignment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100%</w:t>
            </w:r>
          </w:p>
        </w:tc>
        <w:tc>
          <w:tcPr>
            <w:tcW w:w="4851"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trPr>
        <w:tc>
          <w:tcPr>
            <w:tcW w:w="843" w:type="dxa"/>
            <w:vAlign w:val="center"/>
          </w:tcPr>
          <w:p>
            <w:pPr>
              <w:widowControl/>
              <w:spacing w:line="300" w:lineRule="exact"/>
              <w:jc w:val="center"/>
              <w:rPr>
                <w:rFonts w:hint="eastAsia" w:ascii="宋体" w:hAnsi="宋体" w:eastAsia="宋体" w:cs="宋体"/>
                <w:snapToGrid w:val="0"/>
                <w:color w:val="auto"/>
                <w:spacing w:val="-4"/>
                <w:sz w:val="28"/>
                <w:szCs w:val="28"/>
                <w:lang w:eastAsia="zh-CN"/>
              </w:rPr>
            </w:pPr>
            <w:r>
              <w:rPr>
                <w:rFonts w:hint="eastAsia" w:ascii="宋体" w:hAnsi="宋体" w:eastAsia="宋体" w:cs="宋体"/>
                <w:snapToGrid w:val="0"/>
                <w:color w:val="auto"/>
                <w:spacing w:val="-4"/>
                <w:sz w:val="28"/>
                <w:szCs w:val="28"/>
              </w:rPr>
              <w:t>1</w:t>
            </w:r>
            <w:r>
              <w:rPr>
                <w:rFonts w:hint="eastAsia" w:ascii="宋体" w:hAnsi="宋体" w:eastAsia="宋体" w:cs="宋体"/>
                <w:snapToGrid w:val="0"/>
                <w:color w:val="auto"/>
                <w:spacing w:val="-4"/>
                <w:sz w:val="28"/>
                <w:szCs w:val="28"/>
                <w:lang w:val="en-US" w:eastAsia="zh-CN"/>
              </w:rPr>
              <w:t>0</w:t>
            </w:r>
          </w:p>
        </w:tc>
        <w:tc>
          <w:tcPr>
            <w:tcW w:w="909" w:type="dxa"/>
            <w:vMerge w:val="continue"/>
            <w:tcBorders>
              <w:left w:val="single" w:color="auto" w:sz="4" w:space="0"/>
              <w:right w:val="single" w:color="auto" w:sz="4" w:space="0"/>
            </w:tcBorders>
            <w:vAlign w:val="center"/>
          </w:tcPr>
          <w:p>
            <w:pPr>
              <w:rPr>
                <w:color w:val="auto"/>
              </w:rPr>
            </w:pPr>
          </w:p>
        </w:tc>
        <w:tc>
          <w:tcPr>
            <w:tcW w:w="4669" w:type="dxa"/>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打造“社区民生市场”</w:t>
            </w:r>
          </w:p>
        </w:tc>
        <w:tc>
          <w:tcPr>
            <w:tcW w:w="1416" w:type="dxa"/>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2026</w:t>
            </w:r>
          </w:p>
        </w:tc>
        <w:tc>
          <w:tcPr>
            <w:tcW w:w="2606" w:type="dxa"/>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1</w:t>
            </w:r>
          </w:p>
        </w:tc>
        <w:tc>
          <w:tcPr>
            <w:tcW w:w="4851" w:type="dxa"/>
            <w:tcBorders>
              <w:left w:val="single" w:color="auto" w:sz="4" w:space="0"/>
              <w:right w:val="single" w:color="auto" w:sz="4" w:space="0"/>
            </w:tcBorders>
            <w:vAlign w:val="center"/>
          </w:tcPr>
          <w:p>
            <w:pPr>
              <w:widowControl/>
              <w:spacing w:line="5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县农提办、县市场监管局、县商务局、县民政局、县文化广电旅游局、各乡镇人民政府、街道办事处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trPr>
        <w:tc>
          <w:tcPr>
            <w:tcW w:w="843" w:type="dxa"/>
            <w:vAlign w:val="center"/>
          </w:tcPr>
          <w:p>
            <w:pPr>
              <w:widowControl/>
              <w:spacing w:line="300" w:lineRule="exact"/>
              <w:jc w:val="center"/>
              <w:rPr>
                <w:rFonts w:hint="eastAsia" w:ascii="宋体" w:hAnsi="宋体" w:eastAsia="宋体" w:cs="宋体"/>
                <w:snapToGrid w:val="0"/>
                <w:color w:val="auto"/>
                <w:spacing w:val="-4"/>
                <w:sz w:val="28"/>
                <w:szCs w:val="28"/>
                <w:lang w:eastAsia="zh-CN"/>
              </w:rPr>
            </w:pPr>
            <w:r>
              <w:rPr>
                <w:rFonts w:hint="eastAsia" w:ascii="宋体" w:hAnsi="宋体" w:eastAsia="宋体" w:cs="宋体"/>
                <w:snapToGrid w:val="0"/>
                <w:color w:val="auto"/>
                <w:spacing w:val="-4"/>
                <w:sz w:val="28"/>
                <w:szCs w:val="28"/>
              </w:rPr>
              <w:t>1</w:t>
            </w:r>
            <w:r>
              <w:rPr>
                <w:rFonts w:hint="eastAsia" w:ascii="宋体" w:hAnsi="宋体" w:eastAsia="宋体" w:cs="宋体"/>
                <w:snapToGrid w:val="0"/>
                <w:color w:val="auto"/>
                <w:spacing w:val="-4"/>
                <w:sz w:val="28"/>
                <w:szCs w:val="28"/>
                <w:lang w:val="en-US" w:eastAsia="zh-CN"/>
              </w:rPr>
              <w:t>1</w:t>
            </w:r>
          </w:p>
        </w:tc>
        <w:tc>
          <w:tcPr>
            <w:tcW w:w="909" w:type="dxa"/>
            <w:vMerge w:val="continue"/>
            <w:tcBorders>
              <w:left w:val="single" w:color="auto" w:sz="4" w:space="0"/>
              <w:right w:val="single" w:color="auto" w:sz="4" w:space="0"/>
            </w:tcBorders>
            <w:vAlign w:val="center"/>
          </w:tcPr>
          <w:p>
            <w:pPr>
              <w:rPr>
                <w:color w:val="auto"/>
              </w:rPr>
            </w:pPr>
          </w:p>
        </w:tc>
        <w:tc>
          <w:tcPr>
            <w:tcW w:w="4669" w:type="dxa"/>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打造“数字未来市场”</w:t>
            </w:r>
          </w:p>
        </w:tc>
        <w:tc>
          <w:tcPr>
            <w:tcW w:w="1416" w:type="dxa"/>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2026</w:t>
            </w:r>
          </w:p>
        </w:tc>
        <w:tc>
          <w:tcPr>
            <w:tcW w:w="2606" w:type="dxa"/>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w:t>
            </w:r>
          </w:p>
        </w:tc>
        <w:tc>
          <w:tcPr>
            <w:tcW w:w="4851" w:type="dxa"/>
            <w:tcBorders>
              <w:left w:val="single" w:color="auto" w:sz="4" w:space="0"/>
              <w:right w:val="single" w:color="auto" w:sz="4" w:space="0"/>
            </w:tcBorders>
            <w:vAlign w:val="center"/>
          </w:tcPr>
          <w:p>
            <w:pPr>
              <w:widowControl/>
              <w:spacing w:line="5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县农提办、县市场监管局、县经信局、县大数据发展管理局、县商务局、各乡镇人民政府、街道办事处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trPr>
        <w:tc>
          <w:tcPr>
            <w:tcW w:w="843" w:type="dxa"/>
            <w:vAlign w:val="center"/>
          </w:tcPr>
          <w:p>
            <w:pPr>
              <w:widowControl/>
              <w:spacing w:line="300" w:lineRule="exact"/>
              <w:jc w:val="center"/>
              <w:rPr>
                <w:rFonts w:hint="eastAsia" w:ascii="宋体" w:hAnsi="宋体" w:eastAsia="宋体" w:cs="宋体"/>
                <w:snapToGrid w:val="0"/>
                <w:color w:val="auto"/>
                <w:spacing w:val="-4"/>
                <w:sz w:val="28"/>
                <w:szCs w:val="28"/>
                <w:lang w:eastAsia="zh-CN"/>
              </w:rPr>
            </w:pPr>
            <w:r>
              <w:rPr>
                <w:rFonts w:hint="eastAsia" w:ascii="宋体" w:hAnsi="宋体" w:eastAsia="宋体" w:cs="宋体"/>
                <w:snapToGrid w:val="0"/>
                <w:color w:val="auto"/>
                <w:spacing w:val="-4"/>
                <w:sz w:val="28"/>
                <w:szCs w:val="28"/>
              </w:rPr>
              <w:t>1</w:t>
            </w:r>
            <w:r>
              <w:rPr>
                <w:rFonts w:hint="eastAsia" w:ascii="宋体" w:hAnsi="宋体" w:eastAsia="宋体" w:cs="宋体"/>
                <w:snapToGrid w:val="0"/>
                <w:color w:val="auto"/>
                <w:spacing w:val="-4"/>
                <w:sz w:val="28"/>
                <w:szCs w:val="28"/>
                <w:lang w:val="en-US" w:eastAsia="zh-CN"/>
              </w:rPr>
              <w:t>2</w:t>
            </w:r>
          </w:p>
        </w:tc>
        <w:tc>
          <w:tcPr>
            <w:tcW w:w="909" w:type="dxa"/>
            <w:vMerge w:val="continue"/>
            <w:tcBorders>
              <w:left w:val="single" w:color="auto" w:sz="4" w:space="0"/>
              <w:right w:val="single" w:color="auto" w:sz="4" w:space="0"/>
            </w:tcBorders>
            <w:vAlign w:val="center"/>
          </w:tcPr>
          <w:p>
            <w:pPr>
              <w:rPr>
                <w:color w:val="auto"/>
              </w:rPr>
            </w:pPr>
          </w:p>
        </w:tc>
        <w:tc>
          <w:tcPr>
            <w:tcW w:w="4669" w:type="dxa"/>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打造“绿色环保市场”</w:t>
            </w:r>
          </w:p>
        </w:tc>
        <w:tc>
          <w:tcPr>
            <w:tcW w:w="1416" w:type="dxa"/>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2026</w:t>
            </w:r>
          </w:p>
        </w:tc>
        <w:tc>
          <w:tcPr>
            <w:tcW w:w="2606" w:type="dxa"/>
            <w:tcBorders>
              <w:left w:val="single" w:color="auto" w:sz="4" w:space="0"/>
              <w:right w:val="single" w:color="auto" w:sz="4" w:space="0"/>
            </w:tcBorders>
            <w:vAlign w:val="center"/>
          </w:tcPr>
          <w:p>
            <w:pPr>
              <w:widowControl/>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w:t>
            </w:r>
          </w:p>
        </w:tc>
        <w:tc>
          <w:tcPr>
            <w:tcW w:w="4851" w:type="dxa"/>
            <w:tcBorders>
              <w:left w:val="single" w:color="auto" w:sz="4" w:space="0"/>
            </w:tcBorders>
            <w:vAlign w:val="center"/>
          </w:tcPr>
          <w:p>
            <w:pPr>
              <w:widowControl/>
              <w:spacing w:line="5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县农提办、县市场监管局、县综合行政执法局、县商务局、各乡镇人民政府、街道办事处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43" w:type="dxa"/>
            <w:vAlign w:val="center"/>
          </w:tcPr>
          <w:p>
            <w:pPr>
              <w:spacing w:line="300" w:lineRule="exact"/>
              <w:jc w:val="center"/>
              <w:rPr>
                <w:rFonts w:hint="eastAsia" w:ascii="宋体" w:hAnsi="宋体" w:eastAsia="宋体" w:cs="宋体"/>
                <w:snapToGrid w:val="0"/>
                <w:color w:val="auto"/>
                <w:spacing w:val="-4"/>
                <w:sz w:val="28"/>
                <w:szCs w:val="28"/>
                <w:lang w:eastAsia="zh-CN"/>
              </w:rPr>
            </w:pPr>
            <w:r>
              <w:rPr>
                <w:rFonts w:hint="eastAsia" w:ascii="宋体" w:hAnsi="宋体" w:eastAsia="宋体" w:cs="宋体"/>
                <w:snapToGrid w:val="0"/>
                <w:color w:val="auto"/>
                <w:spacing w:val="-4"/>
                <w:sz w:val="28"/>
                <w:szCs w:val="28"/>
              </w:rPr>
              <w:t>1</w:t>
            </w:r>
            <w:r>
              <w:rPr>
                <w:rFonts w:hint="eastAsia" w:ascii="宋体" w:hAnsi="宋体" w:eastAsia="宋体" w:cs="宋体"/>
                <w:snapToGrid w:val="0"/>
                <w:color w:val="auto"/>
                <w:spacing w:val="-4"/>
                <w:sz w:val="28"/>
                <w:szCs w:val="28"/>
                <w:lang w:val="en-US" w:eastAsia="zh-CN"/>
              </w:rPr>
              <w:t>3</w:t>
            </w:r>
          </w:p>
        </w:tc>
        <w:tc>
          <w:tcPr>
            <w:tcW w:w="909"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p>
        </w:tc>
        <w:tc>
          <w:tcPr>
            <w:tcW w:w="4669"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新增国有专业化管理市场</w:t>
            </w:r>
          </w:p>
        </w:tc>
        <w:tc>
          <w:tcPr>
            <w:tcW w:w="1416"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2026</w:t>
            </w:r>
          </w:p>
        </w:tc>
        <w:tc>
          <w:tcPr>
            <w:tcW w:w="2606" w:type="dxa"/>
            <w:tcBorders>
              <w:left w:val="single" w:color="auto" w:sz="4" w:space="0"/>
              <w:right w:val="single" w:color="auto" w:sz="4" w:space="0"/>
            </w:tcBorders>
            <w:vAlign w:val="center"/>
          </w:tcPr>
          <w:p>
            <w:pPr>
              <w:spacing w:line="3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2</w:t>
            </w:r>
          </w:p>
        </w:tc>
        <w:tc>
          <w:tcPr>
            <w:tcW w:w="4851" w:type="dxa"/>
            <w:vAlign w:val="center"/>
          </w:tcPr>
          <w:p>
            <w:pPr>
              <w:spacing w:line="500" w:lineRule="exact"/>
              <w:jc w:val="center"/>
              <w:rPr>
                <w:rFonts w:hint="eastAsia" w:ascii="宋体" w:hAnsi="宋体" w:eastAsia="宋体" w:cs="宋体"/>
                <w:snapToGrid w:val="0"/>
                <w:color w:val="auto"/>
                <w:spacing w:val="-4"/>
                <w:sz w:val="28"/>
                <w:szCs w:val="28"/>
              </w:rPr>
            </w:pPr>
            <w:r>
              <w:rPr>
                <w:rFonts w:hint="eastAsia" w:ascii="宋体" w:hAnsi="宋体" w:eastAsia="宋体" w:cs="宋体"/>
                <w:snapToGrid w:val="0"/>
                <w:color w:val="auto"/>
                <w:spacing w:val="-4"/>
                <w:sz w:val="28"/>
                <w:szCs w:val="28"/>
              </w:rPr>
              <w:t>县农提办、县发改局、县国资委、县市场监管局、国有企事业单位、各乡镇人民政府、街道办事处</w:t>
            </w:r>
          </w:p>
        </w:tc>
      </w:tr>
    </w:tbl>
    <w:p>
      <w:pPr>
        <w:adjustRightInd/>
        <w:snapToGrid/>
        <w:spacing w:after="0"/>
        <w:rPr>
          <w:rFonts w:hint="eastAsia" w:ascii="宋体" w:hAnsi="Times New Roman" w:eastAsia="宋体" w:cs="宋体"/>
          <w:snapToGrid w:val="0"/>
          <w:color w:val="auto"/>
          <w:spacing w:val="-4"/>
          <w:sz w:val="32"/>
          <w:szCs w:val="32"/>
        </w:rPr>
      </w:pPr>
    </w:p>
    <w:p>
      <w:pPr>
        <w:adjustRightInd/>
        <w:snapToGrid/>
        <w:spacing w:after="0"/>
        <w:rPr>
          <w:rFonts w:ascii="Times New Roman" w:hAnsi="Times New Roman" w:eastAsia="仿宋_GB2312" w:cs="仿宋_GB2312"/>
          <w:snapToGrid w:val="0"/>
          <w:color w:val="auto"/>
          <w:spacing w:val="-4"/>
          <w:sz w:val="32"/>
          <w:szCs w:val="32"/>
        </w:rPr>
      </w:pPr>
    </w:p>
    <w:p>
      <w:pPr>
        <w:adjustRightInd/>
        <w:snapToGrid/>
        <w:spacing w:after="0"/>
        <w:rPr>
          <w:rFonts w:ascii="Times New Roman" w:hAnsi="Times New Roman" w:eastAsia="仿宋_GB2312" w:cs="仿宋_GB2312"/>
          <w:snapToGrid w:val="0"/>
          <w:color w:val="auto"/>
          <w:spacing w:val="-4"/>
          <w:sz w:val="32"/>
          <w:szCs w:val="32"/>
        </w:rPr>
      </w:pPr>
    </w:p>
    <w:p>
      <w:pPr>
        <w:adjustRightInd/>
        <w:snapToGrid/>
        <w:spacing w:after="0"/>
        <w:rPr>
          <w:rFonts w:ascii="Times New Roman" w:hAnsi="Times New Roman" w:eastAsia="仿宋_GB2312" w:cs="仿宋_GB2312"/>
          <w:snapToGrid w:val="0"/>
          <w:color w:val="auto"/>
          <w:spacing w:val="-4"/>
          <w:sz w:val="32"/>
          <w:szCs w:val="32"/>
        </w:rPr>
      </w:pP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7D4A67-7D8A-4030-A9B0-75AA091687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DE20C75-60E5-4E45-9BD6-D0D7CA7816A9}"/>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29A7F1D9-034B-4A69-B53E-4B3EBE9AC439}"/>
  </w:font>
  <w:font w:name="方正小标宋_GBK">
    <w:panose1 w:val="02000000000000000000"/>
    <w:charset w:val="86"/>
    <w:family w:val="script"/>
    <w:pitch w:val="default"/>
    <w:sig w:usb0="A00002BF" w:usb1="38CF7CFA" w:usb2="00082016" w:usb3="00000000" w:csb0="00040001" w:csb1="00000000"/>
    <w:embedRegular r:id="rId4" w:fontKey="{2E4C9628-694C-4A43-B663-6757D1605DF7}"/>
  </w:font>
  <w:font w:name="楷体">
    <w:panose1 w:val="02010609060101010101"/>
    <w:charset w:val="86"/>
    <w:family w:val="modern"/>
    <w:pitch w:val="default"/>
    <w:sig w:usb0="800002BF" w:usb1="38CF7CFA" w:usb2="00000016" w:usb3="00000000" w:csb0="00040001" w:csb1="00000000"/>
    <w:embedRegular r:id="rId5" w:fontKey="{B23D5FBE-2424-41A3-A3B0-815CE4F782C2}"/>
  </w:font>
  <w:font w:name="仿宋_GB2312">
    <w:panose1 w:val="02010609030101010101"/>
    <w:charset w:val="86"/>
    <w:family w:val="modern"/>
    <w:pitch w:val="default"/>
    <w:sig w:usb0="00000001" w:usb1="080E0000" w:usb2="00000000" w:usb3="00000000" w:csb0="00040000" w:csb1="00000000"/>
    <w:embedRegular r:id="rId6" w:fontKey="{F0B61747-C716-4BCE-8370-4D8926E215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883676"/>
    </w:sdtPr>
    <w:sdtEndPr>
      <w:rPr>
        <w:rFonts w:hint="eastAsia" w:ascii="仿宋_GB2312" w:eastAsia="仿宋_GB2312"/>
        <w:sz w:val="24"/>
        <w:szCs w:val="24"/>
      </w:rPr>
    </w:sdtEndPr>
    <w:sdtContent>
      <w:p>
        <w:pPr>
          <w:pStyle w:val="2"/>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2</w:t>
        </w:r>
        <w:r>
          <w:rPr>
            <w:rFonts w:hint="eastAsia" w:ascii="仿宋_GB2312" w:eastAsia="仿宋_GB2312"/>
            <w:sz w:val="24"/>
            <w:szCs w:val="24"/>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E6B6C"/>
    <w:multiLevelType w:val="singleLevel"/>
    <w:tmpl w:val="D5FE6B6C"/>
    <w:lvl w:ilvl="0" w:tentative="0">
      <w:start w:val="1"/>
      <w:numFmt w:val="chineseCounting"/>
      <w:suff w:val="nothing"/>
      <w:lvlText w:val="（%1）"/>
      <w:lvlJc w:val="left"/>
      <w:pPr>
        <w:ind w:left="0" w:firstLine="0"/>
      </w:pPr>
      <w:rPr>
        <w:rFonts w:hint="eastAsia"/>
      </w:rPr>
    </w:lvl>
  </w:abstractNum>
  <w:abstractNum w:abstractNumId="1">
    <w:nsid w:val="621873D7"/>
    <w:multiLevelType w:val="multilevel"/>
    <w:tmpl w:val="621873D7"/>
    <w:lvl w:ilvl="0" w:tentative="0">
      <w:start w:val="1"/>
      <w:numFmt w:val="chineseCountingThousand"/>
      <w:lvlText w:val="%1、"/>
      <w:lvlJc w:val="left"/>
      <w:pPr>
        <w:ind w:left="1052" w:hanging="420"/>
      </w:p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YmY5MWRmNmZiY2FmYmI1ZTlhYzdiOTNiZmNlMjIifQ=="/>
  </w:docVars>
  <w:rsids>
    <w:rsidRoot w:val="6EB36F9D"/>
    <w:rsid w:val="6EB36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Arial"/>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paragraph" w:styleId="5">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2023-06-30T02:49:00Z</dcterms:created>
  <dc:creator>小王禹</dc:creator>
  <cp:lastModifiedBy>小王禹</cp:lastModifiedBy>
  <dcterms:modified xsi:type="dcterms:W3CDTF">2023-06-30T02:51:52Z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4C2FAEC847A34F369FABE0E047E9FCB1_11</vt:lpwstr>
  </property>
</Properties>
</file>