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金华市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社会组织财务管理指引（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近年来，我市通过引入专业力量，加强对社会组织财会监管，也暴露出我市社会组织存在的财务管理不规范等问题。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落实清廉社会组织建设要求，我市拟出台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金华市社会组织财务管理指引》，通过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规范社会组织会计行为、资产管理和财务管理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等工作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，保证会计信息的真实、完整，进一步促进社会组织健康有序发展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《中华人民共和国民法典》《中华人民共和国会计法》《中华人民共和国慈善法》《民间非营利组织会计制度》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民办非企业单位登记管理暂行条例》等法律法规和规章制度要求，结合我市实际，制定本文件。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文件共分为基本要求、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资产管理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负债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收入管理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支出管理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票据管理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会计档案管理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监督管理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等八个部分。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基本要求：界定文件适用范围，并提出坚持非营利性、遵守会计准则、合理设置机构、坚持独立核算和履行纳税义务等五条基本要求。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（二）资产管理：说明资产管理的原则，并针对资产类型分别提出不同要求。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（三）负债管理：说明负债管理的有关要求。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收入管理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：说明收入管理的原则，并针对收入类型分别提出不同要求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支出管理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：说明支出管理的原则，并针对支出类型分别提出不同要求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票据管理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：说明票据管理的原则，并针对票据类型分别提出不同要求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（七）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会计档案管理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：说明会计档案管理的总体要求，并针对会计档案类型分别提出不同要求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（八）监督管理：围绕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落实监督责任、关联交易监管以及主动公开信息，进一步明确社会组织内部和外部的监管职责。</w:t>
      </w:r>
    </w:p>
    <w:p>
      <w:pPr>
        <w:pStyle w:val="2"/>
        <w:ind w:firstLine="36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25CB58-42E8-4949-B2D8-78274891C6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2CEC12B-6E22-4B24-A5E0-C93A3E2DD7D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C7C284F-4D79-4E0D-925F-E022237782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40A274-F34E-4647-832B-B332EF1A1D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AEAD8"/>
    <w:multiLevelType w:val="singleLevel"/>
    <w:tmpl w:val="EB7AEA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BEFB4"/>
    <w:multiLevelType w:val="singleLevel"/>
    <w:tmpl w:val="FDBBEF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ODVmNDgxZTkyNDI4NDAyMWJiZjQ5MWM4Y2U4Y2UifQ=="/>
  </w:docVars>
  <w:rsids>
    <w:rsidRoot w:val="44BD581D"/>
    <w:rsid w:val="44B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2024-01-15T08:53:00Z</dcterms:created>
  <dc:creator>折翼依旧微笑</dc:creator>
  <cp:lastModifiedBy>折翼依旧微笑</cp:lastModifiedBy>
  <dcterms:modified xsi:type="dcterms:W3CDTF">2024-01-15T08:53:21Z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05E83C22C8684666AA37444940DD61EA_11</vt:lpwstr>
  </property>
</Properties>
</file>