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小标宋简体" w:eastAsia="方正小标宋简体"/>
          <w:sz w:val="44"/>
          <w:szCs w:val="44"/>
          <w:lang w:val="zh-CN"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莲都区</w:t>
      </w:r>
      <w:r>
        <w:rPr>
          <w:rFonts w:hint="eastAsia" w:ascii="方正小标宋简体" w:eastAsia="方正小标宋简体"/>
          <w:sz w:val="44"/>
          <w:szCs w:val="44"/>
          <w:lang w:val="zh-CN" w:eastAsia="zh-CN"/>
        </w:rPr>
        <w:t>人民政府</w:t>
      </w:r>
      <w:r>
        <w:rPr>
          <w:rFonts w:hint="eastAsia" w:ascii="方正小标宋简体" w:eastAsia="方正小标宋简体"/>
          <w:sz w:val="44"/>
          <w:szCs w:val="44"/>
          <w:lang w:val="en-US" w:eastAsia="zh-CN"/>
        </w:rPr>
        <w:t>关于</w:t>
      </w:r>
      <w:r>
        <w:rPr>
          <w:rFonts w:hint="eastAsia" w:ascii="方正小标宋简体" w:eastAsia="方正小标宋简体"/>
          <w:sz w:val="44"/>
          <w:szCs w:val="44"/>
          <w:lang w:val="zh-CN" w:eastAsia="zh-CN"/>
        </w:rPr>
        <w:t>调整耕地开垦费</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zh-CN" w:eastAsia="zh-CN"/>
        </w:rPr>
        <w:t>等有关政策的通知（</w:t>
      </w:r>
      <w:r>
        <w:rPr>
          <w:rFonts w:hint="eastAsia" w:ascii="方正小标宋简体" w:hAnsi="方正小标宋简体" w:eastAsia="方正小标宋简体" w:cs="方正小标宋简体"/>
          <w:spacing w:val="0"/>
          <w:w w:val="100"/>
          <w:sz w:val="44"/>
          <w:szCs w:val="44"/>
          <w:lang w:val="en-US" w:eastAsia="zh-CN"/>
        </w:rPr>
        <w:t>征求意见稿</w:t>
      </w:r>
      <w:r>
        <w:rPr>
          <w:rFonts w:hint="eastAsia" w:ascii="方正小标宋简体" w:eastAsia="方正小标宋简体"/>
          <w:sz w:val="44"/>
          <w:szCs w:val="44"/>
          <w:lang w:val="zh-CN" w:eastAsia="zh-CN"/>
        </w:rPr>
        <w:t>）</w:t>
      </w:r>
      <w:r>
        <w:rPr>
          <w:rFonts w:hint="eastAsia" w:ascii="方正小标宋简体" w:eastAsia="方正小标宋简体"/>
          <w:sz w:val="44"/>
          <w:szCs w:val="44"/>
        </w:rPr>
        <w:t>》</w:t>
      </w:r>
      <w:r>
        <w:rPr>
          <w:rFonts w:hint="eastAsia" w:ascii="方正小标宋简体" w:eastAsia="方正小标宋简体"/>
          <w:sz w:val="44"/>
          <w:szCs w:val="44"/>
          <w:lang w:eastAsia="zh-CN"/>
        </w:rPr>
        <w:t>的</w:t>
      </w:r>
      <w:r>
        <w:rPr>
          <w:rFonts w:hint="eastAsia" w:ascii="方正小标宋简体" w:eastAsia="方正小标宋简体"/>
          <w:sz w:val="44"/>
          <w:szCs w:val="44"/>
        </w:rPr>
        <w:t>起草说明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kern w:val="0"/>
          <w:sz w:val="32"/>
          <w:szCs w:val="32"/>
        </w:rPr>
      </w:pPr>
      <w:r>
        <w:rPr>
          <w:rFonts w:hint="eastAsia" w:ascii="黑体" w:hAnsi="黑体" w:eastAsia="黑体" w:cs="黑体"/>
          <w:b w:val="0"/>
          <w:bCs w:val="0"/>
          <w:lang w:val="en-US" w:eastAsia="zh-CN"/>
        </w:rPr>
        <w:t xml:space="preserve">      </w:t>
      </w: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zh-CN"/>
        </w:rPr>
        <w:t>制定文件的必要性和可行性</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lang w:val="en-US" w:eastAsia="zh-CN"/>
        </w:rPr>
        <w:t>我国的耕地“占补平衡”政策要求建设占用多少耕地，就应补充开垦多少数量和质量相当的耕地，占用耕地的单位和个人要负责开垦与所占用耕地的数量和质量相当的耕地；若占用单位没有条件开垦的，应按照规定标准缴纳耕地开垦费和补充耕地资金，该费用统筹用于耕地保护工作。根据《中华人民共和国土地管理法》《浙江省土地管理条例》《浙江省人民政府办公厅关于调整耕地开垦费等有关政策的通知》</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浙政办函〔2025〕2号</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sz w:val="32"/>
          <w:szCs w:val="32"/>
          <w:lang w:eastAsia="zh-CN"/>
        </w:rPr>
        <w:t>《浙江省自然资源厅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浙江省农业农村厅关于进一步加强耕地保护改革完善耕地占补平衡管理的通知》（浙自然资发〔2025〕1号）</w:t>
      </w:r>
      <w:r>
        <w:rPr>
          <w:rFonts w:hint="eastAsia" w:ascii="仿宋_GB2312" w:hAnsi="仿宋_GB2312" w:eastAsia="仿宋_GB2312" w:cs="仿宋_GB2312"/>
          <w:color w:val="auto"/>
          <w:kern w:val="0"/>
          <w:sz w:val="32"/>
          <w:szCs w:val="32"/>
          <w:lang w:val="en-US" w:eastAsia="zh-CN"/>
        </w:rPr>
        <w:t>等规定，莲都区需调整明确耕地开垦费和补充耕地资金收缴标准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000000"/>
          <w:kern w:val="0"/>
          <w:sz w:val="32"/>
          <w:szCs w:val="32"/>
        </w:rPr>
        <w:t>以适应</w:t>
      </w:r>
      <w:r>
        <w:rPr>
          <w:rFonts w:hint="eastAsia" w:ascii="仿宋_GB2312" w:hAnsi="仿宋_GB2312" w:eastAsia="仿宋_GB2312" w:cs="仿宋_GB2312"/>
          <w:color w:val="000000"/>
          <w:kern w:val="0"/>
          <w:sz w:val="32"/>
          <w:szCs w:val="32"/>
          <w:lang w:val="en-US" w:eastAsia="zh-CN"/>
        </w:rPr>
        <w:t>莲都区在新形势下</w:t>
      </w:r>
      <w:r>
        <w:rPr>
          <w:rFonts w:hint="eastAsia" w:ascii="仿宋_GB2312" w:hAnsi="仿宋_GB2312" w:eastAsia="仿宋_GB2312" w:cs="仿宋_GB2312"/>
          <w:color w:val="auto"/>
          <w:kern w:val="0"/>
          <w:sz w:val="32"/>
          <w:szCs w:val="32"/>
          <w:lang w:val="en-US" w:eastAsia="zh-CN"/>
        </w:rPr>
        <w:t>严格落实耕地占补平衡制度，做好耕地保护工作</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topLinePunct w:val="0"/>
        <w:autoSpaceDE w:val="0"/>
        <w:autoSpaceDN w:val="0"/>
        <w:bidi w:val="0"/>
        <w:adjustRightInd w:val="0"/>
        <w:snapToGrid w:val="0"/>
        <w:spacing w:line="600" w:lineRule="exact"/>
        <w:ind w:firstLine="640" w:firstLineChars="200"/>
        <w:jc w:val="left"/>
        <w:textAlignment w:val="auto"/>
        <w:outlineLvl w:val="2"/>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起草情况</w:t>
      </w:r>
    </w:p>
    <w:p>
      <w:pPr>
        <w:keepNext w:val="0"/>
        <w:keepLines w:val="0"/>
        <w:pageBreakBefore w:val="0"/>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color w:val="auto"/>
          <w:kern w:val="0"/>
          <w:sz w:val="32"/>
          <w:szCs w:val="32"/>
          <w:lang w:val="en-US" w:eastAsia="zh-CN"/>
        </w:rPr>
        <w:t>有关方面意见的协调处理情况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1.前期调研论证情况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left="0" w:leftChars="0" w:firstLine="0" w:firstLineChars="0"/>
        <w:jc w:val="left"/>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调整耕地开垦费等有关政策工作于2025年</w:t>
      </w:r>
      <w:bookmarkStart w:id="0" w:name="_GoBack"/>
      <w:bookmarkEnd w:id="0"/>
      <w:r>
        <w:rPr>
          <w:rFonts w:hint="eastAsia" w:ascii="仿宋_GB2312" w:hAnsi="仿宋_GB2312" w:eastAsia="仿宋_GB2312" w:cs="仿宋_GB2312"/>
          <w:color w:val="auto"/>
          <w:kern w:val="0"/>
          <w:sz w:val="32"/>
          <w:szCs w:val="32"/>
          <w:lang w:val="en-US" w:eastAsia="zh-CN"/>
        </w:rPr>
        <w:t>3月开始启动</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并制定工作方案。业务科室通过上级政策研究、数据归集等方式进行了前期调研论证。</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2.公开征求意见情况及采纳情况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2025年6月3日至6月6日，</w:t>
      </w:r>
      <w:r>
        <w:rPr>
          <w:rFonts w:hint="eastAsia" w:ascii="仿宋_GB2312" w:hAnsi="仿宋_GB2312" w:eastAsia="仿宋_GB2312" w:cs="仿宋_GB2312"/>
          <w:color w:val="auto"/>
          <w:kern w:val="0"/>
          <w:sz w:val="32"/>
          <w:szCs w:val="32"/>
          <w:lang w:val="en-US" w:eastAsia="zh-CN"/>
        </w:rPr>
        <w:t>我局</w:t>
      </w:r>
      <w:r>
        <w:rPr>
          <w:rFonts w:hint="default" w:ascii="仿宋_GB2312" w:hAnsi="仿宋_GB2312" w:eastAsia="仿宋_GB2312" w:cs="仿宋_GB2312"/>
          <w:color w:val="auto"/>
          <w:kern w:val="0"/>
          <w:sz w:val="32"/>
          <w:szCs w:val="32"/>
          <w:lang w:val="en-US" w:eastAsia="zh-CN"/>
        </w:rPr>
        <w:t>通过公文交换平台向区发改局、区财政局、区经信局、区民政局、区交通局、区水利局、区农业农村局、区生态林业发展中心、区卫健局，区审计局、区市场监管局、区国投集团、区城投集团、区农文旅集团、丽甬公司、各乡镇（街道）征求意见，未收到意见反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3.起草单位公平竞争审查情况及采纳情况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经单位初审，认为我单位起草的《莲都区人民政府关于调整耕地开垦费等有关政策的通知（征求意见稿）》不违反公平竞争相关规定。</w:t>
      </w:r>
    </w:p>
    <w:p>
      <w:pPr>
        <w:keepNext w:val="0"/>
        <w:keepLines w:val="0"/>
        <w:pageBreakBefore w:val="0"/>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华文楷体" w:hAnsi="华文楷体" w:eastAsia="华文楷体" w:cs="华文楷体"/>
          <w:color w:val="auto"/>
          <w:kern w:val="0"/>
          <w:sz w:val="32"/>
          <w:szCs w:val="32"/>
          <w:lang w:val="en-US" w:eastAsia="zh-CN"/>
        </w:rPr>
      </w:pPr>
      <w:r>
        <w:rPr>
          <w:rFonts w:hint="eastAsia" w:ascii="华文楷体" w:hAnsi="华文楷体" w:eastAsia="华文楷体" w:cs="华文楷体"/>
          <w:color w:val="auto"/>
          <w:kern w:val="0"/>
          <w:sz w:val="32"/>
          <w:szCs w:val="32"/>
          <w:lang w:val="en-US" w:eastAsia="zh-CN"/>
        </w:rPr>
        <w:t>起草单位集体讨论情况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2025年5月，我局组织相关科室讨论会，对该文件进行了修改完善，最终确定《莲都区人民政府关于调整耕地开垦费等有关政策的通知（征求意见稿）》。</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topLinePunct w:val="0"/>
        <w:autoSpaceDE w:val="0"/>
        <w:autoSpaceDN w:val="0"/>
        <w:bidi w:val="0"/>
        <w:adjustRightInd w:val="0"/>
        <w:snapToGrid w:val="0"/>
        <w:spacing w:line="600" w:lineRule="exact"/>
        <w:ind w:firstLine="640" w:firstLineChars="200"/>
        <w:jc w:val="left"/>
        <w:textAlignment w:val="auto"/>
        <w:outlineLvl w:val="2"/>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三、</w:t>
      </w:r>
      <w:r>
        <w:rPr>
          <w:rFonts w:hint="eastAsia" w:ascii="黑体" w:hAnsi="黑体" w:eastAsia="黑体" w:cs="黑体"/>
          <w:color w:val="000000"/>
          <w:kern w:val="0"/>
          <w:sz w:val="32"/>
          <w:szCs w:val="32"/>
          <w:lang w:eastAsia="zh-CN"/>
        </w:rPr>
        <w:t>需要解决的主要问题</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本次调整耕地开垦费和补充耕地资金主要根据</w:t>
      </w:r>
      <w:r>
        <w:rPr>
          <w:rFonts w:hint="eastAsia" w:ascii="仿宋_GB2312" w:hAnsi="仿宋_GB2312" w:eastAsia="仿宋_GB2312" w:cs="仿宋_GB2312"/>
          <w:color w:val="auto"/>
          <w:kern w:val="0"/>
          <w:sz w:val="32"/>
          <w:szCs w:val="32"/>
          <w:lang w:val="zh-CN" w:eastAsia="zh-CN"/>
        </w:rPr>
        <w:t>《</w:t>
      </w:r>
      <w:r>
        <w:rPr>
          <w:rFonts w:hint="eastAsia" w:ascii="仿宋_GB2312" w:hAnsi="仿宋_GB2312" w:eastAsia="仿宋_GB2312" w:cs="仿宋_GB2312"/>
          <w:color w:val="auto"/>
          <w:kern w:val="0"/>
          <w:sz w:val="32"/>
          <w:szCs w:val="32"/>
          <w:lang w:val="en-US" w:eastAsia="zh-CN"/>
        </w:rPr>
        <w:t>浙江省人民政府办公厅关于调整耕地开垦费等有关政策的通知</w:t>
      </w:r>
      <w:r>
        <w:rPr>
          <w:rFonts w:hint="eastAsia" w:ascii="仿宋_GB2312" w:hAnsi="仿宋_GB2312" w:eastAsia="仿宋_GB2312" w:cs="仿宋_GB2312"/>
          <w:color w:val="auto"/>
          <w:kern w:val="0"/>
          <w:sz w:val="32"/>
          <w:szCs w:val="32"/>
          <w:lang w:val="zh-CN" w:eastAsia="zh-CN"/>
        </w:rPr>
        <w:t>》(</w:t>
      </w:r>
      <w:r>
        <w:rPr>
          <w:rFonts w:hint="eastAsia" w:ascii="仿宋_GB2312" w:hAnsi="仿宋_GB2312" w:eastAsia="仿宋_GB2312" w:cs="仿宋_GB2312"/>
          <w:color w:val="auto"/>
          <w:kern w:val="0"/>
          <w:sz w:val="32"/>
          <w:szCs w:val="32"/>
          <w:lang w:val="en-US" w:eastAsia="zh-CN"/>
        </w:rPr>
        <w:t>浙政办函〔2025〕2号</w:t>
      </w:r>
      <w:r>
        <w:rPr>
          <w:rFonts w:hint="eastAsia" w:ascii="仿宋_GB2312" w:hAnsi="仿宋_GB2312" w:eastAsia="仿宋_GB2312" w:cs="仿宋_GB2312"/>
          <w:color w:val="auto"/>
          <w:kern w:val="0"/>
          <w:sz w:val="32"/>
          <w:szCs w:val="32"/>
          <w:lang w:val="zh-CN" w:eastAsia="zh-CN"/>
        </w:rPr>
        <w:t>)</w:t>
      </w:r>
      <w:r>
        <w:rPr>
          <w:rFonts w:hint="eastAsia" w:ascii="仿宋_GB2312" w:hAnsi="仿宋_GB2312" w:eastAsia="仿宋_GB2312" w:cs="仿宋_GB2312"/>
          <w:color w:val="auto"/>
          <w:kern w:val="0"/>
          <w:sz w:val="32"/>
          <w:szCs w:val="32"/>
          <w:lang w:val="en-US" w:eastAsia="zh-CN"/>
        </w:rPr>
        <w:t>文件精神，并考虑莲都区域实际，制定区级非农建设占用耕地的补充耕地资金收取标准。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topLinePunct w:val="0"/>
        <w:autoSpaceDE w:val="0"/>
        <w:autoSpaceDN w:val="0"/>
        <w:bidi w:val="0"/>
        <w:adjustRightInd w:val="0"/>
        <w:snapToGrid w:val="0"/>
        <w:spacing w:line="600" w:lineRule="exact"/>
        <w:ind w:firstLine="640" w:firstLineChars="200"/>
        <w:jc w:val="left"/>
        <w:textAlignment w:val="auto"/>
        <w:outlineLvl w:val="2"/>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四、</w:t>
      </w:r>
      <w:r>
        <w:rPr>
          <w:rFonts w:hint="eastAsia" w:ascii="黑体" w:hAnsi="黑体" w:eastAsia="黑体" w:cs="黑体"/>
          <w:color w:val="000000"/>
          <w:kern w:val="0"/>
          <w:sz w:val="32"/>
          <w:szCs w:val="32"/>
          <w:lang w:eastAsia="zh-CN"/>
        </w:rPr>
        <w:t>拟规定的主要制度和拟采取的主要措施</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3"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highlight w:val="none"/>
          <w:lang w:val="en-US" w:eastAsia="zh-CN"/>
        </w:rPr>
        <w:t>耕地开垦费的调整，根据《(耕地开垦费加倍收取）浙江省政府关于加强占补平衡管理的通知》（浙政办发〔2014〕25号）文件精神，我区为56元/平方米。</w:t>
      </w:r>
      <w:r>
        <w:rPr>
          <w:rFonts w:hint="eastAsia" w:ascii="仿宋_GB2312" w:hAnsi="仿宋_GB2312" w:eastAsia="仿宋_GB2312" w:cs="仿宋_GB2312"/>
          <w:color w:val="auto"/>
          <w:kern w:val="0"/>
          <w:sz w:val="32"/>
          <w:szCs w:val="32"/>
          <w:lang w:val="en-US" w:eastAsia="zh-CN"/>
        </w:rPr>
        <w:t>经依法批准占用永久基本农田的，按照上述标准的2倍收缴。本次调整后，耕地开垦费根据耕地质量等别高低，划分为4档，分别征收耕地开垦费：一类2-4等为72元/平方米，二类5-7等为64元/平方米，三类8-10等为56元/平方米，四类11-13等为40元/平方米。经依法批准占用永久基本农田的，按照上述标准的2倍收缴。</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rPr>
        <w:t>新增补充耕地资金的收缴标准，</w:t>
      </w:r>
      <w:r>
        <w:rPr>
          <w:rFonts w:hint="eastAsia" w:ascii="仿宋_GB2312" w:hAnsi="仿宋_GB2312" w:eastAsia="仿宋_GB2312" w:cs="仿宋_GB2312"/>
          <w:color w:val="auto"/>
          <w:sz w:val="32"/>
          <w:szCs w:val="32"/>
          <w:lang w:val="en-US" w:eastAsia="zh-CN"/>
        </w:rPr>
        <w:t>补充耕地资金按375元/平方米收缴。</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topLinePunct w:val="0"/>
        <w:autoSpaceDE w:val="0"/>
        <w:autoSpaceDN w:val="0"/>
        <w:bidi w:val="0"/>
        <w:adjustRightInd w:val="0"/>
        <w:snapToGrid w:val="0"/>
        <w:spacing w:line="600" w:lineRule="exact"/>
        <w:ind w:firstLine="640" w:firstLineChars="200"/>
        <w:jc w:val="left"/>
        <w:textAlignment w:val="auto"/>
        <w:outlineLvl w:val="2"/>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五、其他需要说明的情况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val="0"/>
        <w:topLinePunct w:val="0"/>
        <w:autoSpaceDE w:val="0"/>
        <w:autoSpaceDN w:val="0"/>
        <w:bidi w:val="0"/>
        <w:adjustRightInd w:val="0"/>
        <w:snapToGrid w:val="0"/>
        <w:spacing w:line="600" w:lineRule="exact"/>
        <w:ind w:firstLine="640" w:firstLineChars="200"/>
        <w:jc w:val="left"/>
        <w:textAlignment w:val="auto"/>
        <w:rPr>
          <w:rFonts w:hint="default"/>
          <w:lang w:eastAsia="zh-CN"/>
        </w:rPr>
      </w:pPr>
      <w:r>
        <w:rPr>
          <w:rFonts w:hint="default" w:ascii="仿宋_GB2312" w:hAnsi="仿宋_GB2312" w:eastAsia="仿宋_GB2312" w:cs="仿宋_GB2312"/>
          <w:color w:val="auto"/>
          <w:sz w:val="32"/>
          <w:szCs w:val="32"/>
          <w:lang w:eastAsia="zh-CN"/>
        </w:rPr>
        <w:t>对于自公布之日未满30日即施行，因《浙江省人民政府办公厅关于调整耕地开垦费等有关政策的通知》（浙政办函〔2025〕2号）明确自2025年2月20日起施行，此前省内相关文件与以上通知规定不一致的，以以上通知为准。</w:t>
      </w:r>
    </w:p>
    <w:p>
      <w:pPr>
        <w:keepNext w:val="0"/>
        <w:keepLines w:val="0"/>
        <w:pageBreakBefore w:val="0"/>
        <w:widowControl/>
        <w:kinsoku/>
        <w:wordWrap/>
        <w:overflowPunct/>
        <w:topLinePunct w:val="0"/>
        <w:autoSpaceDE/>
        <w:autoSpaceDN/>
        <w:bidi w:val="0"/>
        <w:spacing w:line="580" w:lineRule="exact"/>
        <w:jc w:val="left"/>
        <w:textAlignment w:val="auto"/>
        <w:rPr>
          <w:rFonts w:ascii="黑体" w:hAnsi="黑体" w:eastAsia="黑体" w:cs="黑体"/>
          <w:bCs/>
          <w:sz w:val="32"/>
          <w:szCs w:val="32"/>
          <w:shd w:val="clear" w:color="auto" w:fill="FFFFFF"/>
        </w:rPr>
      </w:pPr>
    </w:p>
    <w:p>
      <w:pPr>
        <w:pStyle w:val="2"/>
        <w:rPr>
          <w:rFonts w:ascii="黑体" w:hAnsi="黑体" w:eastAsia="黑体" w:cs="黑体"/>
          <w:bCs/>
          <w:sz w:val="32"/>
          <w:szCs w:val="32"/>
          <w:shd w:val="clear" w:color="auto" w:fill="FFFFFF"/>
        </w:rPr>
      </w:pPr>
    </w:p>
    <w:p>
      <w:pPr>
        <w:pStyle w:val="2"/>
        <w:rPr>
          <w:rFonts w:ascii="黑体" w:hAnsi="黑体" w:eastAsia="黑体" w:cs="黑体"/>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pPr>
    </w:p>
    <w:sectPr>
      <w:footerReference r:id="rId3" w:type="default"/>
      <w:pgSz w:w="11906" w:h="16838"/>
      <w:pgMar w:top="1871"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783232902"/>
    </w:sdtPr>
    <w:sdtEndPr>
      <w:rPr>
        <w:rFonts w:hint="eastAsia" w:ascii="仿宋_GB2312" w:eastAsia="仿宋_GB2312"/>
        <w:sz w:val="21"/>
        <w:szCs w:val="21"/>
      </w:rPr>
    </w:sdtEndPr>
    <w:sdtContent>
      <w:p>
        <w:pPr>
          <w:pStyle w:val="9"/>
          <w:jc w:val="center"/>
          <w:rPr>
            <w:rFonts w:ascii="仿宋_GB2312" w:eastAsia="仿宋_GB2312"/>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Times New Roman" w:hAnsi="Times New Roman" w:eastAsia="仿宋_GB2312"/>
            <w:sz w:val="21"/>
            <w:szCs w:val="21"/>
            <w:lang w:val="zh-CN"/>
          </w:rPr>
          <w:t>26</w:t>
        </w:r>
        <w:r>
          <w:rPr>
            <w:rFonts w:hint="eastAsia" w:ascii="仿宋_GB2312" w:eastAsia="仿宋_GB2312"/>
            <w:sz w:val="21"/>
            <w:szCs w:val="21"/>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7581F"/>
    <w:multiLevelType w:val="singleLevel"/>
    <w:tmpl w:val="F7F7581F"/>
    <w:lvl w:ilvl="0" w:tentative="0">
      <w:start w:val="2"/>
      <w:numFmt w:val="chineseCounting"/>
      <w:suff w:val="nothing"/>
      <w:lvlText w:val="%1、"/>
      <w:lvlJc w:val="left"/>
      <w:rPr>
        <w:rFonts w:hint="eastAsia"/>
      </w:rPr>
    </w:lvl>
  </w:abstractNum>
  <w:abstractNum w:abstractNumId="1">
    <w:nsid w:val="FAF785BE"/>
    <w:multiLevelType w:val="singleLevel"/>
    <w:tmpl w:val="FAF785B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Dg4Y2U0NmRhMzk5YTRiYzI1NzlkMWViZWZiZGEifQ=="/>
  </w:docVars>
  <w:rsids>
    <w:rsidRoot w:val="00037789"/>
    <w:rsid w:val="00036DB8"/>
    <w:rsid w:val="00037789"/>
    <w:rsid w:val="00044573"/>
    <w:rsid w:val="00075689"/>
    <w:rsid w:val="000778B8"/>
    <w:rsid w:val="00080582"/>
    <w:rsid w:val="00091B60"/>
    <w:rsid w:val="00094D9B"/>
    <w:rsid w:val="000C47FB"/>
    <w:rsid w:val="000D282A"/>
    <w:rsid w:val="000D75C2"/>
    <w:rsid w:val="00100564"/>
    <w:rsid w:val="00126FC4"/>
    <w:rsid w:val="00134B94"/>
    <w:rsid w:val="00155540"/>
    <w:rsid w:val="00162E93"/>
    <w:rsid w:val="00174816"/>
    <w:rsid w:val="00216F81"/>
    <w:rsid w:val="00224F7D"/>
    <w:rsid w:val="0026506B"/>
    <w:rsid w:val="00272E84"/>
    <w:rsid w:val="00286F4A"/>
    <w:rsid w:val="002B33C1"/>
    <w:rsid w:val="002B3EE2"/>
    <w:rsid w:val="002E1A70"/>
    <w:rsid w:val="00305D53"/>
    <w:rsid w:val="003070B5"/>
    <w:rsid w:val="003434C7"/>
    <w:rsid w:val="00355486"/>
    <w:rsid w:val="00394FBC"/>
    <w:rsid w:val="003E1052"/>
    <w:rsid w:val="00413397"/>
    <w:rsid w:val="0048143E"/>
    <w:rsid w:val="004C25EE"/>
    <w:rsid w:val="004D24FE"/>
    <w:rsid w:val="004D2E02"/>
    <w:rsid w:val="004D72E4"/>
    <w:rsid w:val="00514037"/>
    <w:rsid w:val="005167EE"/>
    <w:rsid w:val="0052348A"/>
    <w:rsid w:val="00526196"/>
    <w:rsid w:val="005B0633"/>
    <w:rsid w:val="005E67BB"/>
    <w:rsid w:val="005F03FF"/>
    <w:rsid w:val="00623E45"/>
    <w:rsid w:val="00626D12"/>
    <w:rsid w:val="00631A50"/>
    <w:rsid w:val="00637247"/>
    <w:rsid w:val="00647B14"/>
    <w:rsid w:val="00656647"/>
    <w:rsid w:val="00695516"/>
    <w:rsid w:val="006A761C"/>
    <w:rsid w:val="006E119C"/>
    <w:rsid w:val="006E173C"/>
    <w:rsid w:val="007064F9"/>
    <w:rsid w:val="007204C7"/>
    <w:rsid w:val="007333AD"/>
    <w:rsid w:val="007B1533"/>
    <w:rsid w:val="007B4D30"/>
    <w:rsid w:val="007F4771"/>
    <w:rsid w:val="008021EE"/>
    <w:rsid w:val="00803995"/>
    <w:rsid w:val="008049C9"/>
    <w:rsid w:val="00812F66"/>
    <w:rsid w:val="00815E47"/>
    <w:rsid w:val="00822262"/>
    <w:rsid w:val="00841D2F"/>
    <w:rsid w:val="0085202A"/>
    <w:rsid w:val="00867523"/>
    <w:rsid w:val="0088220A"/>
    <w:rsid w:val="00886942"/>
    <w:rsid w:val="008979D1"/>
    <w:rsid w:val="008C0952"/>
    <w:rsid w:val="00905A63"/>
    <w:rsid w:val="009138AA"/>
    <w:rsid w:val="009401FB"/>
    <w:rsid w:val="0094768C"/>
    <w:rsid w:val="009D1191"/>
    <w:rsid w:val="009E5125"/>
    <w:rsid w:val="009E58CC"/>
    <w:rsid w:val="00A15B2A"/>
    <w:rsid w:val="00A65D1F"/>
    <w:rsid w:val="00A94A97"/>
    <w:rsid w:val="00A97D4D"/>
    <w:rsid w:val="00AA42EA"/>
    <w:rsid w:val="00AA6A18"/>
    <w:rsid w:val="00B048F2"/>
    <w:rsid w:val="00B078AF"/>
    <w:rsid w:val="00B40FF8"/>
    <w:rsid w:val="00B718E3"/>
    <w:rsid w:val="00B77DD4"/>
    <w:rsid w:val="00B81ADE"/>
    <w:rsid w:val="00B86B11"/>
    <w:rsid w:val="00B95789"/>
    <w:rsid w:val="00B96601"/>
    <w:rsid w:val="00BA23DF"/>
    <w:rsid w:val="00BB6370"/>
    <w:rsid w:val="00BE396C"/>
    <w:rsid w:val="00BF2AE3"/>
    <w:rsid w:val="00C33E1E"/>
    <w:rsid w:val="00C84190"/>
    <w:rsid w:val="00CA34FE"/>
    <w:rsid w:val="00CB55E9"/>
    <w:rsid w:val="00CD4C36"/>
    <w:rsid w:val="00CF6FCA"/>
    <w:rsid w:val="00D3374F"/>
    <w:rsid w:val="00D6626D"/>
    <w:rsid w:val="00D979B4"/>
    <w:rsid w:val="00DA58EF"/>
    <w:rsid w:val="00E14B91"/>
    <w:rsid w:val="00E20F22"/>
    <w:rsid w:val="00E23251"/>
    <w:rsid w:val="00E4615B"/>
    <w:rsid w:val="00EB6CDE"/>
    <w:rsid w:val="00EE6E8B"/>
    <w:rsid w:val="00F01CD6"/>
    <w:rsid w:val="00F420C5"/>
    <w:rsid w:val="00F61DF9"/>
    <w:rsid w:val="00F62DC4"/>
    <w:rsid w:val="00F82A1B"/>
    <w:rsid w:val="00F82FCC"/>
    <w:rsid w:val="00FA6F51"/>
    <w:rsid w:val="00FA72B2"/>
    <w:rsid w:val="00FC0998"/>
    <w:rsid w:val="00FD66F2"/>
    <w:rsid w:val="00FD7763"/>
    <w:rsid w:val="00FF4E41"/>
    <w:rsid w:val="0228317C"/>
    <w:rsid w:val="03DE4389"/>
    <w:rsid w:val="07012506"/>
    <w:rsid w:val="075C638E"/>
    <w:rsid w:val="0A565A68"/>
    <w:rsid w:val="0A9262A8"/>
    <w:rsid w:val="0AA23F5E"/>
    <w:rsid w:val="0DD5ED21"/>
    <w:rsid w:val="131C0F23"/>
    <w:rsid w:val="15A74E2E"/>
    <w:rsid w:val="15F7545D"/>
    <w:rsid w:val="1C301FD1"/>
    <w:rsid w:val="28676AD2"/>
    <w:rsid w:val="292DF3BB"/>
    <w:rsid w:val="2C435C62"/>
    <w:rsid w:val="33296703"/>
    <w:rsid w:val="35542888"/>
    <w:rsid w:val="375E704F"/>
    <w:rsid w:val="3C9D2279"/>
    <w:rsid w:val="3E0409EB"/>
    <w:rsid w:val="3E1B28DA"/>
    <w:rsid w:val="40D7197B"/>
    <w:rsid w:val="42121E11"/>
    <w:rsid w:val="433C7646"/>
    <w:rsid w:val="43E31A3B"/>
    <w:rsid w:val="44700932"/>
    <w:rsid w:val="458178D9"/>
    <w:rsid w:val="47FFBD7B"/>
    <w:rsid w:val="4A307BC2"/>
    <w:rsid w:val="4BDF749E"/>
    <w:rsid w:val="4C8D0CCB"/>
    <w:rsid w:val="55FF4EF2"/>
    <w:rsid w:val="595A3A91"/>
    <w:rsid w:val="5BC46D9E"/>
    <w:rsid w:val="5BEE4EA4"/>
    <w:rsid w:val="5EA157EE"/>
    <w:rsid w:val="5F2E1780"/>
    <w:rsid w:val="6A4B3EAD"/>
    <w:rsid w:val="6E786ADC"/>
    <w:rsid w:val="728F3210"/>
    <w:rsid w:val="73FEA42E"/>
    <w:rsid w:val="74BD5C02"/>
    <w:rsid w:val="75FF8F58"/>
    <w:rsid w:val="77F716C4"/>
    <w:rsid w:val="789D458E"/>
    <w:rsid w:val="7964765D"/>
    <w:rsid w:val="7ADB667A"/>
    <w:rsid w:val="7B1794D0"/>
    <w:rsid w:val="7D0067A0"/>
    <w:rsid w:val="7EFF36D2"/>
    <w:rsid w:val="7F1519C4"/>
    <w:rsid w:val="7F1BB851"/>
    <w:rsid w:val="7FFF6C61"/>
    <w:rsid w:val="BAE5D8CB"/>
    <w:rsid w:val="BF756BA0"/>
    <w:rsid w:val="BFBE56D0"/>
    <w:rsid w:val="D52B5ED0"/>
    <w:rsid w:val="D7FD6432"/>
    <w:rsid w:val="DAEBEE1B"/>
    <w:rsid w:val="DFE78473"/>
    <w:rsid w:val="E2DF0AC9"/>
    <w:rsid w:val="E77F2F70"/>
    <w:rsid w:val="EF8F414B"/>
    <w:rsid w:val="F5D6AD71"/>
    <w:rsid w:val="F5E75F59"/>
    <w:rsid w:val="F67BAEA2"/>
    <w:rsid w:val="F9EE4971"/>
    <w:rsid w:val="FBFE61D7"/>
    <w:rsid w:val="FF74D5BC"/>
    <w:rsid w:val="FFDDEC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40" w:afterAutospacing="0" w:line="240" w:lineRule="auto"/>
      <w:ind w:left="0" w:leftChars="0" w:firstLine="880" w:firstLineChars="200"/>
    </w:pPr>
    <w:rPr>
      <w:rFonts w:cs="Times New Roman"/>
    </w:rPr>
  </w:style>
  <w:style w:type="paragraph" w:styleId="4">
    <w:name w:val="Normal Indent"/>
    <w:basedOn w:val="1"/>
    <w:qFormat/>
    <w:uiPriority w:val="99"/>
    <w:pPr>
      <w:ind w:firstLine="420" w:firstLineChars="200"/>
    </w:pPr>
    <w:rPr>
      <w:rFonts w:ascii="宋体" w:hAnsi="宋体" w:cs="宋体"/>
      <w:sz w:val="24"/>
    </w:rPr>
  </w:style>
  <w:style w:type="paragraph" w:styleId="5">
    <w:name w:val="index 6"/>
    <w:basedOn w:val="1"/>
    <w:next w:val="1"/>
    <w:qFormat/>
    <w:uiPriority w:val="0"/>
    <w:pPr>
      <w:ind w:left="2100"/>
    </w:pPr>
  </w:style>
  <w:style w:type="paragraph" w:styleId="6">
    <w:name w:val="Body Text"/>
    <w:basedOn w:val="1"/>
    <w:link w:val="18"/>
    <w:unhideWhenUsed/>
    <w:qFormat/>
    <w:uiPriority w:val="0"/>
    <w:pPr>
      <w:spacing w:after="120"/>
    </w:pPr>
  </w:style>
  <w:style w:type="paragraph" w:styleId="7">
    <w:name w:val="Body Text Indent"/>
    <w:basedOn w:val="1"/>
    <w:link w:val="20"/>
    <w:semiHidden/>
    <w:unhideWhenUsed/>
    <w:qFormat/>
    <w:uiPriority w:val="99"/>
    <w:pPr>
      <w:spacing w:after="120"/>
      <w:ind w:left="420" w:leftChars="2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2"/>
    <w:link w:val="19"/>
    <w:qFormat/>
    <w:uiPriority w:val="0"/>
    <w:pPr>
      <w:ind w:firstLine="420" w:firstLineChars="100"/>
    </w:pPr>
    <w:rPr>
      <w:color w:val="000000"/>
      <w:lang w:eastAsia="en-US" w:bidi="en-US"/>
    </w:rPr>
  </w:style>
  <w:style w:type="paragraph" w:styleId="12">
    <w:name w:val="Body Text First Indent 2"/>
    <w:basedOn w:val="7"/>
    <w:link w:val="21"/>
    <w:qFormat/>
    <w:uiPriority w:val="99"/>
    <w:pPr>
      <w:spacing w:after="0" w:line="480" w:lineRule="exact"/>
      <w:ind w:left="0" w:leftChars="0" w:firstLine="420"/>
    </w:pPr>
    <w:rPr>
      <w:rFonts w:ascii="Times New Roman" w:hAnsi="Times New Roman" w:cs="Times New Roman"/>
      <w:color w:val="000000"/>
      <w:sz w:val="28"/>
      <w:szCs w:val="20"/>
      <w:lang w:eastAsia="en-US" w:bidi="en-US"/>
    </w:rPr>
  </w:style>
  <w:style w:type="character" w:styleId="15">
    <w:name w:val="Strong"/>
    <w:qFormat/>
    <w:uiPriority w:val="22"/>
    <w:rPr>
      <w:b/>
      <w:bCs/>
    </w:rPr>
  </w:style>
  <w:style w:type="paragraph" w:customStyle="1" w:styleId="16">
    <w:name w:val="列出段落1"/>
    <w:basedOn w:val="1"/>
    <w:qFormat/>
    <w:uiPriority w:val="99"/>
    <w:pPr>
      <w:widowControl/>
      <w:adjustRightInd w:val="0"/>
      <w:snapToGrid w:val="0"/>
      <w:spacing w:after="200"/>
      <w:ind w:firstLine="420" w:firstLineChars="200"/>
      <w:jc w:val="left"/>
    </w:pPr>
    <w:rPr>
      <w:rFonts w:ascii="Tahoma" w:hAnsi="Tahoma" w:eastAsia="微软雅黑" w:cs="宋体"/>
      <w:kern w:val="0"/>
      <w:sz w:val="22"/>
    </w:rPr>
  </w:style>
  <w:style w:type="paragraph" w:styleId="17">
    <w:name w:val="List Paragraph"/>
    <w:basedOn w:val="1"/>
    <w:qFormat/>
    <w:uiPriority w:val="34"/>
    <w:pPr>
      <w:widowControl/>
      <w:adjustRightInd w:val="0"/>
      <w:snapToGrid w:val="0"/>
      <w:spacing w:after="200"/>
      <w:ind w:firstLine="420" w:firstLineChars="200"/>
      <w:jc w:val="left"/>
    </w:pPr>
    <w:rPr>
      <w:rFonts w:ascii="Tahoma" w:hAnsi="Tahoma" w:eastAsia="微软雅黑" w:cs="宋体"/>
      <w:kern w:val="0"/>
      <w:sz w:val="22"/>
    </w:rPr>
  </w:style>
  <w:style w:type="character" w:customStyle="1" w:styleId="18">
    <w:name w:val="正文文本 Char"/>
    <w:basedOn w:val="14"/>
    <w:link w:val="6"/>
    <w:semiHidden/>
    <w:qFormat/>
    <w:uiPriority w:val="99"/>
    <w:rPr>
      <w:rFonts w:asciiTheme="minorHAnsi" w:hAnsiTheme="minorHAnsi" w:eastAsiaTheme="minorEastAsia" w:cstheme="minorBidi"/>
      <w:kern w:val="2"/>
      <w:sz w:val="21"/>
      <w:szCs w:val="22"/>
    </w:rPr>
  </w:style>
  <w:style w:type="character" w:customStyle="1" w:styleId="19">
    <w:name w:val="正文首行缩进 Char"/>
    <w:basedOn w:val="18"/>
    <w:link w:val="11"/>
    <w:qFormat/>
    <w:uiPriority w:val="0"/>
    <w:rPr>
      <w:rFonts w:asciiTheme="minorHAnsi" w:hAnsiTheme="minorHAnsi" w:eastAsiaTheme="minorEastAsia" w:cstheme="minorBidi"/>
      <w:color w:val="000000"/>
      <w:kern w:val="2"/>
      <w:sz w:val="21"/>
      <w:szCs w:val="22"/>
      <w:lang w:eastAsia="en-US" w:bidi="en-US"/>
    </w:rPr>
  </w:style>
  <w:style w:type="character" w:customStyle="1" w:styleId="20">
    <w:name w:val="正文文本缩进 Char"/>
    <w:basedOn w:val="14"/>
    <w:link w:val="7"/>
    <w:semiHidden/>
    <w:qFormat/>
    <w:uiPriority w:val="99"/>
    <w:rPr>
      <w:rFonts w:asciiTheme="minorHAnsi" w:hAnsiTheme="minorHAnsi" w:eastAsiaTheme="minorEastAsia" w:cstheme="minorBidi"/>
      <w:kern w:val="2"/>
      <w:sz w:val="21"/>
      <w:szCs w:val="22"/>
    </w:rPr>
  </w:style>
  <w:style w:type="character" w:customStyle="1" w:styleId="21">
    <w:name w:val="正文首行缩进 2 Char"/>
    <w:basedOn w:val="20"/>
    <w:link w:val="12"/>
    <w:qFormat/>
    <w:uiPriority w:val="99"/>
    <w:rPr>
      <w:rFonts w:asciiTheme="minorHAnsi" w:hAnsiTheme="minorHAnsi" w:eastAsiaTheme="minorEastAsia" w:cstheme="minorBidi"/>
      <w:color w:val="000000"/>
      <w:kern w:val="2"/>
      <w:sz w:val="28"/>
      <w:szCs w:val="22"/>
      <w:lang w:eastAsia="en-US" w:bidi="en-US"/>
    </w:rPr>
  </w:style>
  <w:style w:type="character" w:customStyle="1" w:styleId="22">
    <w:name w:val="页眉 Char"/>
    <w:basedOn w:val="14"/>
    <w:link w:val="10"/>
    <w:qFormat/>
    <w:uiPriority w:val="0"/>
    <w:rPr>
      <w:rFonts w:asciiTheme="minorHAnsi" w:hAnsiTheme="minorHAnsi" w:eastAsiaTheme="minorEastAsia" w:cstheme="minorBidi"/>
      <w:kern w:val="2"/>
      <w:sz w:val="18"/>
      <w:szCs w:val="18"/>
    </w:rPr>
  </w:style>
  <w:style w:type="character" w:customStyle="1" w:styleId="23">
    <w:name w:val="页脚 Char"/>
    <w:basedOn w:val="14"/>
    <w:link w:val="9"/>
    <w:qFormat/>
    <w:uiPriority w:val="99"/>
    <w:rPr>
      <w:rFonts w:asciiTheme="minorHAnsi" w:hAnsiTheme="minorHAnsi" w:eastAsiaTheme="minorEastAsia" w:cstheme="minorBidi"/>
      <w:kern w:val="2"/>
      <w:sz w:val="18"/>
      <w:szCs w:val="18"/>
    </w:rPr>
  </w:style>
  <w:style w:type="character" w:customStyle="1" w:styleId="24">
    <w:name w:val="批注框文本 Char"/>
    <w:basedOn w:val="14"/>
    <w:link w:val="8"/>
    <w:semiHidden/>
    <w:qFormat/>
    <w:uiPriority w:val="99"/>
    <w:rPr>
      <w:rFonts w:asciiTheme="minorHAnsi" w:hAnsiTheme="minorHAnsi" w:eastAsiaTheme="minorEastAsia" w:cstheme="minorBidi"/>
      <w:kern w:val="2"/>
      <w:sz w:val="18"/>
      <w:szCs w:val="18"/>
    </w:rPr>
  </w:style>
  <w:style w:type="character" w:customStyle="1" w:styleId="25">
    <w:name w:val="font11"/>
    <w:basedOn w:val="14"/>
    <w:qFormat/>
    <w:uiPriority w:val="0"/>
    <w:rPr>
      <w:rFonts w:hint="eastAsia" w:ascii="仿宋_GB2312" w:eastAsia="仿宋_GB2312"/>
      <w:b/>
      <w:bCs/>
      <w:color w:val="000000"/>
      <w:sz w:val="28"/>
      <w:szCs w:val="28"/>
      <w:u w:val="none"/>
    </w:rPr>
  </w:style>
  <w:style w:type="paragraph" w:customStyle="1" w:styleId="26">
    <w:name w:val="Default"/>
    <w:next w:val="5"/>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Company</Company>
  <Pages>4</Pages>
  <Words>1748</Words>
  <Characters>9970</Characters>
  <Lines>83</Lines>
  <Paragraphs>23</Paragraphs>
  <TotalTime>2</TotalTime>
  <ScaleCrop>false</ScaleCrop>
  <LinksUpToDate>false</LinksUpToDate>
  <CharactersWithSpaces>11695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2025-03-08T17:30:00Z</dcterms:created>
  <dc:creator>User</dc:creator>
  <cp:lastModifiedBy>Administrator</cp:lastModifiedBy>
  <cp:lastPrinted>2025-06-11T07:16:25Z</cp:lastPrinted>
  <dcterms:modified xsi:type="dcterms:W3CDTF">2025-06-11T07:16:31Z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3FE2050B551C4B57AE9F08177EC657D7</vt:lpwstr>
  </property>
</Properties>
</file>