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color w:val="auto"/>
          <w:spacing w:val="0"/>
          <w:kern w:val="21"/>
          <w:position w:val="0"/>
          <w:sz w:val="44"/>
          <w:szCs w:val="44"/>
        </w:rPr>
      </w:pPr>
      <w:r>
        <w:rPr>
          <w:rFonts w:hint="eastAsia" w:ascii="方正小标宋简体" w:hAnsi="方正小标宋简体" w:eastAsia="方正小标宋简体" w:cs="方正小标宋简体"/>
          <w:b w:val="0"/>
          <w:bCs/>
          <w:color w:val="auto"/>
          <w:spacing w:val="0"/>
          <w:kern w:val="21"/>
          <w:position w:val="0"/>
          <w:sz w:val="44"/>
          <w:szCs w:val="44"/>
          <w:lang w:eastAsia="zh-CN"/>
        </w:rPr>
        <w:t>温州市人民政府</w:t>
      </w:r>
      <w:r>
        <w:rPr>
          <w:rFonts w:hint="eastAsia" w:ascii="方正小标宋简体" w:hAnsi="方正小标宋简体" w:eastAsia="方正小标宋简体" w:cs="方正小标宋简体"/>
          <w:b w:val="0"/>
          <w:bCs/>
          <w:color w:val="auto"/>
          <w:spacing w:val="0"/>
          <w:kern w:val="21"/>
          <w:position w:val="0"/>
          <w:sz w:val="44"/>
          <w:szCs w:val="44"/>
        </w:rPr>
        <w:t>关于进一步</w:t>
      </w:r>
      <w:r>
        <w:rPr>
          <w:rFonts w:hint="eastAsia" w:ascii="方正小标宋简体" w:hAnsi="方正小标宋简体" w:eastAsia="方正小标宋简体" w:cs="方正小标宋简体"/>
          <w:b w:val="0"/>
          <w:bCs/>
          <w:color w:val="auto"/>
          <w:spacing w:val="0"/>
          <w:kern w:val="21"/>
          <w:position w:val="0"/>
          <w:sz w:val="44"/>
          <w:szCs w:val="44"/>
          <w:lang w:eastAsia="zh-CN"/>
        </w:rPr>
        <w:t>推动</w:t>
      </w:r>
      <w:r>
        <w:rPr>
          <w:rFonts w:hint="eastAsia" w:ascii="方正小标宋简体" w:hAnsi="方正小标宋简体" w:eastAsia="方正小标宋简体" w:cs="方正小标宋简体"/>
          <w:b w:val="0"/>
          <w:bCs/>
          <w:color w:val="auto"/>
          <w:spacing w:val="0"/>
          <w:kern w:val="21"/>
          <w:position w:val="0"/>
          <w:sz w:val="44"/>
          <w:szCs w:val="44"/>
        </w:rPr>
        <w:t>招标投标</w:t>
      </w:r>
      <w:r>
        <w:rPr>
          <w:rFonts w:hint="eastAsia" w:ascii="方正小标宋简体" w:hAnsi="方正小标宋简体" w:eastAsia="方正小标宋简体" w:cs="方正小标宋简体"/>
          <w:b w:val="0"/>
          <w:bCs/>
          <w:color w:val="auto"/>
          <w:spacing w:val="0"/>
          <w:kern w:val="21"/>
          <w:position w:val="0"/>
          <w:sz w:val="44"/>
          <w:szCs w:val="44"/>
          <w:lang w:eastAsia="zh-CN"/>
        </w:rPr>
        <w:t>市场规范有序</w:t>
      </w:r>
      <w:bookmarkStart w:id="0" w:name="_GoBack"/>
      <w:bookmarkEnd w:id="0"/>
      <w:r>
        <w:rPr>
          <w:rFonts w:hint="eastAsia" w:ascii="方正小标宋简体" w:hAnsi="方正小标宋简体" w:eastAsia="方正小标宋简体" w:cs="方正小标宋简体"/>
          <w:b w:val="0"/>
          <w:bCs/>
          <w:color w:val="auto"/>
          <w:spacing w:val="0"/>
          <w:kern w:val="21"/>
          <w:position w:val="0"/>
          <w:sz w:val="44"/>
          <w:szCs w:val="44"/>
          <w:lang w:eastAsia="zh-CN"/>
        </w:rPr>
        <w:t>发展</w:t>
      </w:r>
      <w:r>
        <w:rPr>
          <w:rFonts w:hint="eastAsia" w:ascii="方正小标宋简体" w:hAnsi="方正小标宋简体" w:eastAsia="方正小标宋简体" w:cs="方正小标宋简体"/>
          <w:b w:val="0"/>
          <w:bCs/>
          <w:color w:val="auto"/>
          <w:spacing w:val="0"/>
          <w:kern w:val="21"/>
          <w:position w:val="0"/>
          <w:sz w:val="44"/>
          <w:szCs w:val="44"/>
        </w:rPr>
        <w:t>的意见</w:t>
      </w:r>
    </w:p>
    <w:p>
      <w:pPr>
        <w:keepNext w:val="0"/>
        <w:keepLines w:val="0"/>
        <w:pageBreakBefore w:val="0"/>
        <w:widowControl w:val="0"/>
        <w:kinsoku/>
        <w:wordWrap/>
        <w:overflowPunct/>
        <w:topLinePunct w:val="0"/>
        <w:autoSpaceDE w:val="0"/>
        <w:autoSpaceDN/>
        <w:bidi w:val="0"/>
        <w:adjustRightInd w:val="0"/>
        <w:snapToGrid w:val="0"/>
        <w:spacing w:line="560" w:lineRule="exact"/>
        <w:ind w:right="0"/>
        <w:jc w:val="center"/>
        <w:textAlignment w:val="baseline"/>
        <w:rPr>
          <w:rFonts w:hint="eastAsia" w:ascii="楷体_GB2312" w:hAnsi="楷体_GB2312" w:eastAsia="楷体_GB2312" w:cs="楷体_GB2312"/>
          <w:b w:val="0"/>
          <w:bCs/>
          <w:color w:val="auto"/>
          <w:spacing w:val="0"/>
          <w:kern w:val="21"/>
          <w:position w:val="0"/>
          <w:sz w:val="32"/>
          <w:szCs w:val="32"/>
          <w:lang w:eastAsia="zh-CN"/>
        </w:rPr>
      </w:pPr>
      <w:r>
        <w:rPr>
          <w:rFonts w:hint="eastAsia" w:ascii="楷体_GB2312" w:hAnsi="楷体_GB2312" w:eastAsia="楷体_GB2312" w:cs="楷体_GB2312"/>
          <w:b w:val="0"/>
          <w:bCs/>
          <w:color w:val="auto"/>
          <w:spacing w:val="0"/>
          <w:kern w:val="21"/>
          <w:position w:val="0"/>
          <w:sz w:val="32"/>
          <w:szCs w:val="32"/>
          <w:lang w:eastAsia="zh-CN"/>
        </w:rPr>
        <w:t>（</w:t>
      </w:r>
      <w:r>
        <w:rPr>
          <w:rFonts w:hint="eastAsia" w:ascii="楷体_GB2312" w:hAnsi="楷体_GB2312" w:eastAsia="楷体_GB2312" w:cs="楷体_GB2312"/>
          <w:b w:val="0"/>
          <w:bCs/>
          <w:color w:val="auto"/>
          <w:spacing w:val="0"/>
          <w:kern w:val="21"/>
          <w:position w:val="0"/>
          <w:sz w:val="32"/>
          <w:szCs w:val="32"/>
          <w:lang w:val="en-US" w:eastAsia="zh-CN"/>
        </w:rPr>
        <w:t>征求意见稿</w:t>
      </w:r>
      <w:r>
        <w:rPr>
          <w:rFonts w:hint="eastAsia" w:ascii="楷体_GB2312" w:hAnsi="楷体_GB2312" w:eastAsia="楷体_GB2312" w:cs="楷体_GB2312"/>
          <w:b w:val="0"/>
          <w:bCs/>
          <w:color w:val="auto"/>
          <w:spacing w:val="0"/>
          <w:kern w:val="21"/>
          <w:position w:val="0"/>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right="0" w:firstLine="0" w:firstLineChars="0"/>
        <w:jc w:val="both"/>
        <w:textAlignment w:val="baseline"/>
        <w:rPr>
          <w:rFonts w:hint="eastAsia" w:ascii="仿宋_GB2312" w:hAnsi="仿宋_GB2312" w:eastAsia="仿宋_GB2312" w:cs="仿宋_GB2312"/>
          <w:b w:val="0"/>
          <w:color w:val="auto"/>
          <w:spacing w:val="0"/>
          <w:kern w:val="21"/>
          <w:position w:val="0"/>
          <w:sz w:val="44"/>
          <w:szCs w:val="44"/>
        </w:rPr>
      </w:pPr>
    </w:p>
    <w:p>
      <w:pPr>
        <w:pStyle w:val="3"/>
        <w:keepNext w:val="0"/>
        <w:keepLines w:val="0"/>
        <w:pageBreakBefore w:val="0"/>
        <w:widowControl w:val="0"/>
        <w:kinsoku/>
        <w:wordWrap/>
        <w:overflowPunct w:val="0"/>
        <w:topLinePunct/>
        <w:autoSpaceDE/>
        <w:autoSpaceDN/>
        <w:bidi w:val="0"/>
        <w:adjustRightInd w:val="0"/>
        <w:snapToGrid w:val="0"/>
        <w:spacing w:line="560" w:lineRule="exact"/>
        <w:ind w:right="0"/>
        <w:jc w:val="both"/>
        <w:textAlignment w:val="baseline"/>
        <w:rPr>
          <w:rFonts w:hint="eastAsia" w:ascii="仿宋_GB2312" w:hAnsi="仿宋_GB2312" w:eastAsia="仿宋_GB2312" w:cs="仿宋_GB2312"/>
          <w:b w:val="0"/>
          <w:snapToGrid/>
          <w:color w:val="auto"/>
          <w:spacing w:val="0"/>
          <w:kern w:val="21"/>
          <w:position w:val="0"/>
          <w:sz w:val="32"/>
          <w:szCs w:val="32"/>
        </w:rPr>
      </w:pPr>
      <w:r>
        <w:rPr>
          <w:rFonts w:hint="eastAsia" w:ascii="仿宋_GB2312" w:hAnsi="仿宋_GB2312" w:eastAsia="仿宋_GB2312" w:cs="仿宋_GB2312"/>
          <w:b w:val="0"/>
          <w:snapToGrid/>
          <w:color w:val="auto"/>
          <w:spacing w:val="0"/>
          <w:kern w:val="21"/>
          <w:position w:val="0"/>
          <w:sz w:val="32"/>
          <w:szCs w:val="32"/>
        </w:rPr>
        <w:t>各县（市、区）人民政府，市政府直属各单位：</w:t>
      </w:r>
    </w:p>
    <w:p>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eastAsia="zh-CN"/>
        </w:rPr>
      </w:pPr>
      <w:r>
        <w:rPr>
          <w:rFonts w:hint="eastAsia" w:ascii="仿宋_GB2312" w:hAnsi="仿宋_GB2312" w:eastAsia="仿宋_GB2312" w:cs="仿宋_GB2312"/>
          <w:b w:val="0"/>
          <w:snapToGrid/>
          <w:color w:val="auto"/>
          <w:spacing w:val="0"/>
          <w:kern w:val="21"/>
          <w:position w:val="0"/>
          <w:sz w:val="32"/>
          <w:szCs w:val="32"/>
          <w:lang w:eastAsia="zh-CN"/>
        </w:rPr>
        <w:t>为</w:t>
      </w:r>
      <w:r>
        <w:rPr>
          <w:rFonts w:hint="eastAsia" w:ascii="仿宋_GB2312" w:hAnsi="仿宋_GB2312" w:eastAsia="仿宋_GB2312" w:cs="仿宋_GB2312"/>
          <w:b w:val="0"/>
          <w:snapToGrid/>
          <w:color w:val="auto"/>
          <w:spacing w:val="0"/>
          <w:kern w:val="21"/>
          <w:position w:val="0"/>
          <w:sz w:val="32"/>
          <w:szCs w:val="32"/>
          <w:lang w:val="en-US" w:eastAsia="zh-CN"/>
        </w:rPr>
        <w:t>贯彻《中华人民共和国招标投标法》及其实施条例，</w:t>
      </w:r>
      <w:r>
        <w:rPr>
          <w:rFonts w:hint="eastAsia" w:ascii="仿宋_GB2312" w:hAnsi="仿宋_GB2312" w:eastAsia="仿宋_GB2312" w:cs="仿宋_GB2312"/>
          <w:b w:val="0"/>
          <w:snapToGrid/>
          <w:color w:val="auto"/>
          <w:spacing w:val="0"/>
          <w:kern w:val="21"/>
          <w:position w:val="0"/>
          <w:sz w:val="32"/>
          <w:szCs w:val="32"/>
          <w:lang w:eastAsia="zh-CN"/>
        </w:rPr>
        <w:t>落实</w:t>
      </w:r>
      <w:r>
        <w:rPr>
          <w:rFonts w:hint="eastAsia" w:ascii="仿宋_GB2312" w:hAnsi="仿宋_GB2312" w:eastAsia="仿宋_GB2312" w:cs="仿宋_GB2312"/>
          <w:b w:val="0"/>
          <w:snapToGrid/>
          <w:color w:val="auto"/>
          <w:spacing w:val="0"/>
          <w:kern w:val="21"/>
          <w:position w:val="0"/>
          <w:sz w:val="32"/>
          <w:szCs w:val="32"/>
        </w:rPr>
        <w:t>《国务院办公厅关于创新完善体制机制推动招标投标市场规范健康发展的意见》（</w:t>
      </w:r>
      <w:r>
        <w:rPr>
          <w:rFonts w:hint="eastAsia" w:ascii="仿宋_GB2312" w:hAnsi="仿宋_GB2312" w:eastAsia="仿宋_GB2312" w:cs="仿宋_GB2312"/>
          <w:b w:val="0"/>
          <w:snapToGrid/>
          <w:color w:val="auto"/>
          <w:spacing w:val="0"/>
          <w:kern w:val="21"/>
          <w:position w:val="0"/>
          <w:sz w:val="32"/>
          <w:szCs w:val="32"/>
          <w:lang w:eastAsia="zh-CN"/>
        </w:rPr>
        <w:t>国办发</w:t>
      </w:r>
      <w:r>
        <w:rPr>
          <w:rFonts w:hint="eastAsia" w:ascii="仿宋_GB2312" w:hAnsi="仿宋_GB2312" w:eastAsia="仿宋_GB2312" w:cs="仿宋_GB2312"/>
          <w:b w:val="0"/>
          <w:snapToGrid/>
          <w:color w:val="auto"/>
          <w:spacing w:val="0"/>
          <w:kern w:val="21"/>
          <w:position w:val="0"/>
          <w:sz w:val="32"/>
          <w:szCs w:val="32"/>
        </w:rPr>
        <w:t>〔202</w:t>
      </w:r>
      <w:r>
        <w:rPr>
          <w:rFonts w:hint="eastAsia" w:ascii="仿宋_GB2312" w:hAnsi="仿宋_GB2312" w:eastAsia="仿宋_GB2312" w:cs="仿宋_GB2312"/>
          <w:b w:val="0"/>
          <w:snapToGrid/>
          <w:color w:val="auto"/>
          <w:spacing w:val="0"/>
          <w:kern w:val="21"/>
          <w:position w:val="0"/>
          <w:sz w:val="32"/>
          <w:szCs w:val="32"/>
          <w:lang w:val="en-US" w:eastAsia="zh-CN"/>
        </w:rPr>
        <w:t>4</w:t>
      </w:r>
      <w:r>
        <w:rPr>
          <w:rFonts w:hint="eastAsia" w:ascii="仿宋_GB2312" w:hAnsi="仿宋_GB2312" w:eastAsia="仿宋_GB2312" w:cs="仿宋_GB2312"/>
          <w:b w:val="0"/>
          <w:snapToGrid/>
          <w:color w:val="auto"/>
          <w:spacing w:val="0"/>
          <w:kern w:val="21"/>
          <w:position w:val="0"/>
          <w:sz w:val="32"/>
          <w:szCs w:val="32"/>
        </w:rPr>
        <w:t>〕</w:t>
      </w:r>
      <w:r>
        <w:rPr>
          <w:rFonts w:hint="eastAsia" w:ascii="仿宋_GB2312" w:hAnsi="仿宋_GB2312" w:eastAsia="仿宋_GB2312" w:cs="仿宋_GB2312"/>
          <w:b w:val="0"/>
          <w:snapToGrid/>
          <w:color w:val="auto"/>
          <w:spacing w:val="0"/>
          <w:kern w:val="21"/>
          <w:position w:val="0"/>
          <w:sz w:val="32"/>
          <w:szCs w:val="32"/>
          <w:lang w:val="en-US" w:eastAsia="zh-CN"/>
        </w:rPr>
        <w:t>21</w:t>
      </w:r>
      <w:r>
        <w:rPr>
          <w:rFonts w:hint="eastAsia" w:ascii="仿宋_GB2312" w:hAnsi="仿宋_GB2312" w:eastAsia="仿宋_GB2312" w:cs="仿宋_GB2312"/>
          <w:b w:val="0"/>
          <w:snapToGrid/>
          <w:color w:val="auto"/>
          <w:spacing w:val="0"/>
          <w:kern w:val="21"/>
          <w:position w:val="0"/>
          <w:sz w:val="32"/>
          <w:szCs w:val="32"/>
        </w:rPr>
        <w:t>号）</w:t>
      </w:r>
      <w:r>
        <w:rPr>
          <w:rFonts w:hint="eastAsia" w:ascii="仿宋_GB2312" w:hAnsi="仿宋_GB2312" w:eastAsia="仿宋_GB2312" w:cs="仿宋_GB2312"/>
          <w:b w:val="0"/>
          <w:snapToGrid/>
          <w:color w:val="auto"/>
          <w:spacing w:val="0"/>
          <w:kern w:val="21"/>
          <w:position w:val="0"/>
          <w:sz w:val="32"/>
          <w:szCs w:val="32"/>
          <w:lang w:eastAsia="zh-CN"/>
        </w:rPr>
        <w:t>、</w:t>
      </w:r>
      <w:r>
        <w:rPr>
          <w:rFonts w:hint="eastAsia" w:ascii="仿宋_GB2312" w:hAnsi="仿宋_GB2312" w:eastAsia="仿宋_GB2312" w:cs="仿宋_GB2312"/>
          <w:b w:val="0"/>
          <w:snapToGrid/>
          <w:color w:val="auto"/>
          <w:spacing w:val="0"/>
          <w:kern w:val="21"/>
          <w:position w:val="0"/>
          <w:sz w:val="32"/>
          <w:szCs w:val="32"/>
        </w:rPr>
        <w:t>《</w:t>
      </w:r>
      <w:r>
        <w:rPr>
          <w:rFonts w:hint="eastAsia" w:ascii="仿宋_GB2312" w:hAnsi="仿宋_GB2312" w:eastAsia="仿宋_GB2312" w:cs="仿宋_GB2312"/>
          <w:b w:val="0"/>
          <w:snapToGrid/>
          <w:color w:val="auto"/>
          <w:spacing w:val="0"/>
          <w:kern w:val="21"/>
          <w:position w:val="0"/>
          <w:sz w:val="32"/>
          <w:szCs w:val="32"/>
          <w:lang w:eastAsia="zh-CN"/>
        </w:rPr>
        <w:t>浙江省人民政府关于进一步构建规范有序招标投标市场的若干意见</w:t>
      </w:r>
      <w:r>
        <w:rPr>
          <w:rFonts w:hint="eastAsia" w:ascii="仿宋_GB2312" w:hAnsi="仿宋_GB2312" w:eastAsia="仿宋_GB2312" w:cs="仿宋_GB2312"/>
          <w:b w:val="0"/>
          <w:snapToGrid/>
          <w:color w:val="auto"/>
          <w:spacing w:val="0"/>
          <w:kern w:val="21"/>
          <w:position w:val="0"/>
          <w:sz w:val="32"/>
          <w:szCs w:val="32"/>
        </w:rPr>
        <w:t>》（</w:t>
      </w:r>
      <w:r>
        <w:rPr>
          <w:rFonts w:hint="eastAsia" w:ascii="仿宋_GB2312" w:hAnsi="仿宋_GB2312" w:eastAsia="仿宋_GB2312" w:cs="仿宋_GB2312"/>
          <w:b w:val="0"/>
          <w:snapToGrid/>
          <w:color w:val="auto"/>
          <w:spacing w:val="0"/>
          <w:kern w:val="21"/>
          <w:position w:val="0"/>
          <w:sz w:val="32"/>
          <w:szCs w:val="32"/>
          <w:lang w:eastAsia="zh-CN"/>
        </w:rPr>
        <w:t>浙政发</w:t>
      </w:r>
      <w:r>
        <w:rPr>
          <w:rFonts w:hint="eastAsia" w:ascii="仿宋_GB2312" w:hAnsi="仿宋_GB2312" w:eastAsia="仿宋_GB2312" w:cs="仿宋_GB2312"/>
          <w:b w:val="0"/>
          <w:snapToGrid/>
          <w:color w:val="auto"/>
          <w:spacing w:val="0"/>
          <w:kern w:val="21"/>
          <w:position w:val="0"/>
          <w:sz w:val="32"/>
          <w:szCs w:val="32"/>
        </w:rPr>
        <w:t>〔20</w:t>
      </w:r>
      <w:r>
        <w:rPr>
          <w:rFonts w:hint="eastAsia" w:ascii="仿宋_GB2312" w:hAnsi="仿宋_GB2312" w:eastAsia="仿宋_GB2312" w:cs="仿宋_GB2312"/>
          <w:b w:val="0"/>
          <w:snapToGrid/>
          <w:color w:val="auto"/>
          <w:spacing w:val="0"/>
          <w:kern w:val="21"/>
          <w:position w:val="0"/>
          <w:sz w:val="32"/>
          <w:szCs w:val="32"/>
          <w:lang w:val="en-US" w:eastAsia="zh-CN"/>
        </w:rPr>
        <w:t>24</w:t>
      </w:r>
      <w:r>
        <w:rPr>
          <w:rFonts w:hint="eastAsia" w:ascii="仿宋_GB2312" w:hAnsi="仿宋_GB2312" w:eastAsia="仿宋_GB2312" w:cs="仿宋_GB2312"/>
          <w:b w:val="0"/>
          <w:snapToGrid/>
          <w:color w:val="auto"/>
          <w:spacing w:val="0"/>
          <w:kern w:val="21"/>
          <w:position w:val="0"/>
          <w:sz w:val="32"/>
          <w:szCs w:val="32"/>
        </w:rPr>
        <w:t>〕</w:t>
      </w:r>
      <w:r>
        <w:rPr>
          <w:rFonts w:hint="eastAsia" w:ascii="仿宋_GB2312" w:hAnsi="仿宋_GB2312" w:eastAsia="仿宋_GB2312" w:cs="仿宋_GB2312"/>
          <w:b w:val="0"/>
          <w:snapToGrid/>
          <w:color w:val="auto"/>
          <w:spacing w:val="0"/>
          <w:kern w:val="21"/>
          <w:position w:val="0"/>
          <w:sz w:val="32"/>
          <w:szCs w:val="32"/>
          <w:lang w:val="en-US" w:eastAsia="zh-CN"/>
        </w:rPr>
        <w:t>17</w:t>
      </w:r>
      <w:r>
        <w:rPr>
          <w:rFonts w:hint="eastAsia" w:ascii="仿宋_GB2312" w:hAnsi="仿宋_GB2312" w:eastAsia="仿宋_GB2312" w:cs="仿宋_GB2312"/>
          <w:b w:val="0"/>
          <w:snapToGrid/>
          <w:color w:val="auto"/>
          <w:spacing w:val="0"/>
          <w:kern w:val="21"/>
          <w:position w:val="0"/>
          <w:sz w:val="32"/>
          <w:szCs w:val="32"/>
        </w:rPr>
        <w:t>号）等文件精神，</w:t>
      </w:r>
      <w:r>
        <w:rPr>
          <w:rFonts w:hint="eastAsia" w:ascii="仿宋_GB2312" w:hAnsi="仿宋_GB2312" w:eastAsia="仿宋_GB2312" w:cs="仿宋_GB2312"/>
          <w:b w:val="0"/>
          <w:snapToGrid/>
          <w:color w:val="auto"/>
          <w:spacing w:val="0"/>
          <w:kern w:val="21"/>
          <w:position w:val="0"/>
          <w:sz w:val="32"/>
          <w:szCs w:val="32"/>
          <w:lang w:eastAsia="zh-CN"/>
        </w:rPr>
        <w:t>进一步</w:t>
      </w:r>
      <w:r>
        <w:rPr>
          <w:rFonts w:hint="eastAsia" w:ascii="Times New Roman" w:hAnsi="Times New Roman" w:eastAsia="仿宋_GB2312" w:cs="Times New Roman"/>
          <w:b w:val="0"/>
          <w:bCs w:val="0"/>
          <w:snapToGrid/>
          <w:color w:val="auto"/>
          <w:spacing w:val="0"/>
          <w:kern w:val="21"/>
          <w:sz w:val="32"/>
          <w:szCs w:val="32"/>
          <w:lang w:val="en-US" w:eastAsia="zh-CN" w:bidi="ar-SA"/>
        </w:rPr>
        <w:t>优化提升我市招标投标领域营商环境，加快构建高效规范、公平竞争、充分开放、健康有序的招标投标市场，</w:t>
      </w:r>
      <w:r>
        <w:rPr>
          <w:rFonts w:hint="eastAsia" w:ascii="仿宋_GB2312" w:hAnsi="仿宋_GB2312" w:eastAsia="仿宋_GB2312" w:cs="仿宋_GB2312"/>
          <w:b w:val="0"/>
          <w:snapToGrid/>
          <w:color w:val="auto"/>
          <w:spacing w:val="0"/>
          <w:kern w:val="21"/>
          <w:position w:val="0"/>
          <w:sz w:val="32"/>
          <w:szCs w:val="32"/>
        </w:rPr>
        <w:t>提出</w:t>
      </w:r>
      <w:r>
        <w:rPr>
          <w:rFonts w:hint="eastAsia" w:ascii="仿宋_GB2312" w:hAnsi="仿宋_GB2312" w:eastAsia="仿宋_GB2312" w:cs="仿宋_GB2312"/>
          <w:b w:val="0"/>
          <w:snapToGrid/>
          <w:color w:val="auto"/>
          <w:spacing w:val="0"/>
          <w:kern w:val="21"/>
          <w:position w:val="0"/>
          <w:sz w:val="32"/>
          <w:szCs w:val="32"/>
          <w:lang w:eastAsia="zh-CN"/>
        </w:rPr>
        <w:t>以</w:t>
      </w:r>
      <w:r>
        <w:rPr>
          <w:rFonts w:hint="eastAsia" w:ascii="仿宋_GB2312" w:hAnsi="仿宋_GB2312" w:eastAsia="仿宋_GB2312" w:cs="仿宋_GB2312"/>
          <w:b w:val="0"/>
          <w:snapToGrid/>
          <w:color w:val="auto"/>
          <w:spacing w:val="0"/>
          <w:kern w:val="21"/>
          <w:position w:val="0"/>
          <w:sz w:val="32"/>
          <w:szCs w:val="32"/>
        </w:rPr>
        <w:t>下意见</w:t>
      </w:r>
      <w:r>
        <w:rPr>
          <w:rFonts w:hint="eastAsia" w:ascii="仿宋_GB2312" w:hAnsi="仿宋_GB2312" w:eastAsia="仿宋_GB2312" w:cs="仿宋_GB2312"/>
          <w:b w:val="0"/>
          <w:snapToGrid/>
          <w:color w:val="auto"/>
          <w:spacing w:val="0"/>
          <w:kern w:val="21"/>
          <w:position w:val="0"/>
          <w:sz w:val="32"/>
          <w:szCs w:val="32"/>
          <w:lang w:eastAsia="zh-CN"/>
        </w:rPr>
        <w:t>：</w:t>
      </w:r>
    </w:p>
    <w:p>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US" w:eastAsia="zh-CN" w:bidi="ar-SA"/>
        </w:rPr>
      </w:pPr>
      <w:r>
        <w:rPr>
          <w:rFonts w:hint="eastAsia" w:ascii="黑体" w:hAnsi="黑体" w:eastAsia="黑体" w:cs="黑体"/>
          <w:b w:val="0"/>
          <w:snapToGrid/>
          <w:color w:val="auto"/>
          <w:spacing w:val="0"/>
          <w:kern w:val="21"/>
          <w:position w:val="0"/>
          <w:sz w:val="32"/>
          <w:szCs w:val="32"/>
          <w:lang w:eastAsia="zh-CN"/>
        </w:rPr>
        <w:t>一、厘清职责权属，完善招标投标监管体制机制。</w:t>
      </w:r>
    </w:p>
    <w:p>
      <w:pPr>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u w:val="none"/>
          <w:lang w:val="en-US" w:eastAsia="zh-CN" w:bidi="ar-SA"/>
        </w:rPr>
      </w:pPr>
      <w:r>
        <w:rPr>
          <w:rFonts w:hint="eastAsia" w:ascii="楷体_GB2312" w:hAnsi="楷体_GB2312" w:eastAsia="楷体_GB2312" w:cs="楷体_GB2312"/>
          <w:b w:val="0"/>
          <w:snapToGrid/>
          <w:color w:val="auto"/>
          <w:spacing w:val="0"/>
          <w:kern w:val="21"/>
          <w:position w:val="0"/>
          <w:sz w:val="32"/>
          <w:szCs w:val="32"/>
          <w:lang w:val="en-US" w:eastAsia="zh-CN" w:bidi="ar-SA"/>
        </w:rPr>
        <w:t>（一）进一步明确职责分工。</w:t>
      </w:r>
      <w:r>
        <w:rPr>
          <w:rFonts w:hint="eastAsia" w:ascii="仿宋_GB2312" w:hAnsi="仿宋_GB2312" w:eastAsia="仿宋_GB2312" w:cs="仿宋_GB2312"/>
          <w:b w:val="0"/>
          <w:snapToGrid/>
          <w:color w:val="auto"/>
          <w:spacing w:val="0"/>
          <w:kern w:val="21"/>
          <w:position w:val="0"/>
          <w:sz w:val="32"/>
          <w:szCs w:val="32"/>
          <w:lang w:val="en-US" w:eastAsia="zh-CN" w:bidi="ar-SA"/>
        </w:rPr>
        <w:t>建立综合监管与行业监管相结合的协同机制，市政务服务局负责全市招标投标综合指导协调以及市本级招标投标综合监管工作，组织制定招标投标综合性政策。市</w:t>
      </w:r>
      <w:r>
        <w:rPr>
          <w:rFonts w:hint="eastAsia" w:ascii="仿宋_GB2312" w:hAnsi="仿宋_GB2312" w:eastAsia="仿宋_GB2312" w:cs="仿宋_GB2312"/>
          <w:b w:val="0"/>
          <w:snapToGrid/>
          <w:color w:val="auto"/>
          <w:spacing w:val="0"/>
          <w:kern w:val="21"/>
          <w:position w:val="0"/>
          <w:sz w:val="32"/>
          <w:szCs w:val="32"/>
          <w:u w:val="none"/>
          <w:lang w:val="en-US" w:eastAsia="zh-CN" w:bidi="ar-SA"/>
        </w:rPr>
        <w:t>级发改、经信、资规、住建、交通运输、水利、农业农村、商务等行业行政主管部门负责本行业（领域）招标投标工作，按权限监督管理具体招标投标活动，处理投诉和举报，依法查处违法违规行为。县级以上地方政府应加强对本地招标投标工作的领导，结合工作实际理顺地方监管体制机制，明确本级负责招标投标工作的综合指导协调和综合监管部门以及各行业（领域）招标投标活动的具体行政监督部门，落实好市级有关部门的监管要求。</w:t>
      </w:r>
    </w:p>
    <w:p>
      <w:pPr>
        <w:keepNext w:val="0"/>
        <w:keepLines w:val="0"/>
        <w:pageBreakBefore w:val="0"/>
        <w:widowControl w:val="0"/>
        <w:numPr>
          <w:ilvl w:val="0"/>
          <w:numId w:val="0"/>
        </w:numPr>
        <w:suppressLineNumbers w:val="0"/>
        <w:kinsoku/>
        <w:wordWrap/>
        <w:overflowPunct w:val="0"/>
        <w:topLinePunct/>
        <w:autoSpaceDE/>
        <w:autoSpaceDN/>
        <w:bidi w:val="0"/>
        <w:spacing w:line="560" w:lineRule="exact"/>
        <w:ind w:firstLine="640" w:firstLineChars="200"/>
        <w:jc w:val="both"/>
        <w:rPr>
          <w:rFonts w:hint="eastAsia" w:ascii="仿宋_GB2312" w:hAnsi="仿宋_GB2312" w:eastAsia="仿宋_GB2312" w:cs="仿宋_GB2312"/>
          <w:b w:val="0"/>
          <w:bCs w:val="0"/>
          <w:snapToGrid/>
          <w:color w:val="auto"/>
          <w:spacing w:val="0"/>
          <w:kern w:val="21"/>
          <w:sz w:val="32"/>
          <w:szCs w:val="32"/>
          <w:u w:val="none"/>
          <w:lang w:val="en-US" w:eastAsia="zh-CN" w:bidi="ar-SA"/>
        </w:rPr>
      </w:pPr>
      <w:r>
        <w:rPr>
          <w:rFonts w:hint="eastAsia" w:ascii="楷体_GB2312" w:hAnsi="楷体_GB2312" w:eastAsia="楷体_GB2312" w:cs="楷体_GB2312"/>
          <w:b w:val="0"/>
          <w:snapToGrid/>
          <w:color w:val="auto"/>
          <w:spacing w:val="0"/>
          <w:kern w:val="21"/>
          <w:position w:val="0"/>
          <w:sz w:val="32"/>
          <w:szCs w:val="32"/>
          <w:u w:val="none"/>
          <w:lang w:val="en-US" w:eastAsia="zh-CN" w:bidi="ar-SA"/>
        </w:rPr>
        <w:t>（二）进一步明确省重大建设项目的服务与监管。</w:t>
      </w:r>
      <w:r>
        <w:rPr>
          <w:rFonts w:hint="eastAsia" w:ascii="仿宋_GB2312" w:hAnsi="仿宋_GB2312" w:eastAsia="仿宋_GB2312" w:cs="仿宋_GB2312"/>
          <w:b w:val="0"/>
          <w:bCs w:val="0"/>
          <w:snapToGrid/>
          <w:color w:val="auto"/>
          <w:spacing w:val="0"/>
          <w:kern w:val="21"/>
          <w:sz w:val="32"/>
          <w:szCs w:val="32"/>
          <w:u w:val="none"/>
          <w:lang w:val="en-US" w:eastAsia="zh-CN" w:bidi="ar-SA"/>
        </w:rPr>
        <w:t>按照项目立项属地管理原则，统一进入相应属地的公共资源交易平台交易，由属地的行政监督部门实施监督管理。具体明确如下：</w:t>
      </w:r>
    </w:p>
    <w:p>
      <w:pPr>
        <w:keepNext w:val="0"/>
        <w:keepLines w:val="0"/>
        <w:pageBreakBefore w:val="0"/>
        <w:widowControl w:val="0"/>
        <w:numPr>
          <w:ilvl w:val="0"/>
          <w:numId w:val="0"/>
        </w:numPr>
        <w:suppressLineNumbers w:val="0"/>
        <w:kinsoku/>
        <w:wordWrap/>
        <w:overflowPunct w:val="0"/>
        <w:topLinePunct/>
        <w:autoSpaceDE/>
        <w:autoSpaceDN/>
        <w:bidi w:val="0"/>
        <w:spacing w:line="560" w:lineRule="exact"/>
        <w:ind w:firstLine="640" w:firstLineChars="200"/>
        <w:jc w:val="both"/>
        <w:rPr>
          <w:rFonts w:hint="eastAsia" w:ascii="仿宋_GB2312" w:hAnsi="仿宋_GB2312" w:eastAsia="仿宋_GB2312" w:cs="仿宋_GB2312"/>
          <w:b w:val="0"/>
          <w:bCs w:val="0"/>
          <w:snapToGrid/>
          <w:color w:val="auto"/>
          <w:spacing w:val="0"/>
          <w:kern w:val="21"/>
          <w:sz w:val="32"/>
          <w:szCs w:val="32"/>
          <w:u w:val="none"/>
          <w:lang w:val="en-US" w:eastAsia="zh-CN" w:bidi="ar-SA"/>
        </w:rPr>
      </w:pPr>
      <w:r>
        <w:rPr>
          <w:rFonts w:hint="eastAsia" w:ascii="仿宋_GB2312" w:hAnsi="仿宋_GB2312" w:eastAsia="仿宋_GB2312" w:cs="仿宋_GB2312"/>
          <w:b w:val="0"/>
          <w:bCs w:val="0"/>
          <w:snapToGrid/>
          <w:color w:val="auto"/>
          <w:spacing w:val="0"/>
          <w:kern w:val="21"/>
          <w:sz w:val="32"/>
          <w:szCs w:val="32"/>
          <w:u w:val="none"/>
          <w:lang w:val="en-US" w:eastAsia="zh-CN" w:bidi="ar-SA"/>
        </w:rPr>
        <w:t>1.温州市住建局负责市级财政出资的房屋建筑和市政基础设施工程的招标投标有关工作。</w:t>
      </w:r>
    </w:p>
    <w:p>
      <w:pPr>
        <w:keepNext w:val="0"/>
        <w:keepLines w:val="0"/>
        <w:pageBreakBefore w:val="0"/>
        <w:widowControl w:val="0"/>
        <w:numPr>
          <w:ilvl w:val="0"/>
          <w:numId w:val="0"/>
        </w:numPr>
        <w:suppressLineNumbers w:val="0"/>
        <w:kinsoku/>
        <w:wordWrap/>
        <w:overflowPunct w:val="0"/>
        <w:topLinePunct/>
        <w:autoSpaceDE/>
        <w:autoSpaceDN/>
        <w:bidi w:val="0"/>
        <w:spacing w:line="560" w:lineRule="exact"/>
        <w:ind w:firstLine="640" w:firstLineChars="200"/>
        <w:jc w:val="both"/>
        <w:rPr>
          <w:rFonts w:hint="eastAsia" w:ascii="仿宋_GB2312" w:hAnsi="仿宋_GB2312" w:eastAsia="仿宋_GB2312" w:cs="仿宋_GB2312"/>
          <w:b w:val="0"/>
          <w:bCs w:val="0"/>
          <w:snapToGrid/>
          <w:color w:val="auto"/>
          <w:spacing w:val="0"/>
          <w:kern w:val="21"/>
          <w:sz w:val="32"/>
          <w:szCs w:val="32"/>
          <w:u w:val="none"/>
          <w:lang w:val="en-US" w:eastAsia="zh-CN" w:bidi="ar-SA"/>
        </w:rPr>
      </w:pPr>
      <w:r>
        <w:rPr>
          <w:rFonts w:hint="eastAsia" w:ascii="仿宋_GB2312" w:hAnsi="仿宋_GB2312" w:eastAsia="仿宋_GB2312" w:cs="仿宋_GB2312"/>
          <w:b w:val="0"/>
          <w:bCs w:val="0"/>
          <w:snapToGrid/>
          <w:color w:val="auto"/>
          <w:spacing w:val="0"/>
          <w:kern w:val="21"/>
          <w:sz w:val="32"/>
          <w:szCs w:val="32"/>
          <w:u w:val="none"/>
          <w:lang w:val="en-US" w:eastAsia="zh-CN" w:bidi="ar-SA"/>
        </w:rPr>
        <w:t>2.温州市交通运输局负责省高网、高速公路互通、普通国道、普通省道新（改、扩）建项目，省级交通运输主管部门监管以外的沿海500吨级（含）以上和内河等级航道（不含准七级）新（改、扩）建项目、省级交通运输主管部门受理以外的沿海3000吨级（含）以上港口工程，市域铁路新（改、扩）建项目的招标投标有关工作。</w:t>
      </w:r>
    </w:p>
    <w:p>
      <w:pPr>
        <w:keepNext w:val="0"/>
        <w:keepLines w:val="0"/>
        <w:pageBreakBefore w:val="0"/>
        <w:widowControl w:val="0"/>
        <w:numPr>
          <w:ilvl w:val="0"/>
          <w:numId w:val="0"/>
        </w:numPr>
        <w:suppressLineNumbers w:val="0"/>
        <w:kinsoku/>
        <w:wordWrap/>
        <w:overflowPunct w:val="0"/>
        <w:topLinePunct/>
        <w:autoSpaceDE/>
        <w:autoSpaceDN/>
        <w:bidi w:val="0"/>
        <w:spacing w:line="560" w:lineRule="exact"/>
        <w:ind w:firstLine="640" w:firstLineChars="200"/>
        <w:jc w:val="both"/>
        <w:rPr>
          <w:rFonts w:hint="eastAsia" w:ascii="仿宋_GB2312" w:hAnsi="仿宋_GB2312" w:eastAsia="仿宋_GB2312" w:cs="仿宋_GB2312"/>
          <w:b w:val="0"/>
          <w:bCs w:val="0"/>
          <w:snapToGrid/>
          <w:color w:val="auto"/>
          <w:spacing w:val="0"/>
          <w:kern w:val="21"/>
          <w:sz w:val="32"/>
          <w:szCs w:val="32"/>
          <w:u w:val="none"/>
          <w:lang w:val="en-US" w:eastAsia="zh-CN" w:bidi="ar-SA"/>
        </w:rPr>
      </w:pPr>
      <w:r>
        <w:rPr>
          <w:rFonts w:hint="eastAsia" w:ascii="仿宋_GB2312" w:hAnsi="仿宋_GB2312" w:eastAsia="仿宋_GB2312" w:cs="仿宋_GB2312"/>
          <w:b w:val="0"/>
          <w:bCs w:val="0"/>
          <w:snapToGrid/>
          <w:color w:val="auto"/>
          <w:spacing w:val="0"/>
          <w:kern w:val="21"/>
          <w:sz w:val="32"/>
          <w:szCs w:val="32"/>
          <w:u w:val="none"/>
          <w:lang w:val="en-US" w:eastAsia="zh-CN" w:bidi="ar-SA"/>
        </w:rPr>
        <w:t>3.温州市水利局负责市本级依法必须招标的水利工程建设项目的招标投标有关工作。</w:t>
      </w:r>
    </w:p>
    <w:p>
      <w:pPr>
        <w:keepNext w:val="0"/>
        <w:keepLines w:val="0"/>
        <w:pageBreakBefore w:val="0"/>
        <w:widowControl w:val="0"/>
        <w:numPr>
          <w:ilvl w:val="0"/>
          <w:numId w:val="0"/>
        </w:numPr>
        <w:suppressLineNumbers w:val="0"/>
        <w:kinsoku/>
        <w:wordWrap/>
        <w:overflowPunct w:val="0"/>
        <w:topLinePunct/>
        <w:autoSpaceDE/>
        <w:autoSpaceDN/>
        <w:bidi w:val="0"/>
        <w:spacing w:line="560" w:lineRule="exact"/>
        <w:ind w:left="0" w:leftChars="0" w:firstLine="640" w:firstLineChars="200"/>
        <w:jc w:val="both"/>
        <w:rPr>
          <w:rFonts w:hint="eastAsia" w:ascii="仿宋_GB2312" w:hAnsi="仿宋_GB2312" w:eastAsia="仿宋_GB2312" w:cs="仿宋_GB2312"/>
          <w:b w:val="0"/>
          <w:bCs w:val="0"/>
          <w:snapToGrid/>
          <w:color w:val="auto"/>
          <w:spacing w:val="0"/>
          <w:kern w:val="21"/>
          <w:sz w:val="32"/>
          <w:szCs w:val="32"/>
          <w:u w:val="none"/>
          <w:lang w:val="en-US" w:eastAsia="zh-CN" w:bidi="ar-SA"/>
        </w:rPr>
      </w:pPr>
      <w:r>
        <w:rPr>
          <w:rFonts w:hint="eastAsia" w:ascii="仿宋_GB2312" w:hAnsi="仿宋_GB2312" w:eastAsia="仿宋_GB2312" w:cs="仿宋_GB2312"/>
          <w:b w:val="0"/>
          <w:bCs w:val="0"/>
          <w:snapToGrid/>
          <w:color w:val="auto"/>
          <w:spacing w:val="0"/>
          <w:kern w:val="21"/>
          <w:sz w:val="32"/>
          <w:szCs w:val="32"/>
          <w:u w:val="none"/>
          <w:lang w:val="en-US" w:eastAsia="zh-CN" w:bidi="ar-SA"/>
        </w:rPr>
        <w:t>4.其他有关部门落实好省级相关部门关于招标投标活动分级、分行业监管的要求，按权限监督管理具体招标投标活动，处理投诉和举报，依法查处违法违规行为。</w:t>
      </w:r>
    </w:p>
    <w:p>
      <w:pPr>
        <w:keepNext w:val="0"/>
        <w:keepLines w:val="0"/>
        <w:pageBreakBefore w:val="0"/>
        <w:widowControl w:val="0"/>
        <w:numPr>
          <w:ilvl w:val="0"/>
          <w:numId w:val="0"/>
        </w:numPr>
        <w:suppressLineNumbers w:val="0"/>
        <w:kinsoku/>
        <w:wordWrap/>
        <w:overflowPunct w:val="0"/>
        <w:topLinePunct/>
        <w:autoSpaceDE/>
        <w:autoSpaceDN/>
        <w:bidi w:val="0"/>
        <w:spacing w:line="560" w:lineRule="exact"/>
        <w:ind w:left="0" w:leftChars="0" w:firstLine="640" w:firstLineChars="200"/>
        <w:jc w:val="both"/>
        <w:rPr>
          <w:rFonts w:hint="default" w:ascii="仿宋_GB2312" w:hAnsi="仿宋_GB2312" w:eastAsia="仿宋_GB2312" w:cs="仿宋_GB2312"/>
          <w:b w:val="0"/>
          <w:bCs w:val="0"/>
          <w:snapToGrid/>
          <w:color w:val="auto"/>
          <w:spacing w:val="0"/>
          <w:kern w:val="21"/>
          <w:sz w:val="32"/>
          <w:szCs w:val="32"/>
          <w:u w:val="none"/>
          <w:lang w:val="en-US" w:eastAsia="zh-CN" w:bidi="ar-SA"/>
        </w:rPr>
      </w:pPr>
      <w:r>
        <w:rPr>
          <w:rFonts w:hint="eastAsia" w:ascii="仿宋_GB2312" w:hAnsi="仿宋_GB2312" w:eastAsia="仿宋_GB2312" w:cs="仿宋_GB2312"/>
          <w:b w:val="0"/>
          <w:bCs w:val="0"/>
          <w:snapToGrid/>
          <w:color w:val="auto"/>
          <w:spacing w:val="0"/>
          <w:kern w:val="21"/>
          <w:sz w:val="32"/>
          <w:szCs w:val="32"/>
          <w:u w:val="none"/>
          <w:lang w:val="en-US" w:eastAsia="zh-CN" w:bidi="ar-SA"/>
        </w:rPr>
        <w:t>5.各县（市、区）及功能区结合实际情况，明确当地负责省重大建设项目招标投标工作的行政监督部门。</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u w:val="none"/>
          <w:lang w:val="en" w:eastAsia="zh-CN"/>
        </w:rPr>
      </w:pPr>
      <w:r>
        <w:rPr>
          <w:rFonts w:hint="eastAsia" w:ascii="楷体_GB2312" w:hAnsi="楷体_GB2312" w:eastAsia="楷体_GB2312" w:cs="楷体_GB2312"/>
          <w:b w:val="0"/>
          <w:snapToGrid/>
          <w:color w:val="auto"/>
          <w:spacing w:val="0"/>
          <w:kern w:val="21"/>
          <w:position w:val="0"/>
          <w:sz w:val="32"/>
          <w:szCs w:val="32"/>
          <w:u w:val="none"/>
          <w:lang w:eastAsia="zh-CN"/>
        </w:rPr>
        <w:t>（</w:t>
      </w:r>
      <w:r>
        <w:rPr>
          <w:rFonts w:hint="eastAsia" w:ascii="楷体_GB2312" w:hAnsi="楷体_GB2312" w:eastAsia="楷体_GB2312" w:cs="楷体_GB2312"/>
          <w:b w:val="0"/>
          <w:snapToGrid/>
          <w:color w:val="auto"/>
          <w:spacing w:val="0"/>
          <w:kern w:val="21"/>
          <w:position w:val="0"/>
          <w:sz w:val="32"/>
          <w:szCs w:val="32"/>
          <w:u w:val="none"/>
          <w:lang w:val="en-US" w:eastAsia="zh-CN"/>
        </w:rPr>
        <w:t>三</w:t>
      </w:r>
      <w:r>
        <w:rPr>
          <w:rFonts w:hint="eastAsia" w:ascii="楷体_GB2312" w:hAnsi="楷体_GB2312" w:eastAsia="楷体_GB2312" w:cs="楷体_GB2312"/>
          <w:b w:val="0"/>
          <w:snapToGrid/>
          <w:color w:val="auto"/>
          <w:spacing w:val="0"/>
          <w:kern w:val="21"/>
          <w:position w:val="0"/>
          <w:sz w:val="32"/>
          <w:szCs w:val="32"/>
          <w:u w:val="none"/>
          <w:lang w:eastAsia="zh-CN"/>
        </w:rPr>
        <w:t>）进一步加强多跨协同治理。</w:t>
      </w:r>
      <w:r>
        <w:rPr>
          <w:rFonts w:hint="eastAsia" w:ascii="仿宋_GB2312" w:hAnsi="仿宋_GB2312" w:eastAsia="仿宋_GB2312" w:cs="仿宋_GB2312"/>
          <w:b w:val="0"/>
          <w:snapToGrid/>
          <w:color w:val="auto"/>
          <w:spacing w:val="0"/>
          <w:kern w:val="21"/>
          <w:position w:val="0"/>
          <w:sz w:val="32"/>
          <w:szCs w:val="32"/>
          <w:u w:val="none"/>
          <w:lang w:val="en" w:eastAsia="zh-CN"/>
        </w:rPr>
        <w:t>全面应用省招投标智慧监管监督系统，认真核查、处置系统产生的预警信息，有关行业行政主管部门和招标投标活动行政监督部门进一步加强与纪检监察、公安、司法、审计、市场监管、综合行政执法等单位的协同配合，健全行政执法与刑事司法、审计监督等的协同衔接，完善案件线索双向移送、接收、转办和反馈机制。加强案件协查配合，深化信息共享应用，强化对本行业（领域）招标人、招标代理、投标人、评标专家等主体的监管，规范各方主体行为。国资监管机构应将国有企业组织招标和参与投标纳入经营投资责任追究制度从严管理。</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黑体" w:hAnsi="黑体" w:eastAsia="黑体" w:cs="黑体"/>
          <w:b w:val="0"/>
          <w:snapToGrid/>
          <w:color w:val="auto"/>
          <w:spacing w:val="0"/>
          <w:kern w:val="21"/>
          <w:position w:val="0"/>
          <w:sz w:val="32"/>
          <w:szCs w:val="32"/>
          <w:u w:val="none"/>
          <w:lang w:val="en-US" w:eastAsia="zh-CN" w:bidi="ar-SA"/>
        </w:rPr>
      </w:pPr>
      <w:r>
        <w:rPr>
          <w:rFonts w:hint="eastAsia" w:ascii="黑体" w:hAnsi="黑体" w:eastAsia="黑体" w:cs="黑体"/>
          <w:b w:val="0"/>
          <w:snapToGrid/>
          <w:color w:val="auto"/>
          <w:spacing w:val="0"/>
          <w:kern w:val="21"/>
          <w:position w:val="0"/>
          <w:sz w:val="32"/>
          <w:szCs w:val="32"/>
          <w:u w:val="none"/>
          <w:lang w:val="en-US" w:eastAsia="en-US" w:bidi="ar-SA"/>
        </w:rPr>
        <w:t>二</w:t>
      </w:r>
      <w:r>
        <w:rPr>
          <w:rFonts w:hint="eastAsia" w:ascii="黑体" w:hAnsi="黑体" w:eastAsia="黑体" w:cs="黑体"/>
          <w:b w:val="0"/>
          <w:snapToGrid/>
          <w:color w:val="auto"/>
          <w:spacing w:val="0"/>
          <w:kern w:val="21"/>
          <w:position w:val="0"/>
          <w:sz w:val="32"/>
          <w:szCs w:val="32"/>
          <w:u w:val="none"/>
          <w:lang w:val="en-US" w:eastAsia="zh-CN" w:bidi="ar-SA"/>
        </w:rPr>
        <w:t>、落实主体责任，</w:t>
      </w:r>
      <w:r>
        <w:rPr>
          <w:rFonts w:hint="eastAsia" w:ascii="黑体" w:hAnsi="黑体" w:eastAsia="黑体" w:cs="黑体"/>
          <w:i w:val="0"/>
          <w:iCs w:val="0"/>
          <w:caps w:val="0"/>
          <w:snapToGrid/>
          <w:color w:val="auto"/>
          <w:spacing w:val="0"/>
          <w:kern w:val="21"/>
          <w:sz w:val="32"/>
          <w:szCs w:val="32"/>
          <w:u w:val="none"/>
          <w:shd w:val="clear" w:color="auto" w:fill="auto"/>
          <w:lang w:val="en-US" w:eastAsia="zh-CN" w:bidi="ar-SA"/>
        </w:rPr>
        <w:t>规范招标投标市场行为。</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u w:val="none"/>
          <w:lang w:val="en" w:eastAsia="zh-CN"/>
        </w:rPr>
      </w:pPr>
      <w:r>
        <w:rPr>
          <w:rFonts w:hint="eastAsia" w:ascii="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a="楷体_GB2312" w:cs="楷体_GB2312"/>
          <w:b w:val="0"/>
          <w:snapToGrid/>
          <w:color w:val="auto"/>
          <w:spacing w:val="0"/>
          <w:kern w:val="21"/>
          <w:position w:val="0"/>
          <w:sz w:val="32"/>
          <w:szCs w:val="32"/>
          <w:u w:val="none"/>
          <w:lang w:val="en-US" w:eastAsia="zh-CN"/>
        </w:rPr>
        <w:t>四</w:t>
      </w:r>
      <w:r>
        <w:rPr>
          <w:rFonts w:hint="eastAsia" w:ascii="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a="楷体_GB2312" w:cs="楷体_GB2312"/>
          <w:b w:val="0"/>
          <w:snapToGrid/>
          <w:color w:val="auto"/>
          <w:spacing w:val="0"/>
          <w:kern w:val="21"/>
          <w:position w:val="0"/>
          <w:sz w:val="32"/>
          <w:szCs w:val="32"/>
          <w:u w:val="none"/>
          <w:lang w:eastAsia="zh-CN"/>
        </w:rPr>
        <w:t>强化招标人主体地位</w:t>
      </w:r>
      <w:r>
        <w:rPr>
          <w:rFonts w:hint="eastAsia" w:ascii="楷体_GB2312" w:hAnsi="楷体_GB2312" w:eastAsia="楷体_GB2312" w:cs="楷体_GB2312"/>
          <w:b w:val="0"/>
          <w:snapToGrid/>
          <w:color w:val="auto"/>
          <w:spacing w:val="0"/>
          <w:kern w:val="21"/>
          <w:position w:val="0"/>
          <w:sz w:val="32"/>
          <w:szCs w:val="32"/>
          <w:u w:val="none"/>
        </w:rPr>
        <w:t>。</w:t>
      </w:r>
      <w:r>
        <w:rPr>
          <w:rFonts w:hint="eastAsia" w:ascii="仿宋_GB2312" w:hAnsi="仿宋_GB2312" w:eastAsia="仿宋_GB2312" w:cs="仿宋_GB2312"/>
          <w:b w:val="0"/>
          <w:snapToGrid/>
          <w:color w:val="auto"/>
          <w:spacing w:val="0"/>
          <w:kern w:val="21"/>
          <w:position w:val="0"/>
          <w:sz w:val="32"/>
          <w:szCs w:val="32"/>
          <w:u w:val="none"/>
          <w:lang w:val="en" w:eastAsia="zh-CN"/>
        </w:rPr>
        <w:t>尊重和保障招标人组织招标、选择招标代理机构、编制招标文件、委派代表参加评标等自主权。招标人应建立健全招投标事项集体研究、合法合规性审查、公平竞争审查等议事决策机制，全面落实组织招标、处理异议、督促履约等方面责任。招标人应在中标候选人公示前认真审查评标委员会提交的书面评标报告，对中标候选人是否响应招标文件实质性要求进行核实，发现异常情形的，依法依规进行复核和纠正。招标人可根据项目需求和特点自主选择定标方式并在招标文件中明确约定，应对定标全过程进行记录和可追溯管理，并加强招投标全过程档案管理。</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u w:val="none"/>
          <w:lang w:val="en-US" w:eastAsia="zh-CN" w:bidi="ar-SA"/>
        </w:rPr>
      </w:pPr>
      <w:r>
        <w:rPr>
          <w:rFonts w:hint="eastAsia" w:ascii="楷体_GB2312" w:hAnsi="楷体_GB2312" w:eastAsia="楷体_GB2312" w:cs="楷体_GB2312"/>
          <w:b w:val="0"/>
          <w:snapToGrid/>
          <w:color w:val="auto"/>
          <w:spacing w:val="0"/>
          <w:kern w:val="21"/>
          <w:position w:val="0"/>
          <w:sz w:val="32"/>
          <w:szCs w:val="32"/>
          <w:u w:val="none"/>
          <w:lang w:eastAsia="zh-CN"/>
        </w:rPr>
        <w:t>（</w:t>
      </w:r>
      <w:r>
        <w:rPr>
          <w:rFonts w:hint="eastAsia" w:ascii="楷体_GB2312" w:hAnsi="楷体_GB2312" w:eastAsia="楷体_GB2312" w:cs="楷体_GB2312"/>
          <w:b w:val="0"/>
          <w:snapToGrid/>
          <w:color w:val="auto"/>
          <w:spacing w:val="0"/>
          <w:kern w:val="21"/>
          <w:position w:val="0"/>
          <w:sz w:val="32"/>
          <w:szCs w:val="32"/>
          <w:u w:val="none"/>
          <w:lang w:val="en-US" w:eastAsia="zh-CN"/>
        </w:rPr>
        <w:t>五</w:t>
      </w:r>
      <w:r>
        <w:rPr>
          <w:rFonts w:hint="eastAsia" w:ascii="楷体_GB2312" w:hAnsi="楷体_GB2312" w:eastAsia="楷体_GB2312" w:cs="楷体_GB2312"/>
          <w:b w:val="0"/>
          <w:snapToGrid/>
          <w:color w:val="auto"/>
          <w:spacing w:val="0"/>
          <w:kern w:val="21"/>
          <w:position w:val="0"/>
          <w:sz w:val="32"/>
          <w:szCs w:val="32"/>
          <w:u w:val="none"/>
          <w:lang w:eastAsia="zh-CN"/>
        </w:rPr>
        <w:t>）严格规范投标人行为。</w:t>
      </w:r>
      <w:r>
        <w:rPr>
          <w:rFonts w:hint="eastAsia" w:ascii="仿宋_GB2312" w:hAnsi="仿宋_GB2312" w:eastAsia="仿宋_GB2312" w:cs="仿宋_GB2312"/>
          <w:b w:val="0"/>
          <w:snapToGrid/>
          <w:color w:val="auto"/>
          <w:spacing w:val="0"/>
          <w:kern w:val="21"/>
          <w:position w:val="0"/>
          <w:sz w:val="32"/>
          <w:szCs w:val="32"/>
          <w:u w:val="none"/>
          <w:lang w:val="en-US" w:eastAsia="zh-CN" w:bidi="ar-SA"/>
        </w:rPr>
        <w:t>投标人要严格遵守有关法律法规和行业标准规范，依法诚信参加投标，自觉维护市场公平竞争秩序。投标人在工程建设项目招标投标活动或合同履约过程中出现违法违规或不良行为被相关部门处理的，应主动更新市公共资源交易平台的</w:t>
      </w:r>
      <w:r>
        <w:rPr>
          <w:rFonts w:hint="eastAsia" w:ascii="仿宋_GB2312" w:hAnsi="仿宋_GB2312" w:eastAsia="仿宋_GB2312" w:cs="仿宋_GB2312"/>
          <w:b w:val="0"/>
          <w:snapToGrid/>
          <w:color w:val="auto"/>
          <w:spacing w:val="0"/>
          <w:kern w:val="21"/>
          <w:position w:val="0"/>
          <w:sz w:val="32"/>
          <w:szCs w:val="32"/>
          <w:highlight w:val="none"/>
          <w:u w:val="none"/>
          <w:lang w:eastAsia="zh-CN"/>
        </w:rPr>
        <w:t>交易主体信息库</w:t>
      </w:r>
      <w:r>
        <w:rPr>
          <w:rFonts w:hint="eastAsia" w:ascii="仿宋_GB2312" w:hAnsi="仿宋_GB2312" w:eastAsia="仿宋_GB2312" w:cs="仿宋_GB2312"/>
          <w:b w:val="0"/>
          <w:snapToGrid/>
          <w:color w:val="auto"/>
          <w:spacing w:val="0"/>
          <w:kern w:val="21"/>
          <w:position w:val="0"/>
          <w:sz w:val="32"/>
          <w:szCs w:val="32"/>
          <w:u w:val="none"/>
          <w:lang w:val="en-US" w:eastAsia="zh-CN" w:bidi="ar-SA"/>
        </w:rPr>
        <w:t>相关内容并进行公示。</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trike w:val="0"/>
          <w:snapToGrid/>
          <w:color w:val="auto"/>
          <w:spacing w:val="0"/>
          <w:kern w:val="21"/>
          <w:position w:val="0"/>
          <w:sz w:val="32"/>
          <w:szCs w:val="32"/>
          <w:lang w:val="en" w:eastAsia="zh-CN"/>
        </w:rPr>
      </w:pPr>
      <w:r>
        <w:rPr>
          <w:rFonts w:hint="eastAsia" w:ascii="楷体_GB2312" w:hAnsi="楷体_GB2312" w:eastAsia="楷体_GB2312" w:cs="楷体_GB2312"/>
          <w:b w:val="0"/>
          <w:snapToGrid/>
          <w:color w:val="auto"/>
          <w:spacing w:val="0"/>
          <w:kern w:val="21"/>
          <w:position w:val="0"/>
          <w:sz w:val="32"/>
          <w:szCs w:val="32"/>
          <w:u w:val="none"/>
          <w:lang w:eastAsia="zh-CN"/>
        </w:rPr>
        <w:t>（</w:t>
      </w:r>
      <w:r>
        <w:rPr>
          <w:rFonts w:hint="eastAsia" w:ascii="楷体_GB2312" w:hAnsi="楷体_GB2312" w:eastAsia="楷体_GB2312" w:cs="楷体_GB2312"/>
          <w:b w:val="0"/>
          <w:snapToGrid/>
          <w:color w:val="auto"/>
          <w:spacing w:val="0"/>
          <w:kern w:val="21"/>
          <w:position w:val="0"/>
          <w:sz w:val="32"/>
          <w:szCs w:val="32"/>
          <w:u w:val="none"/>
          <w:lang w:val="en-US" w:eastAsia="zh-CN"/>
        </w:rPr>
        <w:t>六</w:t>
      </w:r>
      <w:r>
        <w:rPr>
          <w:rFonts w:hint="eastAsia" w:ascii="楷体_GB2312" w:hAnsi="楷体_GB2312" w:eastAsia="楷体_GB2312" w:cs="楷体_GB2312"/>
          <w:b w:val="0"/>
          <w:snapToGrid/>
          <w:color w:val="auto"/>
          <w:spacing w:val="0"/>
          <w:kern w:val="21"/>
          <w:position w:val="0"/>
          <w:sz w:val="32"/>
          <w:szCs w:val="32"/>
          <w:u w:val="none"/>
          <w:lang w:eastAsia="zh-CN"/>
        </w:rPr>
        <w:t>）健全招标代理机构服务机制。</w:t>
      </w:r>
      <w:r>
        <w:rPr>
          <w:rFonts w:hint="eastAsia" w:ascii="仿宋_GB2312" w:hAnsi="仿宋_GB2312" w:eastAsia="仿宋_GB2312" w:cs="仿宋_GB2312"/>
          <w:b w:val="0"/>
          <w:snapToGrid/>
          <w:color w:val="auto"/>
          <w:spacing w:val="0"/>
          <w:kern w:val="21"/>
          <w:position w:val="0"/>
          <w:sz w:val="32"/>
          <w:szCs w:val="32"/>
          <w:u w:val="none"/>
          <w:lang w:val="en-US" w:eastAsia="zh-CN"/>
        </w:rPr>
        <w:t>健全完善</w:t>
      </w:r>
      <w:r>
        <w:rPr>
          <w:rFonts w:hint="eastAsia" w:ascii="仿宋_GB2312" w:hAnsi="仿宋_GB2312" w:eastAsia="仿宋_GB2312" w:cs="仿宋_GB2312"/>
          <w:b w:val="0"/>
          <w:snapToGrid/>
          <w:color w:val="auto"/>
          <w:spacing w:val="0"/>
          <w:kern w:val="21"/>
          <w:position w:val="0"/>
          <w:sz w:val="32"/>
          <w:szCs w:val="32"/>
          <w:u w:val="none"/>
          <w:lang w:val="en" w:eastAsia="zh-CN"/>
        </w:rPr>
        <w:t>全市统一的招标代理主体信息库，</w:t>
      </w:r>
      <w:r>
        <w:rPr>
          <w:rFonts w:hint="eastAsia" w:ascii="仿宋_GB2312" w:hAnsi="仿宋_GB2312" w:eastAsia="仿宋_GB2312" w:cs="仿宋_GB2312"/>
          <w:i w:val="0"/>
          <w:iCs w:val="0"/>
          <w:caps w:val="0"/>
          <w:snapToGrid/>
          <w:color w:val="auto"/>
          <w:spacing w:val="0"/>
          <w:kern w:val="21"/>
          <w:sz w:val="32"/>
          <w:szCs w:val="32"/>
          <w:u w:val="none"/>
          <w:shd w:val="clear" w:color="auto" w:fill="auto"/>
          <w:lang w:val="en" w:eastAsia="zh-CN"/>
        </w:rPr>
        <w:t>制定招标代理服务标准和行为规范，</w:t>
      </w:r>
      <w:r>
        <w:rPr>
          <w:rFonts w:hint="eastAsia" w:ascii="仿宋_GB2312" w:hAnsi="仿宋_GB2312" w:eastAsia="仿宋_GB2312" w:cs="仿宋_GB2312"/>
          <w:b w:val="0"/>
          <w:snapToGrid/>
          <w:color w:val="auto"/>
          <w:spacing w:val="0"/>
          <w:kern w:val="21"/>
          <w:position w:val="0"/>
          <w:sz w:val="32"/>
          <w:szCs w:val="32"/>
          <w:u w:val="none"/>
          <w:lang w:val="en" w:eastAsia="zh-CN"/>
        </w:rPr>
        <w:t>对招标代理机构开展评价，</w:t>
      </w:r>
      <w:r>
        <w:rPr>
          <w:rFonts w:hint="eastAsia" w:ascii="仿宋_GB2312" w:hAnsi="仿宋_GB2312" w:eastAsia="仿宋_GB2312" w:cs="仿宋_GB2312"/>
          <w:i w:val="0"/>
          <w:iCs w:val="0"/>
          <w:caps w:val="0"/>
          <w:snapToGrid/>
          <w:color w:val="auto"/>
          <w:spacing w:val="0"/>
          <w:kern w:val="21"/>
          <w:sz w:val="32"/>
          <w:szCs w:val="32"/>
          <w:u w:val="none"/>
          <w:shd w:val="clear" w:color="auto" w:fill="auto"/>
          <w:lang w:val="en" w:eastAsia="zh-CN"/>
        </w:rPr>
        <w:t>及时向社会公开招标代理机构评价结果，鼓励招标人在委托招标代理业务时优先选择服务质量好评价结果优的招标代理机构</w:t>
      </w:r>
      <w:r>
        <w:rPr>
          <w:rFonts w:hint="eastAsia" w:ascii="仿宋_GB2312" w:hAnsi="仿宋_GB2312" w:eastAsia="仿宋_GB2312" w:cs="仿宋_GB2312"/>
          <w:b w:val="0"/>
          <w:snapToGrid/>
          <w:color w:val="auto"/>
          <w:spacing w:val="0"/>
          <w:kern w:val="21"/>
          <w:position w:val="0"/>
          <w:sz w:val="32"/>
          <w:szCs w:val="32"/>
          <w:u w:val="none"/>
          <w:lang w:val="en" w:eastAsia="zh-CN"/>
        </w:rPr>
        <w:t>。</w:t>
      </w:r>
      <w:r>
        <w:rPr>
          <w:rFonts w:hint="eastAsia" w:ascii="仿宋_GB2312" w:hAnsi="仿宋_GB2312" w:eastAsia="仿宋_GB2312" w:cs="仿宋_GB2312"/>
          <w:i w:val="0"/>
          <w:iCs w:val="0"/>
          <w:caps w:val="0"/>
          <w:snapToGrid/>
          <w:color w:val="auto"/>
          <w:spacing w:val="0"/>
          <w:kern w:val="21"/>
          <w:sz w:val="32"/>
          <w:szCs w:val="32"/>
          <w:u w:val="none"/>
          <w:shd w:val="clear" w:color="auto" w:fill="auto"/>
          <w:lang w:val="en" w:eastAsia="zh-CN"/>
        </w:rPr>
        <w:t>加强招标代理行业自律</w:t>
      </w:r>
      <w:r>
        <w:rPr>
          <w:rFonts w:hint="eastAsia" w:ascii="仿宋_GB2312" w:hAnsi="仿宋_GB2312" w:eastAsia="仿宋_GB2312" w:cs="仿宋_GB2312"/>
          <w:b w:val="0"/>
          <w:snapToGrid/>
          <w:color w:val="auto"/>
          <w:spacing w:val="0"/>
          <w:kern w:val="21"/>
          <w:position w:val="0"/>
          <w:sz w:val="32"/>
          <w:szCs w:val="32"/>
          <w:u w:val="none"/>
          <w:lang w:val="en" w:eastAsia="zh-CN"/>
        </w:rPr>
        <w:t>，提升招标代理从业人员职业素养与专业水平。招标代理机构应当在招标人的委托合同范围内依法办理招标事宜，不得以畸低于市场价或者价外加价等形式违规收取费用。</w:t>
      </w:r>
      <w:r>
        <w:rPr>
          <w:rFonts w:hint="eastAsia" w:ascii="仿宋_GB2312" w:hAnsi="仿宋_GB2312" w:eastAsia="仿宋_GB2312" w:cs="仿宋_GB2312"/>
          <w:i w:val="0"/>
          <w:iCs w:val="0"/>
          <w:caps w:val="0"/>
          <w:snapToGrid/>
          <w:color w:val="auto"/>
          <w:spacing w:val="0"/>
          <w:kern w:val="21"/>
          <w:sz w:val="32"/>
          <w:szCs w:val="32"/>
          <w:u w:val="none"/>
          <w:shd w:val="clear" w:color="auto" w:fill="auto"/>
          <w:lang w:val="en" w:eastAsia="zh-CN"/>
        </w:rPr>
        <w:t>对严重违法的招标代理机构及</w:t>
      </w:r>
      <w:r>
        <w:rPr>
          <w:rFonts w:hint="eastAsia" w:ascii="仿宋_GB2312" w:hAnsi="仿宋_GB2312" w:eastAsia="仿宋_GB2312" w:cs="仿宋_GB2312"/>
          <w:i w:val="0"/>
          <w:iCs w:val="0"/>
          <w:caps w:val="0"/>
          <w:snapToGrid/>
          <w:color w:val="auto"/>
          <w:spacing w:val="0"/>
          <w:kern w:val="21"/>
          <w:sz w:val="32"/>
          <w:szCs w:val="32"/>
          <w:shd w:val="clear" w:color="auto" w:fill="auto"/>
          <w:lang w:val="en" w:eastAsia="zh-CN"/>
        </w:rPr>
        <w:t>其直接责任人员依法予以处理并实行行业禁入</w:t>
      </w:r>
      <w:r>
        <w:rPr>
          <w:rFonts w:hint="eastAsia" w:ascii="仿宋_GB2312" w:hAnsi="仿宋_GB2312" w:eastAsia="仿宋_GB2312" w:cs="仿宋_GB2312"/>
          <w:b w:val="0"/>
          <w:snapToGrid/>
          <w:color w:val="auto"/>
          <w:spacing w:val="0"/>
          <w:kern w:val="21"/>
          <w:position w:val="0"/>
          <w:sz w:val="32"/>
          <w:szCs w:val="32"/>
          <w:lang w:val="en" w:eastAsia="zh-CN"/>
        </w:rPr>
        <w:t>。</w:t>
      </w:r>
    </w:p>
    <w:p>
      <w:pPr>
        <w:pStyle w:val="3"/>
        <w:widowControl w:val="0"/>
        <w:kinsoku/>
        <w:overflowPunct w:val="0"/>
        <w:topLinePunct/>
        <w:autoSpaceDE/>
        <w:autoSpaceDN/>
        <w:spacing w:line="560" w:lineRule="exact"/>
        <w:ind w:firstLine="640" w:firstLineChars="200"/>
        <w:jc w:val="both"/>
        <w:rPr>
          <w:rFonts w:hint="eastAsia" w:ascii="仿宋_GB2312" w:hAnsi="仿宋_GB2312" w:eastAsia="仿宋_GB2312" w:cs="仿宋_GB2312"/>
          <w:i w:val="0"/>
          <w:iCs w:val="0"/>
          <w:caps w:val="0"/>
          <w:snapToGrid/>
          <w:color w:val="auto"/>
          <w:spacing w:val="0"/>
          <w:kern w:val="21"/>
          <w:sz w:val="32"/>
          <w:szCs w:val="32"/>
          <w:highlight w:val="none"/>
          <w:shd w:val="clear" w:color="auto" w:fill="auto"/>
          <w:lang w:val="en" w:eastAsia="zh-CN" w:bidi="ar-SA"/>
        </w:rPr>
      </w:pPr>
      <w:r>
        <w:rPr>
          <w:rFonts w:hint="eastAsia" w:ascii="楷体_GB2312" w:hAnsi="楷体_GB2312" w:eastAsia="楷体_GB2312" w:cs="楷体_GB2312"/>
          <w:b w:val="0"/>
          <w:snapToGrid/>
          <w:color w:val="auto"/>
          <w:spacing w:val="0"/>
          <w:kern w:val="21"/>
          <w:position w:val="0"/>
          <w:sz w:val="32"/>
          <w:szCs w:val="32"/>
          <w:highlight w:val="none"/>
          <w:lang w:eastAsia="zh-CN"/>
        </w:rPr>
        <w:t>（</w:t>
      </w:r>
      <w:r>
        <w:rPr>
          <w:rFonts w:hint="eastAsia" w:ascii="楷体_GB2312" w:hAnsi="楷体_GB2312" w:eastAsia="楷体_GB2312" w:cs="楷体_GB2312"/>
          <w:b w:val="0"/>
          <w:snapToGrid/>
          <w:color w:val="auto"/>
          <w:spacing w:val="0"/>
          <w:kern w:val="21"/>
          <w:position w:val="0"/>
          <w:sz w:val="32"/>
          <w:szCs w:val="32"/>
          <w:highlight w:val="none"/>
          <w:lang w:val="en-US" w:eastAsia="zh-CN"/>
        </w:rPr>
        <w:t>七</w:t>
      </w:r>
      <w:r>
        <w:rPr>
          <w:rFonts w:hint="eastAsia" w:ascii="楷体_GB2312" w:hAnsi="楷体_GB2312" w:eastAsia="楷体_GB2312" w:cs="楷体_GB2312"/>
          <w:b w:val="0"/>
          <w:snapToGrid/>
          <w:color w:val="auto"/>
          <w:spacing w:val="0"/>
          <w:kern w:val="21"/>
          <w:position w:val="0"/>
          <w:sz w:val="32"/>
          <w:szCs w:val="32"/>
          <w:highlight w:val="none"/>
          <w:lang w:eastAsia="zh-CN"/>
        </w:rPr>
        <w:t>）加强评标专家全周期管理。</w:t>
      </w:r>
      <w:r>
        <w:rPr>
          <w:rFonts w:hint="eastAsia" w:ascii="仿宋_GB2312" w:hAnsi="仿宋_GB2312" w:eastAsia="仿宋_GB2312" w:cs="仿宋_GB2312"/>
          <w:i w:val="0"/>
          <w:iCs w:val="0"/>
          <w:caps w:val="0"/>
          <w:snapToGrid/>
          <w:color w:val="auto"/>
          <w:spacing w:val="0"/>
          <w:kern w:val="21"/>
          <w:sz w:val="32"/>
          <w:szCs w:val="32"/>
          <w:highlight w:val="none"/>
          <w:shd w:val="clear" w:color="auto" w:fill="auto"/>
          <w:lang w:val="en" w:eastAsia="zh-CN" w:bidi="ar-SA"/>
        </w:rPr>
        <w:t>完善评标专家抽取监督制度，</w:t>
      </w:r>
      <w:r>
        <w:rPr>
          <w:rFonts w:hint="eastAsia" w:ascii="仿宋_GB2312" w:hAnsi="仿宋_GB2312" w:eastAsia="仿宋_GB2312" w:cs="仿宋_GB2312"/>
          <w:b w:val="0"/>
          <w:snapToGrid/>
          <w:color w:val="auto"/>
          <w:spacing w:val="0"/>
          <w:kern w:val="21"/>
          <w:position w:val="0"/>
          <w:sz w:val="32"/>
          <w:szCs w:val="32"/>
          <w:highlight w:val="none"/>
          <w:lang w:val="en" w:eastAsia="zh-CN" w:bidi="ar-SA"/>
        </w:rPr>
        <w:t>严格</w:t>
      </w:r>
      <w:r>
        <w:rPr>
          <w:rFonts w:hint="eastAsia" w:ascii="仿宋_GB2312" w:hAnsi="仿宋_GB2312" w:eastAsia="仿宋_GB2312" w:cs="仿宋_GB2312"/>
          <w:i w:val="0"/>
          <w:iCs w:val="0"/>
          <w:caps w:val="0"/>
          <w:snapToGrid/>
          <w:color w:val="auto"/>
          <w:spacing w:val="0"/>
          <w:kern w:val="21"/>
          <w:sz w:val="32"/>
          <w:szCs w:val="32"/>
          <w:highlight w:val="none"/>
          <w:shd w:val="clear" w:color="auto" w:fill="auto"/>
          <w:lang w:val="en" w:eastAsia="zh-CN" w:bidi="ar-SA"/>
        </w:rPr>
        <w:t>规范评标专家的抽取。依法保障评标专家独立开展评标，做到全程留痕、可追溯，评标专家对评标结果终身负责。建立健全评标专家业务培训、廉洁教育、保密管理、考核评价等机制，及时清退</w:t>
      </w:r>
      <w:r>
        <w:rPr>
          <w:rFonts w:hint="eastAsia" w:ascii="仿宋_GB2312" w:hAnsi="仿宋_GB2312" w:eastAsia="仿宋_GB2312" w:cs="仿宋_GB2312"/>
          <w:i w:val="0"/>
          <w:iCs w:val="0"/>
          <w:caps w:val="0"/>
          <w:snapToGrid/>
          <w:color w:val="auto"/>
          <w:spacing w:val="0"/>
          <w:kern w:val="21"/>
          <w:sz w:val="32"/>
          <w:szCs w:val="32"/>
          <w:highlight w:val="none"/>
          <w:shd w:val="clear" w:color="auto" w:fill="auto"/>
          <w:lang w:val="en-US" w:eastAsia="zh-CN" w:bidi="ar-SA"/>
        </w:rPr>
        <w:t>违法违规和考核</w:t>
      </w:r>
      <w:r>
        <w:rPr>
          <w:rFonts w:hint="eastAsia" w:ascii="仿宋_GB2312" w:hAnsi="仿宋_GB2312" w:eastAsia="仿宋_GB2312" w:cs="仿宋_GB2312"/>
          <w:i w:val="0"/>
          <w:iCs w:val="0"/>
          <w:caps w:val="0"/>
          <w:snapToGrid/>
          <w:color w:val="auto"/>
          <w:spacing w:val="0"/>
          <w:kern w:val="21"/>
          <w:sz w:val="32"/>
          <w:szCs w:val="32"/>
          <w:highlight w:val="none"/>
          <w:shd w:val="clear" w:color="auto" w:fill="auto"/>
          <w:lang w:val="en" w:eastAsia="zh-CN" w:bidi="ar-SA"/>
        </w:rPr>
        <w:t>不合格评标专家。</w:t>
      </w:r>
    </w:p>
    <w:p>
      <w:pPr>
        <w:pStyle w:val="3"/>
        <w:widowControl w:val="0"/>
        <w:kinsoku/>
        <w:overflowPunct w:val="0"/>
        <w:topLinePunct/>
        <w:autoSpaceDE/>
        <w:autoSpaceDN/>
        <w:spacing w:line="560" w:lineRule="exact"/>
        <w:ind w:firstLine="640" w:firstLineChars="200"/>
        <w:jc w:val="both"/>
        <w:rPr>
          <w:rFonts w:hint="eastAsia" w:ascii="仿宋_GB2312" w:hAnsi="仿宋_GB2312" w:eastAsia="仿宋_GB2312" w:cs="仿宋_GB2312"/>
          <w:b w:val="0"/>
          <w:snapToGrid/>
          <w:color w:val="auto"/>
          <w:spacing w:val="0"/>
          <w:kern w:val="21"/>
          <w:position w:val="0"/>
          <w:sz w:val="32"/>
          <w:szCs w:val="32"/>
          <w:lang w:val="en" w:eastAsia="zh-CN"/>
        </w:rPr>
      </w:pPr>
      <w:r>
        <w:rPr>
          <w:rFonts w:hint="eastAsia" w:ascii="黑体" w:hAnsi="黑体" w:eastAsia="黑体" w:cs="黑体"/>
          <w:b w:val="0"/>
          <w:snapToGrid/>
          <w:color w:val="auto"/>
          <w:spacing w:val="0"/>
          <w:kern w:val="21"/>
          <w:position w:val="0"/>
          <w:sz w:val="32"/>
          <w:szCs w:val="32"/>
          <w:lang w:val="en" w:eastAsia="zh-CN"/>
        </w:rPr>
        <w:t>三、</w:t>
      </w:r>
      <w:r>
        <w:rPr>
          <w:rFonts w:hint="eastAsia" w:ascii="黑体" w:hAnsi="黑体" w:eastAsia="黑体" w:cs="黑体"/>
          <w:i w:val="0"/>
          <w:iCs w:val="0"/>
          <w:caps w:val="0"/>
          <w:snapToGrid/>
          <w:color w:val="auto"/>
          <w:spacing w:val="0"/>
          <w:kern w:val="21"/>
          <w:sz w:val="32"/>
          <w:szCs w:val="32"/>
          <w:shd w:val="clear" w:color="auto" w:fill="auto"/>
          <w:lang w:val="en" w:eastAsia="en-US" w:bidi="ar-SA"/>
        </w:rPr>
        <w:t>完善流程机制，促进招标投标</w:t>
      </w:r>
      <w:r>
        <w:rPr>
          <w:rFonts w:hint="eastAsia" w:ascii="黑体" w:hAnsi="黑体" w:eastAsia="黑体" w:cs="黑体"/>
          <w:b w:val="0"/>
          <w:snapToGrid/>
          <w:color w:val="auto"/>
          <w:spacing w:val="0"/>
          <w:kern w:val="21"/>
          <w:position w:val="0"/>
          <w:sz w:val="32"/>
          <w:szCs w:val="32"/>
          <w:lang w:val="en" w:eastAsia="en-US"/>
        </w:rPr>
        <w:t>竞争择优。</w:t>
      </w:r>
    </w:p>
    <w:p>
      <w:pPr>
        <w:pStyle w:val="3"/>
        <w:keepNext w:val="0"/>
        <w:keepLines w:val="0"/>
        <w:pageBreakBefore w:val="0"/>
        <w:widowControl w:val="0"/>
        <w:kinsoku/>
        <w:wordWrap/>
        <w:overflowPunct w:val="0"/>
        <w:topLinePunct/>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shd w:val="clear" w:color="auto" w:fill="auto"/>
          <w:lang w:val="en" w:eastAsia="zh-CN" w:bidi="ar-SA"/>
        </w:rPr>
      </w:pPr>
      <w:r>
        <w:rPr>
          <w:rFonts w:hint="eastAsia" w:ascii="楷体" w:hAnsi="楷体" w:eastAsia="楷体" w:cs="楷体"/>
          <w:b w:val="0"/>
          <w:snapToGrid/>
          <w:color w:val="auto"/>
          <w:spacing w:val="0"/>
          <w:kern w:val="21"/>
          <w:position w:val="0"/>
          <w:sz w:val="32"/>
          <w:szCs w:val="32"/>
          <w:lang w:val="en" w:eastAsia="zh-CN" w:bidi="ar-SA"/>
        </w:rPr>
        <w:t>（</w:t>
      </w:r>
      <w:r>
        <w:rPr>
          <w:rFonts w:hint="eastAsia" w:ascii="楷体" w:hAnsi="楷体" w:eastAsia="楷体" w:cs="楷体"/>
          <w:b w:val="0"/>
          <w:snapToGrid/>
          <w:color w:val="auto"/>
          <w:spacing w:val="0"/>
          <w:kern w:val="21"/>
          <w:position w:val="0"/>
          <w:sz w:val="32"/>
          <w:szCs w:val="32"/>
          <w:lang w:val="en-US" w:eastAsia="zh-CN" w:bidi="ar-SA"/>
        </w:rPr>
        <w:t>八</w:t>
      </w:r>
      <w:r>
        <w:rPr>
          <w:rFonts w:hint="eastAsia" w:ascii="楷体" w:hAnsi="楷体" w:eastAsia="楷体" w:cs="楷体"/>
          <w:b w:val="0"/>
          <w:snapToGrid/>
          <w:color w:val="auto"/>
          <w:spacing w:val="0"/>
          <w:kern w:val="21"/>
          <w:position w:val="0"/>
          <w:sz w:val="32"/>
          <w:szCs w:val="32"/>
          <w:lang w:val="en" w:eastAsia="zh-CN" w:bidi="ar-SA"/>
        </w:rPr>
        <w:t>）严格审批核准招标事项。</w:t>
      </w:r>
      <w:r>
        <w:rPr>
          <w:rFonts w:hint="eastAsia" w:ascii="仿宋_GB2312" w:hAnsi="仿宋_GB2312" w:eastAsia="仿宋_GB2312" w:cs="仿宋_GB2312"/>
          <w:b w:val="0"/>
          <w:snapToGrid/>
          <w:color w:val="auto"/>
          <w:spacing w:val="0"/>
          <w:kern w:val="21"/>
          <w:position w:val="0"/>
          <w:sz w:val="32"/>
          <w:szCs w:val="32"/>
          <w:lang w:val="en" w:eastAsia="zh-CN" w:bidi="ar-SA"/>
        </w:rPr>
        <w:t>按</w:t>
      </w:r>
      <w:r>
        <w:rPr>
          <w:rFonts w:hint="eastAsia" w:ascii="仿宋_GB2312" w:hAnsi="仿宋_GB2312" w:eastAsia="仿宋_GB2312" w:cs="仿宋_GB2312"/>
          <w:b w:val="0"/>
          <w:snapToGrid/>
          <w:color w:val="auto"/>
          <w:spacing w:val="0"/>
          <w:kern w:val="21"/>
          <w:position w:val="0"/>
          <w:sz w:val="32"/>
          <w:szCs w:val="32"/>
          <w:shd w:val="clear" w:color="auto" w:fill="auto"/>
          <w:lang w:val="en" w:eastAsia="zh-CN" w:bidi="ar-SA"/>
        </w:rPr>
        <w:t>照国家有关规定需要履行项目审批、核准手续的依法必须招标的工程建设项目，招标范围、方式和组织形式应由招标人在项目审批或核准时同步提出申请，项目审批、核准部门在项目审批、核准文件中一并明确。一经批准，招标人不得随意改变招标方式，确需改变招标方式的，应报原项目审批、核准部门批准。依法必须进行招标的项目拟不进行招标的、依法应公开招标的项目拟邀请招标的，必须符合法律法规规定情形并履行规定程序。</w:t>
      </w:r>
    </w:p>
    <w:p>
      <w:pPr>
        <w:pStyle w:val="3"/>
        <w:keepNext w:val="0"/>
        <w:keepLines w:val="0"/>
        <w:pageBreakBefore w:val="0"/>
        <w:widowControl w:val="0"/>
        <w:kinsoku/>
        <w:wordWrap/>
        <w:overflowPunct w:val="0"/>
        <w:topLinePunct/>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 w:eastAsia="zh-CN" w:bidi="ar-SA"/>
        </w:rPr>
      </w:pPr>
      <w:r>
        <w:rPr>
          <w:rFonts w:hint="eastAsia" w:ascii="楷体_GB2312" w:hAnsi="楷体_GB2312" w:eastAsia="楷体_GB2312" w:cs="楷体_GB2312"/>
          <w:b w:val="0"/>
          <w:snapToGrid/>
          <w:color w:val="auto"/>
          <w:spacing w:val="0"/>
          <w:kern w:val="21"/>
          <w:position w:val="0"/>
          <w:sz w:val="32"/>
          <w:szCs w:val="32"/>
          <w:lang w:val="en" w:eastAsia="zh-CN" w:bidi="ar-SA"/>
        </w:rPr>
        <w:t>（</w:t>
      </w:r>
      <w:r>
        <w:rPr>
          <w:rFonts w:hint="eastAsia" w:ascii="楷体_GB2312" w:hAnsi="楷体_GB2312" w:eastAsia="楷体_GB2312" w:cs="楷体_GB2312"/>
          <w:b w:val="0"/>
          <w:snapToGrid/>
          <w:color w:val="auto"/>
          <w:spacing w:val="0"/>
          <w:kern w:val="21"/>
          <w:position w:val="0"/>
          <w:sz w:val="32"/>
          <w:szCs w:val="32"/>
          <w:lang w:val="en-US" w:eastAsia="zh-CN" w:bidi="ar-SA"/>
        </w:rPr>
        <w:t>九</w:t>
      </w:r>
      <w:r>
        <w:rPr>
          <w:rFonts w:hint="eastAsia" w:ascii="楷体_GB2312" w:hAnsi="楷体_GB2312" w:eastAsia="楷体_GB2312" w:cs="楷体_GB2312"/>
          <w:b w:val="0"/>
          <w:snapToGrid/>
          <w:color w:val="auto"/>
          <w:spacing w:val="0"/>
          <w:kern w:val="21"/>
          <w:position w:val="0"/>
          <w:sz w:val="32"/>
          <w:szCs w:val="32"/>
          <w:lang w:val="en" w:eastAsia="zh-CN" w:bidi="ar-SA"/>
        </w:rPr>
        <w:t>）规范招标计划发布。</w:t>
      </w:r>
      <w:r>
        <w:rPr>
          <w:rFonts w:hint="eastAsia" w:ascii="仿宋_GB2312" w:hAnsi="仿宋_GB2312" w:eastAsia="仿宋_GB2312" w:cs="仿宋_GB2312"/>
          <w:b w:val="0"/>
          <w:snapToGrid/>
          <w:color w:val="auto"/>
          <w:spacing w:val="0"/>
          <w:kern w:val="21"/>
          <w:position w:val="0"/>
          <w:sz w:val="32"/>
          <w:szCs w:val="32"/>
          <w:lang w:val="en" w:eastAsia="zh-CN" w:bidi="ar-SA"/>
        </w:rPr>
        <w:t>全市范围内依法必须进行招标的工程建设项目，招标人应在项目招标公告（或资格预审公告）发布时间30日前通过市公共资源交易平台发布招标计划，提前为潜在投标人了解招标项目情况。招标计划仅为参考，实际招标项目情况以招标公告为准，因特殊原因需紧急开展的招标项目，经招投标行政监督部门同意后，可视情缩短提前发布时间。</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 w:eastAsia="zh-CN"/>
        </w:rPr>
      </w:pPr>
      <w:r>
        <w:rPr>
          <w:rFonts w:hint="eastAsia" w:ascii="楷体_GB2312" w:hAnsi="楷体_GB2312" w:eastAsia="楷体_GB2312" w:cs="楷体_GB2312"/>
          <w:b w:val="0"/>
          <w:snapToGrid/>
          <w:color w:val="auto"/>
          <w:spacing w:val="0"/>
          <w:kern w:val="21"/>
          <w:position w:val="0"/>
          <w:sz w:val="32"/>
          <w:szCs w:val="32"/>
          <w:lang w:val="en" w:eastAsia="zh-CN" w:bidi="ar-SA"/>
        </w:rPr>
        <w:t>（十）加大信息公开力度。</w:t>
      </w:r>
      <w:r>
        <w:rPr>
          <w:rFonts w:hint="eastAsia" w:ascii="仿宋_GB2312" w:hAnsi="仿宋_GB2312" w:eastAsia="仿宋_GB2312" w:cs="仿宋_GB2312"/>
          <w:b w:val="0"/>
          <w:snapToGrid/>
          <w:color w:val="auto"/>
          <w:spacing w:val="0"/>
          <w:kern w:val="21"/>
          <w:position w:val="0"/>
          <w:sz w:val="32"/>
          <w:szCs w:val="32"/>
          <w:lang w:val="en" w:eastAsia="zh-CN"/>
        </w:rPr>
        <w:t>招标人应及时在省公共资源交易服务平台和市公共资源交易平台发布依法必须招标项目的招标投标信息，包括资格预审公告、招标公告、开标记录、评标委员会评审信息、评标结果、中标候选人、定标方法、受理投诉的联系方式等内容。招标人应在发布资格预审公告、招标公告前将拟发布的资格预审文件、招标文件公示不少于5日。招标公告中应载明招标投标行政监督部门。招标人应在合同签订后15日内公开合同订立信息，并按照国家和省、市有关规定及时公开项目重大变动、合同重大变更、合同中止履行和解除、履约验收、价款结算等履约情况信息；合同金额变更超过10%、工期延长超过15%、项目负责人变更等应作为合同重大变更情形进行公开并注明原因。</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 w:eastAsia="zh-CN"/>
        </w:rPr>
      </w:pPr>
      <w:r>
        <w:rPr>
          <w:rFonts w:hint="eastAsia" w:ascii="楷体_GB2312" w:hAnsi="楷体_GB2312" w:eastAsia="楷体_GB2312" w:cs="楷体_GB2312"/>
          <w:b w:val="0"/>
          <w:snapToGrid/>
          <w:color w:val="auto"/>
          <w:spacing w:val="0"/>
          <w:kern w:val="21"/>
          <w:position w:val="0"/>
          <w:sz w:val="32"/>
          <w:szCs w:val="32"/>
          <w:lang w:val="en" w:eastAsia="zh-CN"/>
        </w:rPr>
        <w:t>（十</w:t>
      </w:r>
      <w:r>
        <w:rPr>
          <w:rFonts w:hint="eastAsia" w:ascii="楷体_GB2312" w:hAnsi="楷体_GB2312" w:eastAsia="楷体_GB2312" w:cs="楷体_GB2312"/>
          <w:b w:val="0"/>
          <w:snapToGrid/>
          <w:color w:val="auto"/>
          <w:spacing w:val="0"/>
          <w:kern w:val="21"/>
          <w:position w:val="0"/>
          <w:sz w:val="32"/>
          <w:szCs w:val="32"/>
          <w:lang w:val="en-US" w:eastAsia="zh-CN"/>
        </w:rPr>
        <w:t>一</w:t>
      </w:r>
      <w:r>
        <w:rPr>
          <w:rFonts w:hint="eastAsia" w:ascii="楷体_GB2312" w:hAnsi="楷体_GB2312" w:eastAsia="楷体_GB2312" w:cs="楷体_GB2312"/>
          <w:b w:val="0"/>
          <w:snapToGrid/>
          <w:color w:val="auto"/>
          <w:spacing w:val="0"/>
          <w:kern w:val="21"/>
          <w:position w:val="0"/>
          <w:sz w:val="32"/>
          <w:szCs w:val="32"/>
          <w:lang w:val="en" w:eastAsia="zh-CN"/>
        </w:rPr>
        <w:t>）规范使用统一的资格预审文件和招标文件示范文本。</w:t>
      </w:r>
      <w:r>
        <w:rPr>
          <w:rFonts w:hint="eastAsia" w:ascii="仿宋_GB2312" w:hAnsi="仿宋_GB2312" w:eastAsia="仿宋_GB2312" w:cs="仿宋_GB2312"/>
          <w:b w:val="0"/>
          <w:snapToGrid/>
          <w:color w:val="auto"/>
          <w:spacing w:val="0"/>
          <w:kern w:val="21"/>
          <w:position w:val="0"/>
          <w:sz w:val="32"/>
          <w:szCs w:val="32"/>
          <w:lang w:val="en" w:eastAsia="zh-CN"/>
        </w:rPr>
        <w:t>已有全省统一示范文本的，各部门及各县（市、区）不得自行制定发布资格预审文件、招标文件示范文本并要求招标人使用。</w:t>
      </w:r>
      <w:r>
        <w:rPr>
          <w:rFonts w:hint="eastAsia" w:ascii="仿宋_GB2312" w:hAnsi="仿宋_GB2312" w:eastAsia="仿宋_GB2312" w:cs="仿宋_GB2312"/>
          <w:snapToGrid/>
          <w:color w:val="auto"/>
          <w:spacing w:val="0"/>
          <w:kern w:val="21"/>
          <w:sz w:val="32"/>
          <w:szCs w:val="32"/>
          <w:lang w:val="en" w:eastAsia="zh-CN"/>
        </w:rPr>
        <w:t>鼓励国有资金占控股或者主导地位的依法必须进行招标的项目招标人，在发布资格预审公告、招标公告前对资格预审文件、招标文件进行公平竞争审查。</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highlight w:val="none"/>
          <w:lang w:val="en"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（十</w:t>
      </w:r>
      <w:r>
        <w:rPr>
          <w:rFonts w:hint="eastAsia" w:ascii="楷体_GB2312" w:hAnsi="楷体_GB2312" w:eastAsia="楷体_GB2312" w:cs="楷体_GB2312"/>
          <w:b w:val="0"/>
          <w:snapToGrid/>
          <w:color w:val="auto"/>
          <w:spacing w:val="0"/>
          <w:kern w:val="21"/>
          <w:position w:val="0"/>
          <w:sz w:val="32"/>
          <w:szCs w:val="32"/>
          <w:lang w:val="en" w:eastAsia="zh-CN"/>
        </w:rPr>
        <w:t>二</w:t>
      </w:r>
      <w:r>
        <w:rPr>
          <w:rFonts w:hint="eastAsia" w:ascii="楷体_GB2312" w:hAnsi="楷体_GB2312" w:eastAsia="楷体_GB2312" w:cs="楷体_GB2312"/>
          <w:b w:val="0"/>
          <w:snapToGrid/>
          <w:color w:val="auto"/>
          <w:spacing w:val="0"/>
          <w:kern w:val="21"/>
          <w:position w:val="0"/>
          <w:sz w:val="32"/>
          <w:szCs w:val="32"/>
          <w:lang w:val="en-US" w:eastAsia="zh-CN" w:bidi="ar-SA"/>
        </w:rPr>
        <w:t>）改进评标办法和评标机制</w:t>
      </w:r>
      <w:r>
        <w:rPr>
          <w:rStyle w:val="9"/>
          <w:rFonts w:hint="eastAsia" w:ascii="仿宋" w:hAnsi="仿宋" w:eastAsia="仿宋" w:cs="仿宋"/>
          <w:b w:val="0"/>
          <w:bCs w:val="0"/>
          <w:i w:val="0"/>
          <w:caps w:val="0"/>
          <w:snapToGrid/>
          <w:color w:val="auto"/>
          <w:spacing w:val="0"/>
          <w:kern w:val="21"/>
          <w:sz w:val="32"/>
          <w:szCs w:val="32"/>
          <w:highlight w:val="none"/>
          <w:lang w:val="en-US" w:eastAsia="en-US" w:bidi="ar-SA"/>
        </w:rPr>
        <w:t>。</w:t>
      </w:r>
      <w:r>
        <w:rPr>
          <w:rFonts w:hint="eastAsia" w:ascii="仿宋_GB2312" w:hAnsi="仿宋_GB2312" w:eastAsia="仿宋_GB2312" w:cs="仿宋_GB2312"/>
          <w:snapToGrid/>
          <w:color w:val="auto"/>
          <w:kern w:val="21"/>
          <w:sz w:val="32"/>
          <w:szCs w:val="32"/>
          <w:highlight w:val="none"/>
          <w:lang w:val="en" w:eastAsia="zh-CN"/>
        </w:rPr>
        <w:t>规范经评审的最低投标价法适用范围，一般适用于具有通用技术、性能标准或者招标人对技术、性能没有特殊要求的招标项目。在勘察设计项目评标中突出技术因素、相应增加权重。</w:t>
      </w:r>
      <w:r>
        <w:rPr>
          <w:rFonts w:hint="eastAsia" w:ascii="仿宋_GB2312" w:hAnsi="仿宋_GB2312" w:eastAsia="仿宋_GB2312" w:cs="仿宋_GB2312"/>
          <w:b w:val="0"/>
          <w:bCs w:val="0"/>
          <w:i w:val="0"/>
          <w:caps w:val="0"/>
          <w:snapToGrid/>
          <w:color w:val="auto"/>
          <w:spacing w:val="0"/>
          <w:kern w:val="21"/>
          <w:sz w:val="32"/>
          <w:szCs w:val="32"/>
          <w:highlight w:val="none"/>
          <w:lang w:val="en" w:eastAsia="zh-CN" w:bidi="ar-SA"/>
        </w:rPr>
        <w:t>积极推广网络远程异地评标</w:t>
      </w:r>
      <w:r>
        <w:rPr>
          <w:rFonts w:hint="eastAsia" w:ascii="仿宋_GB2312" w:hAnsi="仿宋_GB2312" w:eastAsia="仿宋_GB2312" w:cs="仿宋_GB2312"/>
          <w:b w:val="0"/>
          <w:snapToGrid/>
          <w:color w:val="auto"/>
          <w:spacing w:val="0"/>
          <w:kern w:val="21"/>
          <w:position w:val="0"/>
          <w:sz w:val="32"/>
          <w:szCs w:val="32"/>
          <w:highlight w:val="none"/>
          <w:lang w:val="en" w:eastAsia="zh-CN" w:bidi="ar-SA"/>
        </w:rPr>
        <w:t>，</w:t>
      </w:r>
      <w:r>
        <w:rPr>
          <w:rFonts w:hint="eastAsia" w:ascii="仿宋_GB2312" w:hAnsi="仿宋_GB2312" w:eastAsia="仿宋_GB2312" w:cs="仿宋_GB2312"/>
          <w:b w:val="0"/>
          <w:snapToGrid/>
          <w:color w:val="auto"/>
          <w:spacing w:val="0"/>
          <w:kern w:val="21"/>
          <w:position w:val="0"/>
          <w:sz w:val="32"/>
          <w:szCs w:val="32"/>
          <w:highlight w:val="none"/>
          <w:lang w:val="en" w:eastAsia="zh-CN"/>
        </w:rPr>
        <w:t>加强与省外城市的合作，推动优质评标专家资源跨地区、跨行业共享。探索建立远程异地</w:t>
      </w:r>
      <w:r>
        <w:rPr>
          <w:rFonts w:hint="eastAsia" w:ascii="仿宋_GB2312" w:hAnsi="仿宋_GB2312" w:eastAsia="仿宋_GB2312" w:cs="仿宋_GB2312"/>
          <w:snapToGrid/>
          <w:color w:val="auto"/>
          <w:kern w:val="21"/>
          <w:sz w:val="32"/>
          <w:szCs w:val="32"/>
          <w:highlight w:val="none"/>
          <w:lang w:val="en" w:eastAsia="zh-CN"/>
        </w:rPr>
        <w:t>副场随机抽取、主副场评标专家专业及数量随机分配的</w:t>
      </w:r>
      <w:r>
        <w:rPr>
          <w:rFonts w:hint="eastAsia" w:ascii="仿宋_GB2312" w:hAnsi="仿宋_GB2312" w:eastAsia="仿宋_GB2312" w:cs="仿宋_GB2312"/>
          <w:snapToGrid/>
          <w:color w:val="auto"/>
          <w:kern w:val="21"/>
          <w:sz w:val="32"/>
          <w:szCs w:val="32"/>
          <w:highlight w:val="none"/>
          <w:u w:val="none"/>
          <w:lang w:val="en" w:eastAsia="zh-CN"/>
        </w:rPr>
        <w:t>远程异地评标“双随机”机制</w:t>
      </w:r>
      <w:r>
        <w:rPr>
          <w:rFonts w:hint="eastAsia" w:ascii="仿宋_GB2312" w:hAnsi="仿宋_GB2312" w:eastAsia="仿宋_GB2312" w:cs="仿宋_GB2312"/>
          <w:snapToGrid/>
          <w:color w:val="auto"/>
          <w:kern w:val="21"/>
          <w:sz w:val="32"/>
          <w:szCs w:val="32"/>
          <w:highlight w:val="none"/>
          <w:lang w:val="en" w:eastAsia="zh-CN"/>
        </w:rPr>
        <w:t>。</w:t>
      </w:r>
      <w:r>
        <w:rPr>
          <w:rFonts w:hint="eastAsia" w:ascii="仿宋_GB2312" w:hAnsi="仿宋_GB2312" w:eastAsia="仿宋_GB2312" w:cs="仿宋_GB2312"/>
          <w:b w:val="0"/>
          <w:snapToGrid/>
          <w:color w:val="auto"/>
          <w:spacing w:val="0"/>
          <w:kern w:val="21"/>
          <w:position w:val="0"/>
          <w:sz w:val="32"/>
          <w:szCs w:val="32"/>
          <w:highlight w:val="none"/>
          <w:lang w:val="en" w:eastAsia="zh-CN"/>
        </w:rPr>
        <w:t>常</w:t>
      </w:r>
      <w:r>
        <w:rPr>
          <w:rFonts w:hint="eastAsia" w:ascii="仿宋_GB2312" w:hAnsi="仿宋_GB2312" w:eastAsia="仿宋_GB2312" w:cs="仿宋_GB2312"/>
          <w:b w:val="0"/>
          <w:snapToGrid/>
          <w:color w:val="auto"/>
          <w:spacing w:val="0"/>
          <w:kern w:val="21"/>
          <w:position w:val="0"/>
          <w:sz w:val="32"/>
          <w:szCs w:val="32"/>
          <w:lang w:val="en" w:eastAsia="zh-CN"/>
        </w:rPr>
        <w:t>态</w:t>
      </w:r>
      <w:r>
        <w:rPr>
          <w:rFonts w:hint="eastAsia" w:ascii="仿宋_GB2312" w:hAnsi="仿宋_GB2312" w:eastAsia="仿宋_GB2312" w:cs="仿宋_GB2312"/>
          <w:b w:val="0"/>
          <w:snapToGrid/>
          <w:color w:val="auto"/>
          <w:spacing w:val="0"/>
          <w:kern w:val="21"/>
          <w:position w:val="0"/>
          <w:sz w:val="32"/>
          <w:szCs w:val="32"/>
          <w:highlight w:val="none"/>
          <w:lang w:val="en" w:eastAsia="zh-CN"/>
        </w:rPr>
        <w:t>化开展省内远程异地多点评标，推进评标专家当天抽取、就地评审。鼓励运用隐藏投标人信息的暗标评审，深化电子暗标评审在各类型工程建设项目中的应用。</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 w:eastAsia="zh-CN" w:bidi="ar-SA"/>
        </w:rPr>
      </w:pPr>
      <w:r>
        <w:rPr>
          <w:rFonts w:hint="eastAsia" w:ascii="楷体_GB2312" w:hAnsi="楷体_GB2312" w:eastAsia="楷体_GB2312" w:cs="楷体_GB2312"/>
          <w:b w:val="0"/>
          <w:snapToGrid/>
          <w:color w:val="auto"/>
          <w:spacing w:val="0"/>
          <w:kern w:val="21"/>
          <w:position w:val="0"/>
          <w:sz w:val="32"/>
          <w:szCs w:val="32"/>
          <w:lang w:val="en-US" w:eastAsia="zh-CN" w:bidi="ar-SA"/>
        </w:rPr>
        <w:t>（十三）提高评标质量和效率。</w:t>
      </w:r>
      <w:r>
        <w:rPr>
          <w:rFonts w:hint="eastAsia" w:ascii="仿宋_GB2312" w:hAnsi="仿宋_GB2312" w:eastAsia="仿宋_GB2312" w:cs="仿宋_GB2312"/>
          <w:snapToGrid/>
          <w:color w:val="auto"/>
          <w:kern w:val="21"/>
          <w:sz w:val="32"/>
          <w:szCs w:val="32"/>
          <w:highlight w:val="none"/>
          <w:lang w:val="en" w:eastAsia="zh-CN"/>
        </w:rPr>
        <w:t>合理确定评标时间和评标委员会成员人数，完善评标委员会对异常低价的判别处理程序，依法否决严重影响履约的低价投标。</w:t>
      </w:r>
      <w:r>
        <w:rPr>
          <w:rFonts w:hint="eastAsia" w:ascii="仿宋_GB2312" w:hAnsi="仿宋_GB2312" w:eastAsia="仿宋_GB2312" w:cs="仿宋_GB2312"/>
          <w:b w:val="0"/>
          <w:snapToGrid/>
          <w:color w:val="auto"/>
          <w:spacing w:val="0"/>
          <w:kern w:val="21"/>
          <w:position w:val="0"/>
          <w:sz w:val="32"/>
          <w:szCs w:val="32"/>
          <w:lang w:val="en" w:eastAsia="zh-CN"/>
        </w:rPr>
        <w:t>评标委员会认为投标文件存在应否决投标情形的，应在否决投标前就拟否决情形向投标人进行书面（在线）询问核对，并在书面（在线）记录询问情况和投标人反馈情况。评标委员会完成评标后应向招标人提交书面评标报告，按照招标文件规定的数量推荐中标候选人，并对每个中标候选人的评审情况和推荐理由进行说明。</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（十四）优化中标人确定程序。</w:t>
      </w:r>
      <w:r>
        <w:rPr>
          <w:rFonts w:hint="eastAsia" w:ascii="仿宋_GB2312" w:hAnsi="仿宋_GB2312" w:eastAsia="仿宋_GB2312" w:cs="仿宋_GB2312"/>
          <w:i w:val="0"/>
          <w:iCs w:val="0"/>
          <w:caps w:val="0"/>
          <w:snapToGrid/>
          <w:color w:val="auto"/>
          <w:spacing w:val="0"/>
          <w:kern w:val="21"/>
          <w:sz w:val="32"/>
          <w:szCs w:val="32"/>
          <w:shd w:val="clear" w:color="auto" w:fill="auto"/>
          <w:lang w:bidi="ar-SA"/>
        </w:rPr>
        <w:t>探索招标人从评标委员会推荐的中标候选人范围内自主研究确定中标人</w:t>
      </w:r>
      <w:r>
        <w:rPr>
          <w:rFonts w:hint="eastAsia" w:ascii="仿宋_GB2312" w:hAnsi="仿宋_GB2312" w:eastAsia="仿宋_GB2312" w:cs="仿宋_GB2312"/>
          <w:i w:val="0"/>
          <w:iCs w:val="0"/>
          <w:caps w:val="0"/>
          <w:snapToGrid/>
          <w:color w:val="auto"/>
          <w:spacing w:val="0"/>
          <w:kern w:val="21"/>
          <w:sz w:val="32"/>
          <w:szCs w:val="32"/>
          <w:shd w:val="clear" w:color="auto" w:fill="auto"/>
          <w:lang w:eastAsia="zh-CN" w:bidi="ar-SA"/>
        </w:rPr>
        <w:t>，</w:t>
      </w:r>
      <w:r>
        <w:rPr>
          <w:rFonts w:hint="eastAsia" w:ascii="仿宋" w:hAnsi="仿宋" w:eastAsia="仿宋" w:cs="仿宋"/>
          <w:b w:val="0"/>
          <w:snapToGrid/>
          <w:color w:val="auto"/>
          <w:spacing w:val="0"/>
          <w:kern w:val="21"/>
          <w:position w:val="0"/>
          <w:sz w:val="32"/>
          <w:szCs w:val="32"/>
          <w:lang w:eastAsia="zh-CN"/>
        </w:rPr>
        <w:t>招标人应建立定标机制和内控制度，</w:t>
      </w:r>
      <w:r>
        <w:rPr>
          <w:rFonts w:hint="eastAsia" w:ascii="仿宋_GB2312" w:hAnsi="仿宋_GB2312" w:eastAsia="仿宋_GB2312" w:cs="仿宋_GB2312"/>
          <w:b w:val="0"/>
          <w:snapToGrid/>
          <w:color w:val="auto"/>
          <w:spacing w:val="0"/>
          <w:kern w:val="21"/>
          <w:position w:val="0"/>
          <w:sz w:val="32"/>
          <w:szCs w:val="32"/>
          <w:lang w:eastAsia="zh-CN"/>
        </w:rPr>
        <w:t>并纳入“三重一大”议事管理范围。</w:t>
      </w:r>
      <w:r>
        <w:rPr>
          <w:rFonts w:hint="eastAsia" w:ascii="仿宋_GB2312" w:hAnsi="仿宋_GB2312" w:eastAsia="仿宋_GB2312" w:cs="仿宋_GB2312"/>
          <w:b w:val="0"/>
          <w:snapToGrid/>
          <w:color w:val="auto"/>
          <w:spacing w:val="0"/>
          <w:kern w:val="21"/>
          <w:position w:val="0"/>
          <w:sz w:val="32"/>
          <w:szCs w:val="32"/>
          <w:lang w:val="en-US" w:eastAsia="zh-CN"/>
        </w:rPr>
        <w:t>招标人可采用票决定标法、智慧定标法、集体议事法等，也可以自主选择其他定标方式，定标方法应在招标文件中明确。定标会议原则上应于中标候选人公示期满后3日内召开，定标委员会应</w:t>
      </w:r>
      <w:r>
        <w:rPr>
          <w:rFonts w:hint="eastAsia" w:ascii="仿宋_GB2312" w:hAnsi="仿宋_GB2312" w:eastAsia="仿宋_GB2312" w:cs="仿宋_GB2312"/>
          <w:b w:val="0"/>
          <w:snapToGrid/>
          <w:color w:val="auto"/>
          <w:spacing w:val="0"/>
          <w:kern w:val="21"/>
          <w:position w:val="0"/>
          <w:sz w:val="32"/>
          <w:szCs w:val="32"/>
          <w:lang w:eastAsia="zh-CN"/>
        </w:rPr>
        <w:t>按照充分竞争、评优定优的原则，综合考虑信用、履约、报价等因素，择优选择合适的中标候选人成为中标人。定标结束后</w:t>
      </w:r>
      <w:r>
        <w:rPr>
          <w:rFonts w:hint="eastAsia" w:ascii="仿宋_GB2312" w:hAnsi="仿宋_GB2312" w:eastAsia="仿宋_GB2312" w:cs="仿宋_GB2312"/>
          <w:b w:val="0"/>
          <w:snapToGrid/>
          <w:color w:val="auto"/>
          <w:spacing w:val="0"/>
          <w:kern w:val="21"/>
          <w:position w:val="0"/>
          <w:sz w:val="32"/>
          <w:szCs w:val="32"/>
          <w:lang w:val="en-US" w:eastAsia="zh-CN"/>
        </w:rPr>
        <w:t>3日内，招标人应当将中标结果情况在指定交易平台公告不少于3日。</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b w:val="0"/>
          <w:snapToGrid/>
          <w:color w:val="auto"/>
          <w:spacing w:val="0"/>
          <w:kern w:val="21"/>
          <w:position w:val="0"/>
          <w:sz w:val="32"/>
          <w:szCs w:val="32"/>
          <w:lang w:val="en-US" w:eastAsia="zh-CN" w:bidi="ar-SA"/>
        </w:rPr>
      </w:pPr>
      <w:r>
        <w:rPr>
          <w:rStyle w:val="9"/>
          <w:rFonts w:hint="eastAsia" w:ascii="黑体" w:hAnsi="黑体" w:eastAsia="黑体" w:cs="黑体"/>
          <w:b w:val="0"/>
          <w:bCs/>
          <w:i w:val="0"/>
          <w:iCs w:val="0"/>
          <w:caps w:val="0"/>
          <w:snapToGrid/>
          <w:color w:val="auto"/>
          <w:spacing w:val="0"/>
          <w:kern w:val="21"/>
          <w:sz w:val="32"/>
          <w:szCs w:val="32"/>
          <w:shd w:val="clear" w:color="auto" w:fill="FFFFFF"/>
          <w:lang w:eastAsia="zh-CN"/>
        </w:rPr>
        <w:t>四</w:t>
      </w:r>
      <w:r>
        <w:rPr>
          <w:rStyle w:val="9"/>
          <w:rFonts w:hint="eastAsia" w:ascii="黑体" w:hAnsi="黑体" w:eastAsia="黑体" w:cs="黑体"/>
          <w:b w:val="0"/>
          <w:bCs/>
          <w:i w:val="0"/>
          <w:iCs w:val="0"/>
          <w:caps w:val="0"/>
          <w:snapToGrid/>
          <w:color w:val="auto"/>
          <w:spacing w:val="0"/>
          <w:kern w:val="21"/>
          <w:sz w:val="32"/>
          <w:szCs w:val="32"/>
          <w:shd w:val="clear" w:color="auto" w:fill="FFFFFF"/>
        </w:rPr>
        <w:t>、</w:t>
      </w:r>
      <w:r>
        <w:rPr>
          <w:rFonts w:hint="eastAsia" w:ascii="黑体" w:hAnsi="黑体" w:eastAsia="黑体" w:cs="黑体"/>
          <w:b w:val="0"/>
          <w:snapToGrid/>
          <w:color w:val="auto"/>
          <w:spacing w:val="0"/>
          <w:kern w:val="21"/>
          <w:position w:val="0"/>
          <w:sz w:val="32"/>
          <w:szCs w:val="32"/>
          <w:lang w:eastAsia="zh-CN"/>
        </w:rPr>
        <w:t>强化数字赋能，推进数智招标投标转型升级。</w:t>
      </w:r>
    </w:p>
    <w:p>
      <w:pPr>
        <w:pStyle w:val="3"/>
        <w:widowControl w:val="0"/>
        <w:kinsoku/>
        <w:overflowPunct w:val="0"/>
        <w:topLinePunct/>
        <w:autoSpaceDE/>
        <w:autoSpaceDN/>
        <w:spacing w:line="560" w:lineRule="exact"/>
        <w:ind w:firstLine="640" w:firstLineChars="200"/>
        <w:jc w:val="both"/>
        <w:rPr>
          <w:rFonts w:hint="eastAsia" w:ascii="仿宋_GB2312" w:hAnsi="仿宋_GB2312" w:eastAsia="仿宋_GB2312" w:cs="仿宋_GB2312"/>
          <w:b w:val="0"/>
          <w:snapToGrid/>
          <w:color w:val="auto"/>
          <w:spacing w:val="0"/>
          <w:kern w:val="21"/>
          <w:position w:val="0"/>
          <w:sz w:val="32"/>
          <w:szCs w:val="32"/>
          <w:lang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（十五）推进全流程电子化交易。</w:t>
      </w:r>
      <w:r>
        <w:rPr>
          <w:rFonts w:hint="eastAsia" w:ascii="仿宋_GB2312" w:hAnsi="仿宋_GB2312" w:eastAsia="仿宋_GB2312" w:cs="仿宋_GB2312"/>
          <w:b w:val="0"/>
          <w:snapToGrid/>
          <w:color w:val="auto"/>
          <w:spacing w:val="0"/>
          <w:kern w:val="21"/>
          <w:position w:val="0"/>
          <w:sz w:val="32"/>
          <w:szCs w:val="32"/>
          <w:lang w:eastAsia="zh-CN"/>
        </w:rPr>
        <w:t>按照政府主导、互联互通、开放共享原则，</w:t>
      </w:r>
      <w:r>
        <w:rPr>
          <w:rFonts w:hint="eastAsia" w:ascii="仿宋_GB2312" w:hAnsi="仿宋_GB2312" w:eastAsia="仿宋_GB2312" w:cs="仿宋_GB2312"/>
          <w:b w:val="0"/>
          <w:snapToGrid/>
          <w:color w:val="auto"/>
          <w:spacing w:val="0"/>
          <w:kern w:val="21"/>
          <w:position w:val="0"/>
          <w:sz w:val="32"/>
          <w:szCs w:val="32"/>
          <w:lang w:val="en-US" w:eastAsia="zh-CN"/>
        </w:rPr>
        <w:t>强化平台整合，建立全市统一的电子招标投标平台</w:t>
      </w:r>
      <w:r>
        <w:rPr>
          <w:rFonts w:hint="eastAsia" w:ascii="仿宋_GB2312" w:hAnsi="仿宋_GB2312" w:eastAsia="仿宋_GB2312" w:cs="仿宋_GB2312"/>
          <w:b w:val="0"/>
          <w:snapToGrid/>
          <w:color w:val="auto"/>
          <w:spacing w:val="0"/>
          <w:kern w:val="21"/>
          <w:position w:val="0"/>
          <w:sz w:val="32"/>
          <w:szCs w:val="32"/>
          <w:lang w:eastAsia="zh-CN"/>
        </w:rPr>
        <w:t>，健全全市统一的交易主体信息库。</w:t>
      </w:r>
      <w:r>
        <w:rPr>
          <w:rFonts w:hint="eastAsia" w:ascii="仿宋_GB2312" w:hAnsi="仿宋_GB2312" w:eastAsia="仿宋_GB2312" w:cs="仿宋_GB2312"/>
          <w:b w:val="0"/>
          <w:snapToGrid/>
          <w:color w:val="auto"/>
          <w:spacing w:val="0"/>
          <w:kern w:val="21"/>
          <w:position w:val="0"/>
          <w:sz w:val="32"/>
          <w:szCs w:val="32"/>
          <w:lang w:val="en-US" w:eastAsia="zh-CN"/>
        </w:rPr>
        <w:t>除涉及国家安全、国家秘密或技术条件限制等特殊情况外，依法必须进行招标的项目的招标投标活动应采用电子招标投标方式，并进入各级公共资源交易平台进行交易。要根据国家有关法律法规和技术规范，建立健全交易场所、平台、系统、数据库等的规范运行和安全管理制度，保障交易安全；及时落实监管要求，提供监管所需的数据、信息、权限、通道、场所等，配合有关行业行政主管部门和招标投标行政监督部门实施监管。</w:t>
      </w:r>
    </w:p>
    <w:p>
      <w:pPr>
        <w:widowControl w:val="0"/>
        <w:kinsoku/>
        <w:overflowPunct w:val="0"/>
        <w:topLinePunct/>
        <w:autoSpaceDE/>
        <w:autoSpaceDN/>
        <w:spacing w:line="560" w:lineRule="exact"/>
        <w:ind w:firstLine="640" w:firstLineChars="200"/>
        <w:jc w:val="both"/>
        <w:rPr>
          <w:rFonts w:hint="eastAsia" w:ascii="仿宋_GB2312" w:hAnsi="仿宋_GB2312" w:eastAsia="仿宋_GB2312" w:cs="仿宋_GB2312"/>
          <w:i w:val="0"/>
          <w:iCs w:val="0"/>
          <w:caps w:val="0"/>
          <w:snapToGrid/>
          <w:color w:val="auto"/>
          <w:spacing w:val="0"/>
          <w:kern w:val="21"/>
          <w:sz w:val="32"/>
          <w:szCs w:val="32"/>
          <w:shd w:val="clear" w:color="auto" w:fill="auto"/>
          <w:lang w:val="en-US" w:eastAsia="zh-CN" w:bidi="ar-SA"/>
        </w:rPr>
      </w:pPr>
      <w:r>
        <w:rPr>
          <w:rFonts w:hint="eastAsia" w:ascii="楷体_GB2312" w:hAnsi="楷体_GB2312" w:eastAsia="楷体_GB2312" w:cs="楷体_GB2312"/>
          <w:b w:val="0"/>
          <w:snapToGrid/>
          <w:color w:val="auto"/>
          <w:spacing w:val="0"/>
          <w:kern w:val="21"/>
          <w:position w:val="0"/>
          <w:sz w:val="32"/>
          <w:szCs w:val="32"/>
          <w:lang w:eastAsia="zh-CN" w:bidi="ar-SA"/>
        </w:rPr>
        <w:t>（十</w:t>
      </w:r>
      <w:r>
        <w:rPr>
          <w:rFonts w:hint="eastAsia" w:ascii="楷体_GB2312" w:hAnsi="楷体_GB2312" w:eastAsia="楷体_GB2312" w:cs="楷体_GB2312"/>
          <w:b w:val="0"/>
          <w:snapToGrid/>
          <w:color w:val="auto"/>
          <w:spacing w:val="0"/>
          <w:kern w:val="21"/>
          <w:position w:val="0"/>
          <w:sz w:val="32"/>
          <w:szCs w:val="32"/>
          <w:lang w:val="en-US" w:eastAsia="zh-CN" w:bidi="ar-SA"/>
        </w:rPr>
        <w:t>六</w:t>
      </w:r>
      <w:r>
        <w:rPr>
          <w:rFonts w:hint="eastAsia" w:ascii="楷体_GB2312" w:hAnsi="楷体_GB2312" w:eastAsia="楷体_GB2312" w:cs="楷体_GB2312"/>
          <w:b w:val="0"/>
          <w:snapToGrid/>
          <w:color w:val="auto"/>
          <w:spacing w:val="0"/>
          <w:kern w:val="21"/>
          <w:position w:val="0"/>
          <w:sz w:val="32"/>
          <w:szCs w:val="32"/>
          <w:lang w:eastAsia="zh-CN" w:bidi="ar-SA"/>
        </w:rPr>
        <w:t>）推进数字</w:t>
      </w:r>
      <w:r>
        <w:rPr>
          <w:rFonts w:hint="eastAsia" w:ascii="楷体_GB2312" w:hAnsi="楷体_GB2312" w:eastAsia="楷体_GB2312" w:cs="楷体_GB2312"/>
          <w:i w:val="0"/>
          <w:iCs w:val="0"/>
          <w:caps w:val="0"/>
          <w:snapToGrid/>
          <w:color w:val="auto"/>
          <w:spacing w:val="0"/>
          <w:kern w:val="21"/>
          <w:sz w:val="32"/>
          <w:szCs w:val="32"/>
          <w:shd w:val="clear" w:color="auto" w:fill="auto"/>
          <w:lang w:val="en-US" w:eastAsia="zh-CN" w:bidi="ar-SA"/>
        </w:rPr>
        <w:t>化</w:t>
      </w:r>
      <w:r>
        <w:rPr>
          <w:rStyle w:val="10"/>
          <w:rFonts w:hint="eastAsia" w:ascii="楷体_GB2312" w:hAnsi="楷体_GB2312" w:eastAsia="楷体_GB2312" w:cs="楷体_GB2312"/>
          <w:i w:val="0"/>
          <w:iCs w:val="0"/>
          <w:caps w:val="0"/>
          <w:snapToGrid/>
          <w:color w:val="auto"/>
          <w:spacing w:val="0"/>
          <w:kern w:val="21"/>
          <w:sz w:val="32"/>
          <w:szCs w:val="32"/>
          <w:shd w:val="clear" w:color="auto" w:fill="auto"/>
          <w:lang w:val="en-US" w:eastAsia="zh-CN" w:bidi="ar-SA"/>
        </w:rPr>
        <w:t>见证</w:t>
      </w:r>
      <w:r>
        <w:rPr>
          <w:rFonts w:hint="eastAsia" w:ascii="楷体_GB2312" w:hAnsi="楷体_GB2312" w:eastAsia="楷体_GB2312" w:cs="楷体_GB2312"/>
          <w:b w:val="0"/>
          <w:snapToGrid/>
          <w:color w:val="auto"/>
          <w:spacing w:val="0"/>
          <w:kern w:val="21"/>
          <w:position w:val="0"/>
          <w:sz w:val="32"/>
          <w:szCs w:val="32"/>
          <w:lang w:eastAsia="zh-CN" w:bidi="ar-SA"/>
        </w:rPr>
        <w:t>服务。</w:t>
      </w:r>
      <w:r>
        <w:rPr>
          <w:rFonts w:hint="eastAsia" w:ascii="仿宋_GB2312" w:hAnsi="仿宋_GB2312" w:eastAsia="仿宋_GB2312" w:cs="仿宋_GB2312"/>
          <w:i w:val="0"/>
          <w:iCs w:val="0"/>
          <w:caps w:val="0"/>
          <w:snapToGrid/>
          <w:color w:val="auto"/>
          <w:spacing w:val="0"/>
          <w:kern w:val="21"/>
          <w:sz w:val="32"/>
          <w:szCs w:val="32"/>
          <w:shd w:val="clear" w:color="auto" w:fill="auto"/>
          <w:lang w:val="en-US" w:eastAsia="zh-CN" w:bidi="ar-SA"/>
        </w:rPr>
        <w:t>全面排查全流程电子化交易过程的风险点，进一步明确电子见证服务内容，充分利用视频监控、拾音设备、语音对讲、人脸识别等信息化手段，</w:t>
      </w:r>
      <w:r>
        <w:rPr>
          <w:rFonts w:hint="eastAsia" w:ascii="仿宋_GB2312" w:hAnsi="仿宋_GB2312" w:eastAsia="仿宋_GB2312" w:cs="仿宋_GB2312"/>
          <w:b w:val="0"/>
          <w:i w:val="0"/>
          <w:iCs w:val="0"/>
          <w:caps w:val="0"/>
          <w:snapToGrid/>
          <w:color w:val="auto"/>
          <w:spacing w:val="0"/>
          <w:kern w:val="21"/>
          <w:sz w:val="32"/>
          <w:szCs w:val="32"/>
          <w:shd w:val="clear" w:color="auto" w:fill="auto"/>
          <w:lang w:val="en-US" w:eastAsia="zh-CN" w:bidi="ar-SA"/>
        </w:rPr>
        <w:t>建立健全</w:t>
      </w:r>
      <w:r>
        <w:rPr>
          <w:rFonts w:hint="eastAsia" w:ascii="仿宋_GB2312" w:hAnsi="仿宋_GB2312" w:eastAsia="仿宋_GB2312" w:cs="仿宋_GB2312"/>
          <w:i w:val="0"/>
          <w:iCs w:val="0"/>
          <w:caps w:val="0"/>
          <w:snapToGrid/>
          <w:color w:val="auto"/>
          <w:spacing w:val="0"/>
          <w:kern w:val="21"/>
          <w:sz w:val="32"/>
          <w:szCs w:val="32"/>
          <w:shd w:val="clear" w:color="auto" w:fill="auto"/>
          <w:lang w:val="en-US" w:eastAsia="zh-CN" w:bidi="ar-SA"/>
        </w:rPr>
        <w:t>数字见证系统，实现见证过程信息全面记录、动态留痕、去向可查、责任可究，保障进场项目交易数据真实性、交易现场规范性和交易行为合法性。</w:t>
      </w:r>
    </w:p>
    <w:p>
      <w:pPr>
        <w:keepNext w:val="0"/>
        <w:keepLines w:val="0"/>
        <w:pageBreakBefore w:val="0"/>
        <w:widowControl w:val="0"/>
        <w:suppressLineNumbers w:val="0"/>
        <w:kinsoku/>
        <w:wordWrap/>
        <w:overflowPunct w:val="0"/>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snapToGrid/>
          <w:color w:val="auto"/>
          <w:spacing w:val="0"/>
          <w:kern w:val="21"/>
          <w:position w:val="0"/>
          <w:sz w:val="32"/>
          <w:szCs w:val="32"/>
          <w:shd w:val="clear" w:color="auto" w:fill="auto"/>
          <w:lang w:val="en-US" w:eastAsia="zh-CN" w:bidi="ar"/>
        </w:rPr>
      </w:pPr>
      <w:r>
        <w:rPr>
          <w:rFonts w:hint="eastAsia" w:ascii="楷体_GB2312" w:hAnsi="楷体_GB2312" w:eastAsia="楷体_GB2312" w:cs="楷体_GB2312"/>
          <w:b w:val="0"/>
          <w:snapToGrid/>
          <w:color w:val="auto"/>
          <w:spacing w:val="0"/>
          <w:kern w:val="21"/>
          <w:position w:val="0"/>
          <w:sz w:val="32"/>
          <w:szCs w:val="32"/>
          <w:lang w:val="en-US" w:eastAsia="zh-CN" w:bidi="ar-SA"/>
        </w:rPr>
        <w:t>（十</w:t>
      </w:r>
      <w:r>
        <w:rPr>
          <w:rFonts w:hint="eastAsia" w:ascii="楷体_GB2312" w:hAnsi="楷体_GB2312" w:eastAsia="楷体_GB2312" w:cs="楷体_GB2312"/>
          <w:b w:val="0"/>
          <w:snapToGrid/>
          <w:color w:val="auto"/>
          <w:spacing w:val="0"/>
          <w:kern w:val="21"/>
          <w:position w:val="0"/>
          <w:sz w:val="32"/>
          <w:szCs w:val="32"/>
          <w:lang w:eastAsia="zh-CN" w:bidi="ar-SA"/>
        </w:rPr>
        <w:t>七</w:t>
      </w:r>
      <w:r>
        <w:rPr>
          <w:rFonts w:hint="eastAsia" w:ascii="楷体_GB2312" w:hAnsi="楷体_GB2312" w:eastAsia="楷体_GB2312" w:cs="楷体_GB2312"/>
          <w:b w:val="0"/>
          <w:snapToGrid/>
          <w:color w:val="auto"/>
          <w:spacing w:val="0"/>
          <w:kern w:val="21"/>
          <w:position w:val="0"/>
          <w:sz w:val="32"/>
          <w:szCs w:val="32"/>
          <w:lang w:val="en-US" w:eastAsia="zh-CN" w:bidi="ar-SA"/>
        </w:rPr>
        <w:t>）推进数字证书互认和电子营业执照等技术应用。</w:t>
      </w:r>
      <w:r>
        <w:rPr>
          <w:rFonts w:hint="eastAsia" w:ascii="仿宋_GB2312" w:hAnsi="仿宋_GB2312" w:eastAsia="仿宋_GB2312" w:cs="仿宋_GB2312"/>
          <w:b w:val="0"/>
          <w:snapToGrid/>
          <w:color w:val="auto"/>
          <w:kern w:val="21"/>
          <w:sz w:val="32"/>
          <w:szCs w:val="32"/>
          <w:lang w:val="en-US" w:eastAsia="zh-CN" w:bidi="ar-SA"/>
        </w:rPr>
        <w:t>全</w:t>
      </w:r>
      <w:r>
        <w:rPr>
          <w:rFonts w:hint="eastAsia" w:ascii="仿宋_GB2312" w:hAnsi="仿宋_GB2312" w:eastAsia="仿宋_GB2312" w:cs="仿宋_GB2312"/>
          <w:b w:val="0"/>
          <w:snapToGrid/>
          <w:color w:val="auto"/>
          <w:kern w:val="21"/>
          <w:sz w:val="32"/>
          <w:szCs w:val="32"/>
          <w:shd w:val="clear" w:color="auto" w:fill="auto"/>
          <w:lang w:val="en-US" w:eastAsia="zh-CN" w:bidi="ar"/>
        </w:rPr>
        <w:t>面推广</w:t>
      </w:r>
      <w:r>
        <w:rPr>
          <w:rFonts w:hint="eastAsia" w:ascii="仿宋_GB2312" w:hAnsi="仿宋_GB2312" w:eastAsia="仿宋_GB2312" w:cs="仿宋_GB2312"/>
          <w:b w:val="0"/>
          <w:bCs w:val="0"/>
          <w:snapToGrid/>
          <w:color w:val="auto"/>
          <w:kern w:val="21"/>
          <w:sz w:val="32"/>
          <w:szCs w:val="32"/>
          <w:shd w:val="clear" w:color="auto" w:fill="auto"/>
          <w:lang w:val="en-US" w:eastAsia="zh-CN" w:bidi="ar"/>
        </w:rPr>
        <w:t>全省数字证书互认系统，</w:t>
      </w:r>
      <w:r>
        <w:rPr>
          <w:rFonts w:hint="eastAsia" w:ascii="仿宋_GB2312" w:hAnsi="仿宋_GB2312" w:eastAsia="仿宋_GB2312" w:cs="仿宋_GB2312"/>
          <w:snapToGrid/>
          <w:color w:val="auto"/>
          <w:kern w:val="21"/>
          <w:sz w:val="32"/>
          <w:szCs w:val="32"/>
          <w:shd w:val="clear" w:color="auto" w:fill="auto"/>
          <w:lang w:val="en-US" w:eastAsia="zh-CN" w:bidi="ar"/>
        </w:rPr>
        <w:t>普及数字证书互认作用和优势，落实“一处办理、全省通用”。推进</w:t>
      </w:r>
      <w:r>
        <w:rPr>
          <w:rFonts w:hint="eastAsia" w:ascii="仿宋_GB2312" w:hAnsi="仿宋_GB2312" w:eastAsia="仿宋_GB2312" w:cs="仿宋_GB2312"/>
          <w:b w:val="0"/>
          <w:snapToGrid/>
          <w:color w:val="auto"/>
          <w:spacing w:val="0"/>
          <w:kern w:val="21"/>
          <w:position w:val="0"/>
          <w:sz w:val="32"/>
          <w:szCs w:val="32"/>
          <w:shd w:val="clear" w:color="auto" w:fill="auto"/>
          <w:lang w:val="en-US" w:eastAsia="zh-CN" w:bidi="ar"/>
        </w:rPr>
        <w:t>通过电子营业执照实现线上身份认证登入、经营主体信息共享、投标文件电子签章、投标文件加解密、合同在线签订等应用功能。</w:t>
      </w:r>
    </w:p>
    <w:p>
      <w:pPr>
        <w:widowControl w:val="0"/>
        <w:numPr>
          <w:ilvl w:val="0"/>
          <w:numId w:val="0"/>
        </w:numPr>
        <w:shd w:val="clear" w:color="auto" w:fill="auto"/>
        <w:kinsoku/>
        <w:overflowPunct w:val="0"/>
        <w:topLinePunct/>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1"/>
          <w:sz w:val="32"/>
          <w:szCs w:val="32"/>
          <w:highlight w:val="none"/>
          <w:lang w:eastAsia="zh-CN" w:bidi="ar-SA"/>
        </w:rPr>
      </w:pPr>
      <w:r>
        <w:rPr>
          <w:rFonts w:hint="eastAsia" w:ascii="楷体_GB2312" w:hAnsi="楷体_GB2312" w:eastAsia="楷体_GB2312" w:cs="楷体_GB2312"/>
          <w:b w:val="0"/>
          <w:snapToGrid/>
          <w:color w:val="auto"/>
          <w:spacing w:val="0"/>
          <w:kern w:val="21"/>
          <w:position w:val="0"/>
          <w:sz w:val="32"/>
          <w:szCs w:val="32"/>
          <w:lang w:val="en-US" w:eastAsia="zh-CN" w:bidi="ar-SA"/>
        </w:rPr>
        <w:t>（十八）推广电子保函（保险）等方式缴纳投标保证金。</w:t>
      </w:r>
      <w:r>
        <w:rPr>
          <w:rFonts w:hint="eastAsia" w:ascii="仿宋_GB2312" w:hAnsi="仿宋_GB2312" w:eastAsia="仿宋_GB2312" w:cs="仿宋_GB2312"/>
          <w:snapToGrid/>
          <w:color w:val="auto"/>
          <w:kern w:val="21"/>
          <w:sz w:val="32"/>
          <w:szCs w:val="32"/>
          <w:shd w:val="clear" w:color="auto" w:fill="auto"/>
          <w:lang w:val="en-US" w:eastAsia="zh-CN" w:bidi="ar"/>
        </w:rPr>
        <w:t>完善电子保函应用，稳步拓展电子保函种类，</w:t>
      </w:r>
      <w:r>
        <w:rPr>
          <w:rFonts w:hint="eastAsia" w:ascii="仿宋_GB2312" w:hAnsi="仿宋_GB2312" w:eastAsia="仿宋_GB2312" w:cs="仿宋_GB2312"/>
          <w:b w:val="0"/>
          <w:bCs w:val="0"/>
          <w:snapToGrid/>
          <w:color w:val="auto"/>
          <w:kern w:val="21"/>
          <w:sz w:val="32"/>
          <w:szCs w:val="32"/>
          <w:highlight w:val="none"/>
          <w:shd w:val="clear" w:color="auto" w:fill="auto"/>
          <w:lang w:val="en-US" w:eastAsia="zh-CN" w:bidi="ar"/>
        </w:rPr>
        <w:t>满足市场主体多样化需求。</w:t>
      </w:r>
      <w:r>
        <w:rPr>
          <w:rFonts w:hint="eastAsia" w:ascii="仿宋_GB2312" w:hAnsi="仿宋_GB2312" w:eastAsia="仿宋_GB2312" w:cs="仿宋_GB2312"/>
          <w:snapToGrid/>
          <w:color w:val="auto"/>
          <w:kern w:val="21"/>
          <w:sz w:val="32"/>
          <w:szCs w:val="32"/>
          <w:shd w:val="clear" w:color="auto" w:fill="auto"/>
          <w:lang w:val="en-US" w:eastAsia="zh-CN" w:bidi="ar"/>
        </w:rPr>
        <w:t>支持符合条件的银行、保险公司等金融机构有序接入市电子保函应用平台，推动保函服务市场有序竞争、规范展业。</w:t>
      </w:r>
      <w:r>
        <w:rPr>
          <w:rFonts w:hint="eastAsia" w:ascii="仿宋_GB2312" w:hAnsi="仿宋_GB2312" w:eastAsia="仿宋_GB2312" w:cs="仿宋_GB2312"/>
          <w:b w:val="0"/>
          <w:bCs w:val="0"/>
          <w:i w:val="0"/>
          <w:iCs w:val="0"/>
          <w:caps w:val="0"/>
          <w:snapToGrid/>
          <w:color w:val="auto"/>
          <w:spacing w:val="0"/>
          <w:kern w:val="21"/>
          <w:sz w:val="32"/>
          <w:szCs w:val="32"/>
          <w:highlight w:val="none"/>
          <w:shd w:val="clear" w:color="auto" w:fill="auto"/>
          <w:vertAlign w:val="baseline"/>
          <w:lang w:val="en-US" w:eastAsia="zh-CN" w:bidi="ar"/>
        </w:rPr>
        <w:t>金融机构应当合理设置电子保函收费标准，避免低价恶性竞争</w:t>
      </w:r>
      <w:r>
        <w:rPr>
          <w:rFonts w:hint="eastAsia" w:ascii="仿宋_GB2312" w:hAnsi="仿宋_GB2312" w:eastAsia="仿宋_GB2312" w:cs="仿宋_GB2312"/>
          <w:snapToGrid/>
          <w:color w:val="auto"/>
          <w:kern w:val="21"/>
          <w:sz w:val="32"/>
          <w:szCs w:val="32"/>
          <w:highlight w:val="none"/>
          <w:shd w:val="clear" w:color="auto" w:fill="auto"/>
          <w:lang w:eastAsia="zh-CN" w:bidi="ar"/>
        </w:rPr>
        <w:t>。</w:t>
      </w:r>
    </w:p>
    <w:p>
      <w:pPr>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黑体" w:hAnsi="黑体" w:eastAsia="黑体" w:cs="黑体"/>
          <w:b w:val="0"/>
          <w:snapToGrid/>
          <w:color w:val="auto"/>
          <w:spacing w:val="0"/>
          <w:kern w:val="21"/>
          <w:position w:val="0"/>
          <w:sz w:val="32"/>
          <w:szCs w:val="32"/>
          <w:lang w:eastAsia="zh-CN"/>
        </w:rPr>
      </w:pPr>
      <w:r>
        <w:rPr>
          <w:rFonts w:hint="eastAsia" w:ascii="黑体" w:hAnsi="黑体" w:eastAsia="黑体" w:cs="黑体"/>
          <w:b w:val="0"/>
          <w:snapToGrid/>
          <w:color w:val="auto"/>
          <w:spacing w:val="0"/>
          <w:kern w:val="21"/>
          <w:position w:val="0"/>
          <w:sz w:val="32"/>
          <w:szCs w:val="32"/>
          <w:lang w:eastAsia="zh-CN"/>
        </w:rPr>
        <w:t>五、助力中小企业纾困解难</w:t>
      </w:r>
      <w:r>
        <w:rPr>
          <w:rFonts w:hint="eastAsia" w:ascii="黑体" w:hAnsi="黑体" w:eastAsia="黑体" w:cs="黑体"/>
          <w:b w:val="0"/>
          <w:snapToGrid/>
          <w:color w:val="auto"/>
          <w:spacing w:val="0"/>
          <w:kern w:val="21"/>
          <w:position w:val="0"/>
          <w:sz w:val="32"/>
          <w:szCs w:val="32"/>
          <w:lang w:val="en-US" w:eastAsia="zh-CN"/>
        </w:rPr>
        <w:t>，提升招标投标</w:t>
      </w:r>
      <w:r>
        <w:rPr>
          <w:rFonts w:hint="eastAsia" w:ascii="黑体" w:hAnsi="黑体" w:eastAsia="黑体" w:cs="黑体"/>
          <w:b w:val="0"/>
          <w:snapToGrid/>
          <w:color w:val="auto"/>
          <w:spacing w:val="0"/>
          <w:kern w:val="21"/>
          <w:position w:val="0"/>
          <w:sz w:val="32"/>
          <w:szCs w:val="32"/>
          <w:lang w:eastAsia="zh-CN"/>
        </w:rPr>
        <w:t>增值服务。</w:t>
      </w:r>
    </w:p>
    <w:p>
      <w:pPr>
        <w:widowControl w:val="0"/>
        <w:overflowPunct w:val="0"/>
        <w:topLinePunct/>
        <w:autoSpaceDE/>
        <w:autoSpaceDN/>
        <w:spacing w:line="560" w:lineRule="exact"/>
        <w:ind w:firstLine="640" w:firstLineChars="200"/>
        <w:rPr>
          <w:rFonts w:hint="eastAsia" w:ascii="仿宋_GB2312" w:hAnsi="仿宋_GB2312" w:eastAsia="仿宋_GB2312" w:cs="仿宋_GB2312"/>
          <w:b w:val="0"/>
          <w:bCs w:val="0"/>
          <w:strike w:val="0"/>
          <w:dstrike w:val="0"/>
          <w:snapToGrid/>
          <w:color w:val="auto"/>
          <w:kern w:val="21"/>
          <w:sz w:val="32"/>
          <w:szCs w:val="32"/>
          <w:highlight w:val="none"/>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（十九）保障企业公平参与市场竞争。</w:t>
      </w:r>
      <w:r>
        <w:rPr>
          <w:rFonts w:hint="eastAsia" w:ascii="仿宋_GB2312" w:hAnsi="仿宋_GB2312" w:eastAsia="仿宋_GB2312" w:cs="仿宋_GB2312"/>
          <w:b w:val="0"/>
          <w:bCs w:val="0"/>
          <w:strike w:val="0"/>
          <w:dstrike w:val="0"/>
          <w:snapToGrid/>
          <w:color w:val="auto"/>
          <w:kern w:val="21"/>
          <w:sz w:val="32"/>
          <w:szCs w:val="32"/>
          <w:highlight w:val="none"/>
          <w:lang w:val="en-US" w:eastAsia="zh-CN"/>
        </w:rPr>
        <w:t>招标人应严格落实招标投标“七个不准”要求，</w:t>
      </w:r>
      <w:r>
        <w:rPr>
          <w:rFonts w:hint="eastAsia" w:ascii="仿宋_GB2312" w:hAnsi="仿宋_GB2312" w:eastAsia="仿宋_GB2312" w:cs="仿宋_GB2312"/>
          <w:b w:val="0"/>
          <w:bCs w:val="0"/>
          <w:strike w:val="0"/>
          <w:dstrike w:val="0"/>
          <w:snapToGrid/>
          <w:color w:val="auto"/>
          <w:kern w:val="21"/>
          <w:sz w:val="32"/>
          <w:szCs w:val="32"/>
          <w:highlight w:val="none"/>
          <w:u w:val="none"/>
          <w:lang w:val="en-US" w:eastAsia="zh-CN"/>
        </w:rPr>
        <w:t>高质量编制工程量清单和招标文件，合理设置招标控制价，在招标公告发布的同时提供</w:t>
      </w:r>
      <w:r>
        <w:rPr>
          <w:rFonts w:hint="eastAsia" w:ascii="仿宋_GB2312" w:hAnsi="仿宋_GB2312" w:eastAsia="仿宋_GB2312" w:cs="仿宋_GB2312"/>
          <w:b w:val="0"/>
          <w:bCs w:val="0"/>
          <w:i w:val="0"/>
          <w:iCs w:val="0"/>
          <w:strike w:val="0"/>
          <w:dstrike w:val="0"/>
          <w:snapToGrid/>
          <w:color w:val="auto"/>
          <w:kern w:val="21"/>
          <w:sz w:val="32"/>
          <w:szCs w:val="32"/>
          <w:highlight w:val="none"/>
          <w:u w:val="none"/>
          <w:lang w:val="en-US" w:eastAsia="zh-CN"/>
        </w:rPr>
        <w:t>招标控制价清单及有关内容。</w:t>
      </w:r>
      <w:r>
        <w:rPr>
          <w:rFonts w:hint="eastAsia" w:ascii="仿宋_GB2312" w:hAnsi="仿宋_GB2312" w:eastAsia="仿宋_GB2312" w:cs="仿宋_GB2312"/>
          <w:snapToGrid/>
          <w:color w:val="auto"/>
          <w:spacing w:val="0"/>
          <w:kern w:val="21"/>
          <w:sz w:val="32"/>
          <w:szCs w:val="32"/>
          <w:highlight w:val="none"/>
          <w:lang w:eastAsia="zh-CN"/>
        </w:rPr>
        <w:t>有关行政监督部门应</w:t>
      </w:r>
      <w:r>
        <w:rPr>
          <w:rFonts w:hint="eastAsia" w:ascii="仿宋_GB2312" w:hAnsi="仿宋_GB2312" w:eastAsia="仿宋_GB2312" w:cs="仿宋_GB2312"/>
          <w:b w:val="0"/>
          <w:bCs w:val="0"/>
          <w:strike w:val="0"/>
          <w:dstrike w:val="0"/>
          <w:snapToGrid/>
          <w:color w:val="auto"/>
          <w:kern w:val="21"/>
          <w:sz w:val="32"/>
          <w:szCs w:val="32"/>
          <w:highlight w:val="none"/>
          <w:lang w:val="en-US" w:eastAsia="zh-CN"/>
        </w:rPr>
        <w:t>定期开展专项检查，对发现设置门槛、过高业绩要求和排斥中小企业行为以及各类</w:t>
      </w:r>
      <w:r>
        <w:rPr>
          <w:rFonts w:hint="eastAsia" w:ascii="仿宋_GB2312" w:hAnsi="仿宋_GB2312" w:eastAsia="仿宋_GB2312" w:cs="仿宋_GB2312"/>
          <w:b w:val="0"/>
          <w:bCs w:val="0"/>
          <w:strike w:val="0"/>
          <w:dstrike w:val="0"/>
          <w:snapToGrid/>
          <w:color w:val="auto"/>
          <w:kern w:val="21"/>
          <w:sz w:val="32"/>
          <w:szCs w:val="32"/>
          <w:highlight w:val="none"/>
          <w:lang w:val="en-US" w:eastAsia="zh-CN" w:bidi="ar-SA"/>
        </w:rPr>
        <w:t>招投标“隐形壁垒”</w:t>
      </w:r>
      <w:r>
        <w:rPr>
          <w:rFonts w:hint="eastAsia" w:ascii="仿宋_GB2312" w:hAnsi="仿宋_GB2312" w:eastAsia="仿宋_GB2312" w:cs="仿宋_GB2312"/>
          <w:b w:val="0"/>
          <w:bCs w:val="0"/>
          <w:strike w:val="0"/>
          <w:dstrike w:val="0"/>
          <w:snapToGrid/>
          <w:color w:val="auto"/>
          <w:kern w:val="21"/>
          <w:sz w:val="32"/>
          <w:szCs w:val="32"/>
          <w:highlight w:val="none"/>
          <w:lang w:val="en-US" w:eastAsia="zh-CN"/>
        </w:rPr>
        <w:t>，及时予以纠正和处理。</w:t>
      </w:r>
    </w:p>
    <w:p>
      <w:pPr>
        <w:widowControl w:val="0"/>
        <w:overflowPunct w:val="0"/>
        <w:topLinePunct/>
        <w:autoSpaceDE/>
        <w:autoSpaceDN/>
        <w:spacing w:line="560" w:lineRule="exact"/>
        <w:ind w:firstLine="640" w:firstLineChars="200"/>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（二十）加大扶持中小企业参与招标投标的力度。</w:t>
      </w:r>
      <w:r>
        <w:rPr>
          <w:rFonts w:hint="eastAsia" w:ascii="仿宋_GB2312" w:hAnsi="仿宋_GB2312" w:eastAsia="仿宋_GB2312" w:cs="仿宋_GB2312"/>
          <w:b w:val="0"/>
          <w:bCs w:val="0"/>
          <w:strike w:val="0"/>
          <w:dstrike w:val="0"/>
          <w:snapToGrid/>
          <w:color w:val="auto"/>
          <w:kern w:val="21"/>
          <w:sz w:val="32"/>
          <w:szCs w:val="32"/>
          <w:highlight w:val="none"/>
          <w:lang w:val="en-US" w:eastAsia="zh-CN"/>
        </w:rPr>
        <w:t>强化政府采购项目预算编制，在编制年度预算时，各采购单位的政府采购工程项目预算应同步编制专门面向中小企业采购的预留份额，</w:t>
      </w:r>
      <w:r>
        <w:rPr>
          <w:rFonts w:hint="eastAsia" w:ascii="仿宋_GB2312" w:hAnsi="仿宋_GB2312" w:eastAsia="仿宋_GB2312" w:cs="仿宋_GB2312"/>
          <w:i w:val="0"/>
          <w:iCs w:val="0"/>
          <w:caps w:val="0"/>
          <w:snapToGrid/>
          <w:color w:val="auto"/>
          <w:spacing w:val="0"/>
          <w:kern w:val="21"/>
          <w:sz w:val="32"/>
          <w:szCs w:val="32"/>
          <w:highlight w:val="none"/>
          <w:shd w:val="clear" w:color="auto" w:fill="auto"/>
          <w:lang w:val="en-US" w:eastAsia="zh-CN"/>
        </w:rPr>
        <w:t>预留方式可采用整体预留、标段预留、联合体形式预留、合同分包形式预留等。积极开发灵活适用的金融服务产品，为中小企业拓宽融资渠道，降低中小企业融资利率，提高授信额度，加快放</w:t>
      </w:r>
      <w:r>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t>款速度。</w:t>
      </w:r>
    </w:p>
    <w:p>
      <w:pPr>
        <w:widowControl w:val="0"/>
        <w:overflowPunct w:val="0"/>
        <w:topLinePunct/>
        <w:autoSpaceDE/>
        <w:autoSpaceDN/>
        <w:spacing w:line="560" w:lineRule="exact"/>
        <w:ind w:firstLine="640" w:firstLineChars="200"/>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（二十一）鼓励支持联合体投标和专业分包。</w:t>
      </w:r>
      <w:r>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t>政府和国有投资工程建设项目可提高接受联合体投标的比例。</w:t>
      </w:r>
      <w:r>
        <w:rPr>
          <w:rFonts w:hint="eastAsia" w:ascii="仿宋_GB2312" w:hAnsi="仿宋_GB2312" w:eastAsia="仿宋_GB2312" w:cs="仿宋_GB2312"/>
          <w:i w:val="0"/>
          <w:iCs w:val="0"/>
          <w:caps w:val="0"/>
          <w:snapToGrid/>
          <w:color w:val="auto"/>
          <w:spacing w:val="0"/>
          <w:kern w:val="21"/>
          <w:sz w:val="32"/>
          <w:szCs w:val="32"/>
          <w:shd w:val="clear" w:color="auto" w:fill="FFFFFF"/>
          <w:lang w:eastAsia="zh-CN"/>
        </w:rPr>
        <w:t>鼓励大型企业与中小企业组成联合体参与投标，促进企业间优势互补、资源融合。</w:t>
      </w:r>
      <w:r>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t>企业以联合体形式参与投标并各自承担建设的项目内容，其各自承担建设的项目业绩在联合体各方资质评定和项目投标时予以认可。鼓励大型企业合理确定分包范围，带动专业承包中小企业共同发展。探索将支持中小企业参与投标情况列为国有企业履行社会责任考核内容。</w:t>
      </w:r>
    </w:p>
    <w:p>
      <w:pPr>
        <w:keepNext w:val="0"/>
        <w:keepLines w:val="0"/>
        <w:pageBreakBefore w:val="0"/>
        <w:widowControl w:val="0"/>
        <w:numPr>
          <w:ilvl w:val="0"/>
          <w:numId w:val="0"/>
        </w:numPr>
        <w:suppressLineNumbers w:val="0"/>
        <w:kinsoku/>
        <w:wordWrap/>
        <w:overflowPunct w:val="0"/>
        <w:topLinePunct/>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（二十二）规范限额以下工程项目交易。</w:t>
      </w:r>
      <w:r>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t>限额以下且不适用《中华人民共和国政府采购法》及其实施条例的工程项目应当明确交易的平台、方式、监督主体，做好交易数据归集，健全交易内控机制，强化合同履约管理。可自愿采用招标或竞争的方式发包，也可由发包人根据单位内控机制规定直接发包。鼓励探索限额以下工程投标保证金优惠措施，降低交易成本。鼓励适宜中小企业且风险较低的项目，可直接委托符合资质要求的中小企业承建。</w:t>
      </w:r>
    </w:p>
    <w:p>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（二十三）完善信用评价结果运用机制。</w:t>
      </w:r>
      <w:r>
        <w:rPr>
          <w:rFonts w:hint="eastAsia" w:ascii="仿宋_GB2312" w:hAnsi="仿宋_GB2312" w:eastAsia="仿宋_GB2312" w:cs="仿宋_GB2312"/>
          <w:b w:val="0"/>
          <w:snapToGrid/>
          <w:color w:val="auto"/>
          <w:spacing w:val="0"/>
          <w:kern w:val="21"/>
          <w:position w:val="0"/>
          <w:sz w:val="32"/>
          <w:szCs w:val="32"/>
          <w:u w:val="none"/>
          <w:lang w:val="en" w:eastAsia="zh-CN"/>
        </w:rPr>
        <w:t>严格执行全省统一的行业信用评价体系，健全信用承诺机制，完善招标投标领域信用信息共享</w:t>
      </w:r>
      <w:r>
        <w:rPr>
          <w:rFonts w:hint="eastAsia" w:ascii="仿宋_GB2312" w:hAnsi="仿宋_GB2312" w:eastAsia="仿宋_GB2312" w:cs="仿宋_GB2312"/>
          <w:b w:val="0"/>
          <w:snapToGrid/>
          <w:color w:val="auto"/>
          <w:spacing w:val="0"/>
          <w:kern w:val="21"/>
          <w:position w:val="0"/>
          <w:sz w:val="32"/>
          <w:szCs w:val="32"/>
          <w:u w:val="none"/>
          <w:lang w:val="en-US" w:eastAsia="zh-CN"/>
        </w:rPr>
        <w:t>机制</w:t>
      </w:r>
      <w:r>
        <w:rPr>
          <w:rFonts w:hint="eastAsia" w:ascii="仿宋_GB2312" w:hAnsi="仿宋_GB2312" w:eastAsia="仿宋_GB2312" w:cs="仿宋_GB2312"/>
          <w:b w:val="0"/>
          <w:snapToGrid/>
          <w:color w:val="auto"/>
          <w:spacing w:val="0"/>
          <w:kern w:val="21"/>
          <w:position w:val="0"/>
          <w:sz w:val="32"/>
          <w:szCs w:val="32"/>
          <w:u w:val="none"/>
          <w:lang w:val="en" w:eastAsia="zh-CN"/>
        </w:rPr>
        <w:t>，强化各类市场主体信用信息的公开和运用，加强招标投标交易市场与履约现场联动，健全履约信用管理。</w:t>
      </w:r>
      <w:r>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t>发挥信用激励机制作用，行政主管部门、税务部门、市监部门等可适当增设发文表彰，提升信用良好企业获得感。完善信用约束机制，依法依规按照失信惩戒措施清单对责任主体实施惩戒，健全失信行为纠正后的信用修复机制。</w:t>
      </w:r>
      <w:r>
        <w:rPr>
          <w:rFonts w:hint="eastAsia" w:ascii="仿宋_GB2312" w:hAnsi="仿宋_GB2312" w:eastAsia="仿宋_GB2312" w:cs="仿宋_GB2312"/>
          <w:snapToGrid/>
          <w:color w:val="auto"/>
          <w:kern w:val="21"/>
          <w:sz w:val="32"/>
          <w:szCs w:val="32"/>
          <w:u w:val="none"/>
          <w:lang w:val="en" w:eastAsia="zh-CN" w:bidi="ar-SA"/>
        </w:rPr>
        <w:t>依法限制被列入严重失信名单的单位和个人参与依法必须进行招标项目的招标投标活动。</w:t>
      </w:r>
      <w:r>
        <w:rPr>
          <w:rFonts w:hint="eastAsia" w:ascii="仿宋_GB2312" w:hAnsi="仿宋_GB2312" w:eastAsia="仿宋_GB2312" w:cs="仿宋_GB2312"/>
          <w:i w:val="0"/>
          <w:iCs w:val="0"/>
          <w:caps w:val="0"/>
          <w:snapToGrid/>
          <w:color w:val="auto"/>
          <w:spacing w:val="0"/>
          <w:kern w:val="21"/>
          <w:sz w:val="32"/>
          <w:szCs w:val="32"/>
          <w:shd w:val="clear" w:color="auto" w:fill="FFFFFF"/>
          <w:lang w:val="en-US" w:eastAsia="zh-CN"/>
        </w:rPr>
        <w:t>鼓励招标人对信用良好的企业减免投标保证金。</w:t>
      </w:r>
    </w:p>
    <w:p>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napToGrid/>
          <w:color w:val="auto"/>
          <w:spacing w:val="0"/>
          <w:kern w:val="21"/>
          <w:position w:val="0"/>
          <w:sz w:val="32"/>
          <w:szCs w:val="32"/>
          <w:lang w:val="en-US" w:eastAsia="zh-CN"/>
        </w:rPr>
      </w:pPr>
      <w:r>
        <w:rPr>
          <w:rStyle w:val="9"/>
          <w:rFonts w:hint="eastAsia" w:ascii="黑体" w:hAnsi="黑体" w:eastAsia="黑体" w:cs="黑体"/>
          <w:b w:val="0"/>
          <w:bCs/>
          <w:i w:val="0"/>
          <w:iCs w:val="0"/>
          <w:caps w:val="0"/>
          <w:snapToGrid/>
          <w:color w:val="auto"/>
          <w:spacing w:val="0"/>
          <w:kern w:val="21"/>
          <w:sz w:val="32"/>
          <w:szCs w:val="32"/>
          <w:shd w:val="clear" w:color="auto" w:fill="FFFFFF"/>
          <w:lang w:eastAsia="zh-CN"/>
        </w:rPr>
        <w:t>六</w:t>
      </w:r>
      <w:r>
        <w:rPr>
          <w:rStyle w:val="9"/>
          <w:rFonts w:hint="eastAsia" w:ascii="黑体" w:hAnsi="黑体" w:eastAsia="黑体" w:cs="黑体"/>
          <w:b w:val="0"/>
          <w:bCs/>
          <w:i w:val="0"/>
          <w:iCs w:val="0"/>
          <w:caps w:val="0"/>
          <w:snapToGrid/>
          <w:color w:val="auto"/>
          <w:spacing w:val="0"/>
          <w:kern w:val="21"/>
          <w:sz w:val="32"/>
          <w:szCs w:val="32"/>
          <w:shd w:val="clear" w:color="auto" w:fill="FFFFFF"/>
        </w:rPr>
        <w:t>、</w:t>
      </w:r>
      <w:r>
        <w:rPr>
          <w:rStyle w:val="9"/>
          <w:rFonts w:hint="eastAsia" w:ascii="黑体" w:hAnsi="黑体" w:eastAsia="黑体" w:cs="黑体"/>
          <w:b w:val="0"/>
          <w:i w:val="0"/>
          <w:iCs w:val="0"/>
          <w:caps w:val="0"/>
          <w:snapToGrid/>
          <w:color w:val="auto"/>
          <w:spacing w:val="0"/>
          <w:kern w:val="21"/>
          <w:sz w:val="32"/>
          <w:szCs w:val="32"/>
          <w:shd w:val="clear" w:color="auto" w:fill="auto"/>
          <w:lang w:eastAsia="zh-CN" w:bidi="ar-SA"/>
        </w:rPr>
        <w:t>突出监管实效，营造健康有序</w:t>
      </w:r>
      <w:r>
        <w:rPr>
          <w:rFonts w:hint="eastAsia" w:ascii="黑体" w:hAnsi="黑体" w:eastAsia="黑体" w:cs="黑体"/>
          <w:b w:val="0"/>
          <w:snapToGrid/>
          <w:color w:val="auto"/>
          <w:spacing w:val="0"/>
          <w:kern w:val="21"/>
          <w:position w:val="0"/>
          <w:sz w:val="32"/>
          <w:szCs w:val="32"/>
          <w:lang w:val="en-US" w:eastAsia="zh-CN" w:bidi="ar-SA"/>
        </w:rPr>
        <w:t>招标投标市场环境。</w:t>
      </w:r>
      <w:r>
        <w:rPr>
          <w:rStyle w:val="9"/>
          <w:rFonts w:hint="eastAsia" w:ascii="仿宋_GB2312" w:hAnsi="仿宋_GB2312" w:eastAsia="仿宋_GB2312" w:cs="仿宋_GB2312"/>
          <w:b w:val="0"/>
          <w:bCs/>
          <w:i w:val="0"/>
          <w:iCs w:val="0"/>
          <w:caps w:val="0"/>
          <w:snapToGrid/>
          <w:color w:val="auto"/>
          <w:spacing w:val="0"/>
          <w:kern w:val="21"/>
          <w:sz w:val="32"/>
          <w:szCs w:val="32"/>
          <w:shd w:val="clear" w:color="auto" w:fill="FFFFFF"/>
          <w:lang w:val="en-US" w:eastAsia="zh-CN"/>
        </w:rPr>
        <w:t xml:space="preserve"> </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leftChars="0" w:right="0" w:rightChars="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eastAsia="zh-CN"/>
        </w:rPr>
      </w:pPr>
      <w:r>
        <w:rPr>
          <w:rFonts w:hint="eastAsia" w:ascii="楷体_GB2312" w:hAnsi="楷体_GB2312" w:eastAsia="楷体_GB2312" w:cs="楷体_GB2312"/>
          <w:b w:val="0"/>
          <w:snapToGrid/>
          <w:color w:val="auto"/>
          <w:spacing w:val="0"/>
          <w:kern w:val="21"/>
          <w:position w:val="0"/>
          <w:sz w:val="32"/>
          <w:szCs w:val="32"/>
          <w:lang w:val="en-US" w:eastAsia="zh-CN" w:bidi="ar-SA"/>
        </w:rPr>
        <w:t>（二十四）规范政策文件清理管理。</w:t>
      </w:r>
      <w:r>
        <w:rPr>
          <w:rFonts w:hint="eastAsia" w:ascii="仿宋_GB2312" w:hAnsi="仿宋_GB2312" w:eastAsia="仿宋_GB2312" w:cs="仿宋_GB2312"/>
          <w:b w:val="0"/>
          <w:snapToGrid/>
          <w:color w:val="auto"/>
          <w:spacing w:val="0"/>
          <w:kern w:val="21"/>
          <w:position w:val="0"/>
          <w:sz w:val="32"/>
          <w:szCs w:val="32"/>
          <w:lang w:val="en-US" w:eastAsia="zh-CN" w:bidi="ar-SA"/>
        </w:rPr>
        <w:t>未纳入全省招标投标政策法规文件目录的政策制度文件不得作为监管依据。政策文件制定要认真执行《招标投标领域公平竞争审查规则》，严格落实公开征求意见、合法性审查、公平竞争审查等要求，不得干涉招标人、投标人自主权，禁止在区域、行业、所有制形式等方面违法设置限制。完善招标投标市场壁垒线索征集机制，开展招标投标法规政策文件专项清理，对存在所有制歧视、行业壁垒、地方保护等不合理限制的按照规定权限和程序予以修订、废止。清理规范招标投标领域行政审批、许可、备案、注册、登记、报名等事项，不得以公共服务、交易服务等名义变相实施行政审批。</w:t>
      </w:r>
    </w:p>
    <w:p>
      <w:pPr>
        <w:pStyle w:val="3"/>
        <w:widowControl w:val="0"/>
        <w:numPr>
          <w:ilvl w:val="0"/>
          <w:numId w:val="0"/>
        </w:numPr>
        <w:kinsoku/>
        <w:overflowPunct w:val="0"/>
        <w:topLinePunct/>
        <w:autoSpaceDE/>
        <w:autoSpaceDN/>
        <w:spacing w:line="560" w:lineRule="exact"/>
        <w:ind w:firstLine="640"/>
        <w:jc w:val="both"/>
        <w:rPr>
          <w:rFonts w:hint="eastAsia" w:ascii="仿宋_GB2312" w:hAnsi="仿宋_GB2312" w:eastAsia="仿宋_GB2312" w:cs="仿宋_GB2312"/>
          <w:i w:val="0"/>
          <w:iCs w:val="0"/>
          <w:caps w:val="0"/>
          <w:snapToGrid/>
          <w:color w:val="auto"/>
          <w:spacing w:val="0"/>
          <w:kern w:val="21"/>
          <w:sz w:val="32"/>
          <w:szCs w:val="32"/>
          <w:shd w:val="clear" w:color="auto" w:fill="auto"/>
          <w:lang w:eastAsia="zh-CN" w:bidi="ar-SA"/>
        </w:rPr>
      </w:pPr>
      <w:r>
        <w:rPr>
          <w:rFonts w:hint="eastAsia" w:ascii="楷体_GB2312" w:hAnsi="楷体_GB2312" w:eastAsia="楷体_GB2312" w:cs="楷体_GB2312"/>
          <w:i w:val="0"/>
          <w:iCs w:val="0"/>
          <w:caps w:val="0"/>
          <w:snapToGrid/>
          <w:color w:val="auto"/>
          <w:spacing w:val="0"/>
          <w:kern w:val="21"/>
          <w:sz w:val="32"/>
          <w:szCs w:val="32"/>
          <w:shd w:val="clear" w:color="auto" w:fill="auto"/>
          <w:lang w:eastAsia="zh-CN" w:bidi="ar-SA"/>
        </w:rPr>
        <w:t>（二十</w:t>
      </w:r>
      <w:r>
        <w:rPr>
          <w:rFonts w:hint="eastAsia" w:ascii="楷体_GB2312" w:hAnsi="楷体_GB2312" w:eastAsia="楷体_GB2312" w:cs="楷体_GB2312"/>
          <w:b w:val="0"/>
          <w:snapToGrid/>
          <w:color w:val="auto"/>
          <w:spacing w:val="0"/>
          <w:kern w:val="21"/>
          <w:position w:val="0"/>
          <w:sz w:val="32"/>
          <w:szCs w:val="32"/>
          <w:lang w:val="en-US" w:eastAsia="zh-CN" w:bidi="ar-SA"/>
        </w:rPr>
        <w:t>五</w:t>
      </w:r>
      <w:r>
        <w:rPr>
          <w:rFonts w:hint="eastAsia" w:ascii="楷体_GB2312" w:hAnsi="楷体_GB2312" w:eastAsia="楷体_GB2312" w:cs="楷体_GB2312"/>
          <w:i w:val="0"/>
          <w:iCs w:val="0"/>
          <w:caps w:val="0"/>
          <w:snapToGrid/>
          <w:color w:val="auto"/>
          <w:spacing w:val="0"/>
          <w:kern w:val="21"/>
          <w:sz w:val="32"/>
          <w:szCs w:val="32"/>
          <w:shd w:val="clear" w:color="auto" w:fill="auto"/>
          <w:lang w:eastAsia="zh-CN" w:bidi="ar-SA"/>
        </w:rPr>
        <w:t>）加快推进智慧监管。</w:t>
      </w:r>
      <w:r>
        <w:rPr>
          <w:rFonts w:hint="eastAsia" w:ascii="仿宋_GB2312" w:hAnsi="仿宋_GB2312" w:eastAsia="仿宋_GB2312" w:cs="仿宋_GB2312"/>
          <w:i w:val="0"/>
          <w:iCs w:val="0"/>
          <w:caps w:val="0"/>
          <w:snapToGrid/>
          <w:color w:val="auto"/>
          <w:spacing w:val="0"/>
          <w:kern w:val="21"/>
          <w:sz w:val="32"/>
          <w:szCs w:val="32"/>
          <w:shd w:val="clear" w:color="auto" w:fill="auto"/>
          <w:lang w:eastAsia="zh-CN" w:bidi="ar-SA"/>
        </w:rPr>
        <w:t>创新招标投标数字化监管方式，推动现场监管向全流程数字化监管转变。招标投标行政监督部门要建立数字化执法规则标准，运用非现场、物联感知、掌上移动、穿透式等新型监管手段，进一步提升监管效能。加大招标文件随机抽查力度，运用数字化手段强化同类项目资格、商务条件分析比对，对异常招标文件进行重点核查。探索</w:t>
      </w:r>
      <w:r>
        <w:rPr>
          <w:rFonts w:hint="eastAsia" w:ascii="仿宋_GB2312" w:hAnsi="仿宋_GB2312" w:eastAsia="仿宋_GB2312" w:cs="仿宋_GB2312"/>
          <w:i w:val="0"/>
          <w:iCs w:val="0"/>
          <w:caps w:val="0"/>
          <w:snapToGrid/>
          <w:color w:val="auto"/>
          <w:spacing w:val="0"/>
          <w:kern w:val="21"/>
          <w:sz w:val="32"/>
          <w:szCs w:val="32"/>
          <w:shd w:val="clear" w:color="auto" w:fill="auto"/>
          <w:lang w:val="en-US" w:eastAsia="zh-CN" w:bidi="ar-SA"/>
        </w:rPr>
        <w:t>技术标通过制项目智能评标，</w:t>
      </w:r>
      <w:r>
        <w:rPr>
          <w:rFonts w:hint="eastAsia" w:ascii="仿宋_GB2312" w:hAnsi="仿宋_GB2312" w:eastAsia="仿宋_GB2312" w:cs="仿宋_GB2312"/>
          <w:i w:val="0"/>
          <w:iCs w:val="0"/>
          <w:caps w:val="0"/>
          <w:snapToGrid/>
          <w:color w:val="auto"/>
          <w:spacing w:val="0"/>
          <w:kern w:val="21"/>
          <w:sz w:val="32"/>
          <w:szCs w:val="32"/>
          <w:shd w:val="clear" w:color="auto" w:fill="auto"/>
          <w:lang w:eastAsia="zh-CN" w:bidi="ar-SA"/>
        </w:rPr>
        <w:t>通过数字化手段对投标人资格、业绩、信用等客观量化指标进行辅助评审，减少人工评审自由裁量权。</w:t>
      </w:r>
    </w:p>
    <w:p>
      <w:pPr>
        <w:pStyle w:val="3"/>
        <w:keepNext w:val="0"/>
        <w:keepLines w:val="0"/>
        <w:pageBreakBefore w:val="0"/>
        <w:widowControl w:val="0"/>
        <w:numPr>
          <w:ilvl w:val="0"/>
          <w:numId w:val="0"/>
        </w:numPr>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US" w:eastAsia="zh-CN" w:bidi="ar-SA"/>
        </w:rPr>
      </w:pPr>
      <w:r>
        <w:rPr>
          <w:rFonts w:hint="eastAsia" w:ascii="楷体_GB2312" w:hAnsi="楷体_GB2312" w:eastAsia="楷体_GB2312" w:cs="楷体_GB2312"/>
          <w:b w:val="0"/>
          <w:snapToGrid/>
          <w:color w:val="auto"/>
          <w:spacing w:val="0"/>
          <w:kern w:val="21"/>
          <w:position w:val="0"/>
          <w:sz w:val="32"/>
          <w:szCs w:val="32"/>
          <w:lang w:val="en-US" w:eastAsia="zh-CN" w:bidi="ar-SA"/>
        </w:rPr>
        <w:t>（二十</w:t>
      </w:r>
      <w:r>
        <w:rPr>
          <w:rFonts w:hint="eastAsia" w:ascii="楷体_GB2312" w:hAnsi="楷体_GB2312" w:eastAsia="楷体_GB2312" w:cs="楷体_GB2312"/>
          <w:i w:val="0"/>
          <w:iCs w:val="0"/>
          <w:caps w:val="0"/>
          <w:snapToGrid/>
          <w:color w:val="auto"/>
          <w:spacing w:val="0"/>
          <w:kern w:val="21"/>
          <w:sz w:val="32"/>
          <w:szCs w:val="32"/>
          <w:shd w:val="clear" w:color="auto" w:fill="auto"/>
          <w:lang w:eastAsia="zh-CN" w:bidi="ar-SA"/>
        </w:rPr>
        <w:t>六</w:t>
      </w:r>
      <w:r>
        <w:rPr>
          <w:rFonts w:hint="eastAsia" w:ascii="楷体_GB2312" w:hAnsi="楷体_GB2312" w:eastAsia="楷体_GB2312" w:cs="楷体_GB2312"/>
          <w:b w:val="0"/>
          <w:snapToGrid/>
          <w:color w:val="auto"/>
          <w:spacing w:val="0"/>
          <w:kern w:val="21"/>
          <w:position w:val="0"/>
          <w:sz w:val="32"/>
          <w:szCs w:val="32"/>
          <w:lang w:val="en-US" w:eastAsia="zh-CN" w:bidi="ar-SA"/>
        </w:rPr>
        <w:t>）严厉打击招标投标违法行为。</w:t>
      </w:r>
      <w:r>
        <w:rPr>
          <w:rFonts w:hint="eastAsia" w:ascii="仿宋_GB2312" w:hAnsi="仿宋_GB2312" w:eastAsia="仿宋_GB2312" w:cs="仿宋_GB2312"/>
          <w:b w:val="0"/>
          <w:snapToGrid/>
          <w:color w:val="auto"/>
          <w:spacing w:val="0"/>
          <w:kern w:val="21"/>
          <w:position w:val="0"/>
          <w:sz w:val="32"/>
          <w:szCs w:val="32"/>
          <w:lang w:val="en-US" w:eastAsia="zh-CN" w:bidi="ar-SA"/>
        </w:rPr>
        <w:t>依法加大对排斥限制潜在投标人、规避招标、串通投标、以行贿手段谋取中标等违法犯罪行为的惩处力度，严厉打击转包、违法分包行为。</w:t>
      </w:r>
      <w:r>
        <w:rPr>
          <w:rFonts w:hint="eastAsia" w:ascii="仿宋_GB2312" w:hAnsi="仿宋_GB2312" w:eastAsia="仿宋_GB2312" w:cs="仿宋_GB2312"/>
          <w:b w:val="0"/>
          <w:snapToGrid/>
          <w:color w:val="auto"/>
          <w:spacing w:val="0"/>
          <w:kern w:val="21"/>
          <w:position w:val="0"/>
          <w:sz w:val="32"/>
          <w:szCs w:val="32"/>
          <w:lang w:eastAsia="zh-CN"/>
        </w:rPr>
        <w:t>各地要</w:t>
      </w:r>
      <w:r>
        <w:rPr>
          <w:rFonts w:hint="eastAsia" w:ascii="仿宋_GB2312" w:hAnsi="仿宋_GB2312" w:eastAsia="仿宋_GB2312" w:cs="仿宋_GB2312"/>
          <w:b w:val="0"/>
          <w:snapToGrid/>
          <w:color w:val="auto"/>
          <w:spacing w:val="0"/>
          <w:kern w:val="21"/>
          <w:position w:val="0"/>
          <w:sz w:val="32"/>
          <w:szCs w:val="32"/>
          <w:lang w:val="en-US" w:eastAsia="zh-CN" w:bidi="ar-SA"/>
        </w:rPr>
        <w:t>组织开展跨部门联合执法，集中整治工程建设领域突出问题，要</w:t>
      </w:r>
      <w:r>
        <w:rPr>
          <w:rFonts w:hint="eastAsia" w:ascii="仿宋_GB2312" w:hAnsi="仿宋_GB2312" w:eastAsia="仿宋_GB2312" w:cs="仿宋_GB2312"/>
          <w:b w:val="0"/>
          <w:snapToGrid/>
          <w:color w:val="auto"/>
          <w:spacing w:val="0"/>
          <w:kern w:val="21"/>
          <w:position w:val="0"/>
          <w:sz w:val="32"/>
          <w:szCs w:val="32"/>
          <w:lang w:eastAsia="zh-CN"/>
        </w:rPr>
        <w:t>对违法企业和人员的行为进行深入剖析，区分违纪、违法、犯罪等不同性质，分类做好处置工作。</w:t>
      </w:r>
      <w:r>
        <w:rPr>
          <w:rFonts w:hint="eastAsia" w:ascii="仿宋_GB2312" w:hAnsi="仿宋_GB2312" w:eastAsia="仿宋_GB2312" w:cs="仿宋_GB2312"/>
          <w:b w:val="0"/>
          <w:snapToGrid/>
          <w:color w:val="auto"/>
          <w:spacing w:val="0"/>
          <w:kern w:val="21"/>
          <w:position w:val="0"/>
          <w:sz w:val="32"/>
          <w:szCs w:val="32"/>
          <w:lang w:val="en-US" w:eastAsia="zh-CN" w:bidi="ar-SA"/>
        </w:rPr>
        <w:t>畅通违法线索来源渠道，建立举报处理机制，规范举报处理工作流程。完善招标投标投诉处理机制，遏制恶意投诉行为。</w:t>
      </w:r>
    </w:p>
    <w:p>
      <w:pPr>
        <w:keepNext w:val="0"/>
        <w:keepLines w:val="0"/>
        <w:pageBreakBefore w:val="0"/>
        <w:widowControl w:val="0"/>
        <w:suppressLineNumbers w:val="0"/>
        <w:kinsoku/>
        <w:wordWrap/>
        <w:overflowPunct w:val="0"/>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US" w:eastAsia="zh-CN" w:bidi="ar-SA"/>
        </w:rPr>
      </w:pPr>
      <w:r>
        <w:rPr>
          <w:rFonts w:hint="eastAsia" w:ascii="楷体_GB2312" w:hAnsi="楷体_GB2312" w:eastAsia="楷体_GB2312" w:cs="楷体_GB2312"/>
          <w:b w:val="0"/>
          <w:snapToGrid/>
          <w:color w:val="auto"/>
          <w:spacing w:val="0"/>
          <w:kern w:val="21"/>
          <w:position w:val="0"/>
          <w:sz w:val="32"/>
          <w:szCs w:val="32"/>
          <w:lang w:val="en-US" w:eastAsia="zh-CN" w:bidi="ar-SA"/>
        </w:rPr>
        <w:t>（二十七）强化标后履约监管。</w:t>
      </w:r>
      <w:r>
        <w:rPr>
          <w:rFonts w:hint="eastAsia" w:ascii="仿宋_GB2312" w:hAnsi="仿宋_GB2312" w:eastAsia="仿宋_GB2312" w:cs="仿宋_GB2312"/>
          <w:b w:val="0"/>
          <w:snapToGrid/>
          <w:color w:val="auto"/>
          <w:spacing w:val="0"/>
          <w:kern w:val="21"/>
          <w:position w:val="0"/>
          <w:sz w:val="32"/>
          <w:szCs w:val="32"/>
          <w:lang w:val="en-US" w:eastAsia="zh-CN" w:bidi="ar-SA"/>
        </w:rPr>
        <w:t>全面推行“双随机一公开”监管模式，建立和完善政府性投资在建工程项目标后履约情况部门联合检查机制，合理确定抽查对象、比例、频次，向社会公布后执行；对市政府重大民生项目、重大基础设施工程100%实行从开工建设到竣工验收全周期的不定期检查。抽查、检查结果通过有关行政监督部门网站及时向社会公开，接受社会监督，并同步归集至本级公共资源交易平台。</w:t>
      </w:r>
    </w:p>
    <w:p>
      <w:pPr>
        <w:keepNext w:val="0"/>
        <w:keepLines w:val="0"/>
        <w:pageBreakBefore w:val="0"/>
        <w:widowControl w:val="0"/>
        <w:suppressLineNumbers w:val="0"/>
        <w:kinsoku/>
        <w:wordWrap/>
        <w:overflowPunct w:val="0"/>
        <w:topLinePunct/>
        <w:autoSpaceDE/>
        <w:autoSpaceDN/>
        <w:bidi w:val="0"/>
        <w:adjustRightInd w:val="0"/>
        <w:snapToGrid w:val="0"/>
        <w:spacing w:line="560" w:lineRule="exact"/>
        <w:ind w:firstLine="640" w:firstLineChars="200"/>
        <w:jc w:val="both"/>
        <w:textAlignment w:val="baseline"/>
        <w:rPr>
          <w:rFonts w:hint="eastAsia" w:ascii="黑体" w:hAnsi="黑体" w:eastAsia="黑体" w:cs="黑体"/>
          <w:i w:val="0"/>
          <w:iCs w:val="0"/>
          <w:caps w:val="0"/>
          <w:snapToGrid/>
          <w:color w:val="auto"/>
          <w:spacing w:val="0"/>
          <w:kern w:val="21"/>
          <w:sz w:val="32"/>
          <w:szCs w:val="32"/>
          <w:shd w:val="clear" w:color="auto" w:fill="FFFFFF"/>
          <w:lang w:val="en-US" w:eastAsia="zh-CN"/>
        </w:rPr>
      </w:pPr>
      <w:r>
        <w:rPr>
          <w:rFonts w:hint="eastAsia" w:ascii="黑体" w:hAnsi="黑体" w:eastAsia="黑体" w:cs="黑体"/>
          <w:i w:val="0"/>
          <w:iCs w:val="0"/>
          <w:caps w:val="0"/>
          <w:snapToGrid/>
          <w:color w:val="auto"/>
          <w:spacing w:val="0"/>
          <w:kern w:val="21"/>
          <w:sz w:val="32"/>
          <w:szCs w:val="32"/>
          <w:shd w:val="clear" w:color="auto" w:fill="FFFFFF"/>
          <w:lang w:val="en-US" w:eastAsia="zh-CN"/>
        </w:rPr>
        <w:t>七、其他事项</w:t>
      </w:r>
    </w:p>
    <w:p>
      <w:pPr>
        <w:pStyle w:val="3"/>
        <w:keepNext w:val="0"/>
        <w:keepLines w:val="0"/>
        <w:pageBreakBefore w:val="0"/>
        <w:widowControl w:val="0"/>
        <w:kinsoku/>
        <w:wordWrap/>
        <w:overflowPunct w:val="0"/>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snapToGrid/>
          <w:color w:val="auto"/>
          <w:spacing w:val="0"/>
          <w:kern w:val="21"/>
          <w:position w:val="0"/>
          <w:sz w:val="32"/>
          <w:szCs w:val="32"/>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rPr>
        <w:t>（二十</w:t>
      </w:r>
      <w:r>
        <w:rPr>
          <w:rFonts w:hint="eastAsia" w:ascii="楷体_GB2312" w:hAnsi="楷体_GB2312" w:eastAsia="楷体_GB2312" w:cs="楷体_GB2312"/>
          <w:b w:val="0"/>
          <w:snapToGrid/>
          <w:color w:val="auto"/>
          <w:spacing w:val="0"/>
          <w:kern w:val="21"/>
          <w:position w:val="0"/>
          <w:sz w:val="32"/>
          <w:szCs w:val="32"/>
          <w:lang w:val="en-US" w:eastAsia="zh-CN" w:bidi="ar-SA"/>
        </w:rPr>
        <w:t>八</w:t>
      </w:r>
      <w:r>
        <w:rPr>
          <w:rFonts w:hint="eastAsia" w:ascii="楷体_GB2312" w:hAnsi="楷体_GB2312" w:eastAsia="楷体_GB2312" w:cs="楷体_GB2312"/>
          <w:b w:val="0"/>
          <w:snapToGrid/>
          <w:color w:val="auto"/>
          <w:spacing w:val="0"/>
          <w:kern w:val="21"/>
          <w:position w:val="0"/>
          <w:sz w:val="32"/>
          <w:szCs w:val="32"/>
          <w:lang w:val="en-US" w:eastAsia="zh-CN"/>
        </w:rPr>
        <w:t>）明确时间计算要求。</w:t>
      </w:r>
      <w:r>
        <w:rPr>
          <w:rFonts w:hint="eastAsia" w:ascii="仿宋_GB2312" w:hAnsi="仿宋_GB2312" w:eastAsia="仿宋_GB2312" w:cs="仿宋_GB2312"/>
          <w:b w:val="0"/>
          <w:snapToGrid/>
          <w:color w:val="auto"/>
          <w:spacing w:val="0"/>
          <w:kern w:val="21"/>
          <w:position w:val="0"/>
          <w:sz w:val="32"/>
          <w:szCs w:val="32"/>
          <w:lang w:val="en-US" w:eastAsia="zh-CN"/>
        </w:rPr>
        <w:t>本意见中“3日”“5日”“15日”的规定是指自然日。有关公告（公示）、投诉有效期等期间按日计算的，开始的当日不计入，自次日开始计算；最后一日如遇国家法定休假日的，应顺延至法定休假日结束后第1个工作日。依照本意见规定应在省公共资源交易服务平台公开公示的信息，以在省公共资源交易服务平台公开公示的时间计算期间。</w:t>
      </w:r>
    </w:p>
    <w:p>
      <w:pPr>
        <w:pStyle w:val="3"/>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color w:val="auto"/>
          <w:spacing w:val="0"/>
          <w:kern w:val="21"/>
          <w:position w:val="0"/>
          <w:sz w:val="32"/>
          <w:szCs w:val="32"/>
          <w:lang w:val="en-US" w:eastAsia="zh-CN"/>
        </w:rPr>
      </w:pPr>
      <w:r>
        <w:rPr>
          <w:rFonts w:hint="eastAsia" w:ascii="楷体_GB2312" w:hAnsi="楷体_GB2312" w:eastAsia="楷体_GB2312" w:cs="楷体_GB2312"/>
          <w:b w:val="0"/>
          <w:snapToGrid/>
          <w:color w:val="auto"/>
          <w:spacing w:val="0"/>
          <w:kern w:val="21"/>
          <w:position w:val="0"/>
          <w:sz w:val="32"/>
          <w:szCs w:val="32"/>
          <w:lang w:val="en-US" w:eastAsia="zh-CN"/>
        </w:rPr>
        <w:t>（二十九）</w:t>
      </w:r>
      <w:r>
        <w:rPr>
          <w:rFonts w:hint="eastAsia" w:ascii="仿宋_GB2312" w:hAnsi="仿宋_GB2312" w:eastAsia="仿宋_GB2312" w:cs="仿宋_GB2312"/>
          <w:b w:val="0"/>
          <w:snapToGrid/>
          <w:color w:val="auto"/>
          <w:spacing w:val="0"/>
          <w:kern w:val="21"/>
          <w:position w:val="0"/>
          <w:sz w:val="32"/>
          <w:szCs w:val="32"/>
          <w:lang w:val="en-US" w:eastAsia="zh-CN"/>
        </w:rPr>
        <w:t>本意见自2024年 月 日起实施。《温州市人民政府关于进一步规范工程建设项目招标投标活动的实施意见》（温政发〔2021〕11号）同时废止。</w:t>
      </w:r>
    </w:p>
    <w:p>
      <w:pPr>
        <w:rPr>
          <w:color w:val="auto"/>
        </w:rPr>
      </w:pPr>
    </w:p>
    <w:sectPr>
      <w:footerReference r:id="rId3" w:type="default"/>
      <w:pgSz w:w="11906" w:h="16838"/>
      <w:pgMar w:top="2154"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ODNjNWE1NmI5N2E4YzYxZGNhNTI5YTI3YWVkNDkifQ=="/>
  </w:docVars>
  <w:rsids>
    <w:rsidRoot w:val="3A3755E7"/>
    <w:rsid w:val="030A0A72"/>
    <w:rsid w:val="05810A13"/>
    <w:rsid w:val="076034A7"/>
    <w:rsid w:val="084D5DC6"/>
    <w:rsid w:val="08A00E5B"/>
    <w:rsid w:val="17670790"/>
    <w:rsid w:val="1DD45AAC"/>
    <w:rsid w:val="29154BC6"/>
    <w:rsid w:val="2B361B54"/>
    <w:rsid w:val="2D9C5B61"/>
    <w:rsid w:val="31197504"/>
    <w:rsid w:val="313C1E8F"/>
    <w:rsid w:val="35D73E4F"/>
    <w:rsid w:val="37BE3B80"/>
    <w:rsid w:val="39FB75EF"/>
    <w:rsid w:val="3A3755E7"/>
    <w:rsid w:val="3AD364A6"/>
    <w:rsid w:val="3CE544F2"/>
    <w:rsid w:val="408616F2"/>
    <w:rsid w:val="45255E39"/>
    <w:rsid w:val="51E97604"/>
    <w:rsid w:val="5DE7ED26"/>
    <w:rsid w:val="66176A2D"/>
    <w:rsid w:val="68E915DA"/>
    <w:rsid w:val="6925180D"/>
    <w:rsid w:val="6ECD58F9"/>
    <w:rsid w:val="71E52F59"/>
    <w:rsid w:val="792C76C0"/>
    <w:rsid w:val="7BBF17C4"/>
    <w:rsid w:val="7CFFC3D4"/>
    <w:rsid w:val="AFECEF87"/>
    <w:rsid w:val="BBEFD70F"/>
    <w:rsid w:val="C9BE3DBD"/>
    <w:rsid w:val="D7FDEE72"/>
    <w:rsid w:val="DFBF50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spacing w:after="120" w:line="351" w:lineRule="atLeast"/>
      <w:ind w:firstLine="420" w:firstLineChars="100"/>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3">
    <w:name w:val="Body Text"/>
    <w:basedOn w:val="1"/>
    <w:next w:val="2"/>
    <w:qFormat/>
    <w:uiPriority w:val="0"/>
    <w:pPr>
      <w:jc w:val="center"/>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692</Words>
  <Characters>762</Characters>
  <Lines>0</Lines>
  <Paragraphs>0</Paragraphs>
  <TotalTime>16</TotalTime>
  <ScaleCrop>false</ScaleCrop>
  <LinksUpToDate>false</LinksUpToDate>
  <CharactersWithSpaces>913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2024-11-06T06:15:00Z</dcterms:created>
  <dc:creator>泮力豪</dc:creator>
  <cp:lastModifiedBy>greatwall</cp:lastModifiedBy>
  <dcterms:modified xsi:type="dcterms:W3CDTF">2024-11-18T14:34:57Z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655ECD9761D07A7D81A53667D35B97C8</vt:lpwstr>
  </property>
</Properties>
</file>