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新昌县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市场监督管理局“首违不罚”指导意见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（征求意见稿）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为认真贯彻执行《中华人民共和国行政处罚法》相关规定，促进严格规范公正文明执法，进一步规范行使行政处罚裁量权，优化法治化营商环境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，为全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各类市场主体提供更加宽松的制度环境，结合我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实际，现制定《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新昌县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市场监督管理局“首违不罚”指导意见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制定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背景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以习近平法治思想为指引，认真落实党中央、国务院决策部署，坚持依法行政，坚持包容审慎监管，积极探索适应新业态特点的新型监管方式，进一步优化法治化营商环境。《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新昌县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市场监督管理局“首违不罚”指导意见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》根据《中华人民共和国行政处罚法》为指导，以“首违不罚”凸显执法温度和服务宗旨，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以柔性执法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促进法律效果和社会效果的统一。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二、“首违不罚”的内涵及适用条件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本意见所称“首违不罚”，是指对首次发生《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  <w:t>新昌县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市场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  <w:t>监督管理局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“首违不罚”事项清单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》中所列行为且危害后果轻微，当事人已主动改正或者在市场监管部门责令改正的期限内改正的，市场监管部门不予行政处罚。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适用“首违不罚”应同时满足下列三个条件：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（一）当事人首次发生《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  <w:t>新昌县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市场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  <w:t>监督管理局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“首违不罚”事项清单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》中所列行为且满足适用条件；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（二）违法行为危害后果轻微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（三）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当事人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已主动改正或者在市场监管部门责令改正的期限内改正。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三、实施要求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（一）准确把握适用范围。适用“首违不罚”的情形实行清单化管理，清单将根据法律法规规章的立改废情况及执法实践适时予以调整。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新昌县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市场监管局及所属机构已通知当事人改正或限期改正违法行为，当事人逾期未改正而被查处的，不属“首违不罚”。涉及国家利益和社会公共利益，造成社会不良影响或群体性事件的违法行为的，不得适用“首违不罚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（二）严格规范适用程序。发现违法违规行为线索后，应当按照有关规定开展核查、收集证据并作出决定。当事人首次发生《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  <w:t>新昌县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市场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  <w:t>监督管理局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“首违不罚”事项清单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》中所列行为且危害后果轻微的，由执法人员向当事人指出违法行为、宣传相关法律法规、提出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改正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要求，并出具责令改正通知书等文书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当事人已主动改正或者在市场监管部门责令改正的期限内改正的，对其作出不予立案或不予行政处罚决定。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局属各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实施机构，应当在每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周一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将本机构上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一周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实施“首违不罚”不予行政处罚的情况，报局政策法规科备案。局政策法规科发现“首违不罚”实施不当的，应当提出纠正意见，并向局主要负责人报告。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强化执法痕迹化管理。应严格落实执法全过程记录制度的相关要求，行政执法人员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采用音像记录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方式记录执法全过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</w:rPr>
        <w:t>程。实施“首违不罚”过程中形成的材料，按照行政执法文书材料立卷规范的要求规范整理，归档保管，确保履职尽责有据可查和可回溯管理。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指导意见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自2023年 月 日起施行。</w:t>
      </w:r>
    </w:p>
    <w:p>
      <w:pPr>
        <w:spacing w:line="360" w:lineRule="auto"/>
        <w:jc w:val="left"/>
        <w:rPr>
          <w:rFonts w:hint="default" w:ascii="宋体" w:hAnsi="宋体"/>
          <w:kern w:val="0"/>
          <w:sz w:val="28"/>
          <w:szCs w:val="28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361" w:bottom="1418" w:left="1418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Uighursoft 3L Song">
    <w:altName w:val="Times New Roman"/>
    <w:panose1 w:val="02020603050405020304"/>
    <w:charset w:val="00"/>
    <w:family w:val="roman"/>
    <w:pitch w:val="default"/>
    <w:sig w:usb0="00000000" w:usb1="00000000" w:usb2="00000008" w:usb3="00000000" w:csb0="000000D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第  </w:t>
    </w: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  <w:r>
      <w:rPr>
        <w:rFonts w:hint="eastAsia" w:ascii="仿宋_GB2312" w:eastAsia="仿宋_GB2312"/>
        <w:sz w:val="28"/>
        <w:szCs w:val="28"/>
      </w:rPr>
      <w:t xml:space="preserve">  页共  </w:t>
    </w:r>
    <w:r>
      <w:fldChar w:fldCharType="begin"/>
    </w:r>
    <w:r>
      <w:rPr>
        <w:rStyle w:val="7"/>
      </w:rPr>
      <w:instrText xml:space="preserve"> NUMPAGES </w:instrText>
    </w:r>
    <w:r>
      <w:fldChar w:fldCharType="separate"/>
    </w:r>
    <w:r>
      <w:rPr>
        <w:rStyle w:val="7"/>
      </w:rPr>
      <w:t>1</w:t>
    </w:r>
    <w:r>
      <w:fldChar w:fldCharType="end"/>
    </w:r>
    <w:r>
      <w:rPr>
        <w:rFonts w:hint="eastAsia" w:ascii="仿宋_GB2312" w:eastAsia="仿宋_GB2312"/>
        <w:sz w:val="28"/>
        <w:szCs w:val="28"/>
      </w:rPr>
      <w:t xml:space="preserve"> 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3CE8E"/>
    <w:multiLevelType w:val="singleLevel"/>
    <w:tmpl w:val="5583CE8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786667"/>
    <w:rsid w:val="0ADE3913"/>
    <w:rsid w:val="1CDC0559"/>
    <w:rsid w:val="28ED7022"/>
    <w:rsid w:val="2F110DBF"/>
    <w:rsid w:val="59F97F90"/>
    <w:rsid w:val="5F876020"/>
    <w:rsid w:val="759D51C9"/>
    <w:rsid w:val="7C7C7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Uighursoft 3L Song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paragraph" w:customStyle="1" w:styleId="8">
    <w:name w:val="样式2"/>
    <w:basedOn w:val="1"/>
    <w:qFormat/>
    <w:uiPriority w:val="0"/>
    <w:pPr>
      <w:spacing w:after="120" w:line="360" w:lineRule="auto"/>
      <w:ind w:firstLine="880" w:firstLineChars="200"/>
    </w:pPr>
    <w:rPr>
      <w:rFonts w:ascii="Tahoma" w:hAnsi="Tahoma" w:eastAsia="宋体"/>
      <w:sz w:val="24"/>
      <w:szCs w:val="22"/>
    </w:rPr>
  </w:style>
  <w:style w:type="paragraph" w:customStyle="1" w:styleId="9">
    <w:name w:val="样式3"/>
    <w:basedOn w:val="1"/>
    <w:qFormat/>
    <w:uiPriority w:val="0"/>
    <w:pPr>
      <w:spacing w:after="120" w:line="380" w:lineRule="exact"/>
      <w:ind w:firstLine="880" w:firstLineChars="200"/>
    </w:pPr>
    <w:rPr>
      <w:rFonts w:ascii="Tahoma" w:hAnsi="Tahoma" w:eastAsia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2023-08-10T00:39:59Z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