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金华市区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“亩均领跑者”奖励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资金管理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实施细则</w:t>
      </w:r>
      <w:r>
        <w:rPr>
          <w:rFonts w:hint="default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</w:rPr>
        <w:t>一、制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订</w:t>
      </w:r>
      <w:r>
        <w:rPr>
          <w:rFonts w:hint="default" w:ascii="Times New Roman" w:hAnsi="Times New Roman" w:eastAsia="黑体" w:cs="Times New Roman"/>
          <w:spacing w:val="0"/>
          <w:kern w:val="21"/>
        </w:rPr>
        <w:t>背景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和政策依据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为贯彻落实《金华市人民政府关于加快推进新型工业化的政策意见</w:t>
      </w:r>
      <w:r>
        <w:rPr>
          <w:rFonts w:hint="eastAsia" w:ascii="Times New Roman" w:hAnsi="Times New Roman" w:cs="Times New Roman"/>
          <w:snapToGrid/>
          <w:color w:val="0C0C0C"/>
          <w:spacing w:val="0"/>
          <w:w w:val="100"/>
          <w:kern w:val="21"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</w:rPr>
        <w:t>金政发〔2024〕6号）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highlight w:val="none"/>
          <w:lang w:bidi="ar"/>
        </w:rPr>
        <w:t>，</w:t>
      </w:r>
      <w:r>
        <w:rPr>
          <w:rFonts w:hint="eastAsia" w:ascii="Times New Roman" w:hAnsi="Times New Roman" w:cs="Times New Roman"/>
          <w:color w:val="auto"/>
          <w:kern w:val="21"/>
          <w:sz w:val="32"/>
          <w:highlight w:val="none"/>
          <w:lang w:eastAsia="zh-CN" w:bidi="ar"/>
        </w:rPr>
        <w:t>推进高质量发展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，强化政策引导，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制定本实施细则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0"/>
          <w:kern w:val="21"/>
        </w:rPr>
        <w:t>、主要内容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  <w:lang w:eastAsia="zh-CN"/>
        </w:rPr>
        <w:t>主要内容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《金华市人民政府关于加快推进新型工业化的政策意见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</w:rPr>
        <w:t>金政发〔2024〕6号）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金华市区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亩均领跑者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（一）总体要求：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落实</w:t>
      </w:r>
      <w:r>
        <w:rPr>
          <w:rFonts w:hint="eastAsia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委、</w:t>
      </w:r>
      <w:r>
        <w:rPr>
          <w:rFonts w:hint="eastAsia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政府</w:t>
      </w:r>
      <w:r>
        <w:rPr>
          <w:rFonts w:hint="eastAsia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和市委、市政府关于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“</w:t>
      </w:r>
      <w:r>
        <w:rPr>
          <w:rFonts w:hint="eastAsia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亩均论英雄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”</w:t>
      </w:r>
      <w:r>
        <w:rPr>
          <w:rFonts w:hint="eastAsia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改革相关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工作要求，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推进资源要素优化配置，加快打造国际枢纽城、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加快推进新型工业化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（二）主要任务：</w:t>
      </w:r>
      <w:r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企业亩均效益评选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亩均领跑者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，对市区前三的企业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给予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奖励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，通过奖励，树立先进典型，强化示范引领，为金华高质量发展注入强劲动能。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kern w:val="21"/>
        </w:rPr>
        <w:t>、</w:t>
      </w: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制定过程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《金华市人民政府关于加快推进新型工业化的政策意见</w:t>
      </w:r>
      <w:r>
        <w:rPr>
          <w:rFonts w:hint="eastAsia" w:ascii="Times New Roman" w:hAnsi="Times New Roman" w:cs="Times New Roman"/>
          <w:snapToGrid/>
          <w:color w:val="0C0C0C"/>
          <w:spacing w:val="0"/>
          <w:w w:val="100"/>
          <w:kern w:val="21"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</w:rPr>
        <w:t>金政发〔2024〕6号）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在今年年初发布以来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，市经信局对市区亩均效益情况开展调研排摸，听取各相关部门、企业的意见，形成了政策相关内容实施细则征求意见稿。准备5月中旬同步书面形式征求相关部门意见。5月16日在市经信局门户网站上公开向社会公众征求意见。</w:t>
      </w:r>
    </w:p>
    <w:p>
      <w:pPr>
        <w:pStyle w:val="9"/>
        <w:numPr>
          <w:ilvl w:val="0"/>
          <w:numId w:val="0"/>
        </w:numPr>
        <w:rPr>
          <w:rFonts w:hint="eastAsia" w:hAnsi="Times New Roman" w:eastAsia="楷体_GB2312" w:cs="Times New Roman"/>
          <w:color w:val="auto"/>
          <w:kern w:val="21"/>
          <w:sz w:val="32"/>
          <w:highlight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4082"/>
    <w:rsid w:val="17FB3E9F"/>
    <w:rsid w:val="5F9D12C7"/>
    <w:rsid w:val="5FB3C5AE"/>
    <w:rsid w:val="6FFFAE35"/>
    <w:rsid w:val="7B3D4082"/>
    <w:rsid w:val="97E7A6BE"/>
    <w:rsid w:val="DFFEB56D"/>
    <w:rsid w:val="EB3BA732"/>
    <w:rsid w:val="ECDE606F"/>
    <w:rsid w:val="F3FD4B99"/>
    <w:rsid w:val="FEAB5001"/>
    <w:rsid w:val="FF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suppressAutoHyphens/>
      <w:spacing w:after="140" w:line="276" w:lineRule="auto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2024-03-09T17:59:00Z</dcterms:created>
  <dc:creator>uos</dc:creator>
  <cp:lastModifiedBy>uos</cp:lastModifiedBy>
  <dcterms:modified xsi:type="dcterms:W3CDTF">2024-05-16T11:32:53Z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8059EBBA2BC806BC8E1C436650C4CD21</vt:lpwstr>
  </property>
</Properties>
</file>