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both"/>
        <w:rPr>
          <w:rFonts w:hint="eastAsia" w:ascii="黑体" w:hAnsi="黑体" w:eastAsia="黑体" w:cs="黑体"/>
          <w:color w:val="000000" w:themeColor="text1"/>
          <w:sz w:val="32"/>
          <w:szCs w:val="32"/>
          <w:lang w:val="en-US" w:eastAsia="zh-CN"/>
          <w14:textFill>
            <w14:solidFill>
              <w14:schemeClr w14:val="tx1"/>
            </w14:solidFill>
          </w14:textFill>
          <w14:ligatures w14:val="none"/>
        </w:rPr>
      </w:pPr>
      <w:r>
        <w:rPr>
          <w:rFonts w:hint="eastAsia" w:ascii="黑体" w:hAnsi="黑体" w:eastAsia="黑体" w:cs="黑体"/>
          <w:color w:val="000000" w:themeColor="text1"/>
          <w:sz w:val="32"/>
          <w:szCs w:val="32"/>
          <w:lang w:val="en-US" w:eastAsia="zh-CN"/>
          <w14:textFill>
            <w14:solidFill>
              <w14:schemeClr w14:val="tx1"/>
            </w14:solidFill>
          </w14:textFill>
          <w14:ligatures w14:val="none"/>
        </w:rPr>
        <w:t>附件4：</w:t>
      </w:r>
    </w:p>
    <w:p>
      <w:pPr>
        <w:spacing w:line="600" w:lineRule="exact"/>
        <w:jc w:val="center"/>
        <w:rPr>
          <w:rFonts w:hint="eastAsia" w:ascii="方正小标宋简体" w:hAnsi="华文中宋" w:eastAsia="方正小标宋简体" w:cs="Times New Roman"/>
          <w:color w:val="000000" w:themeColor="text1"/>
          <w:sz w:val="44"/>
          <w:szCs w:val="44"/>
          <w14:textFill>
            <w14:solidFill>
              <w14:schemeClr w14:val="tx1"/>
            </w14:solidFill>
          </w14:textFill>
          <w14:ligatures w14:val="none"/>
        </w:rPr>
      </w:pPr>
    </w:p>
    <w:p>
      <w:pPr>
        <w:spacing w:line="600" w:lineRule="exact"/>
        <w:jc w:val="center"/>
        <w:rPr>
          <w:rFonts w:ascii="方正小标宋简体" w:hAnsi="仿宋" w:eastAsia="方正小标宋简体" w:cs="Times New Roman"/>
          <w:b/>
          <w:bCs/>
          <w:color w:val="000000" w:themeColor="text1"/>
          <w:sz w:val="36"/>
          <w:szCs w:val="36"/>
          <w14:textFill>
            <w14:solidFill>
              <w14:schemeClr w14:val="tx1"/>
            </w14:solidFill>
          </w14:textFill>
          <w14:ligatures w14:val="none"/>
        </w:rPr>
      </w:pPr>
      <w:r>
        <w:rPr>
          <w:rFonts w:hint="eastAsia" w:ascii="方正小标宋简体" w:hAnsi="华文中宋" w:eastAsia="方正小标宋简体" w:cs="Times New Roman"/>
          <w:color w:val="000000" w:themeColor="text1"/>
          <w:sz w:val="44"/>
          <w:szCs w:val="44"/>
          <w14:textFill>
            <w14:solidFill>
              <w14:schemeClr w14:val="tx1"/>
            </w14:solidFill>
          </w14:textFill>
          <w14:ligatures w14:val="none"/>
        </w:rPr>
        <w:t>建德市政府产</w:t>
      </w:r>
      <w:bookmarkStart w:id="4" w:name="_GoBack"/>
      <w:bookmarkEnd w:id="4"/>
      <w:r>
        <w:rPr>
          <w:rFonts w:hint="eastAsia" w:ascii="方正小标宋简体" w:hAnsi="华文中宋" w:eastAsia="方正小标宋简体" w:cs="Times New Roman"/>
          <w:color w:val="000000" w:themeColor="text1"/>
          <w:sz w:val="44"/>
          <w:szCs w:val="44"/>
          <w14:textFill>
            <w14:solidFill>
              <w14:schemeClr w14:val="tx1"/>
            </w14:solidFill>
          </w14:textFill>
          <w14:ligatures w14:val="none"/>
        </w:rPr>
        <w:t>业基金投后管理规则（试行）</w:t>
      </w:r>
    </w:p>
    <w:p>
      <w:pPr>
        <w:spacing w:line="600" w:lineRule="exact"/>
        <w:jc w:val="center"/>
        <w:rPr>
          <w:rFonts w:ascii="仿宋_GB2312" w:hAnsi="华文中宋" w:eastAsia="仿宋_GB2312" w:cs="Times New Roman"/>
          <w:color w:val="000000" w:themeColor="text1"/>
          <w:sz w:val="32"/>
          <w:szCs w:val="32"/>
          <w14:textFill>
            <w14:solidFill>
              <w14:schemeClr w14:val="tx1"/>
            </w14:solidFill>
          </w14:textFill>
          <w14:ligatures w14:val="none"/>
        </w:rPr>
      </w:pPr>
    </w:p>
    <w:p>
      <w:pPr>
        <w:numPr>
          <w:ilvl w:val="0"/>
          <w:numId w:val="1"/>
        </w:numPr>
        <w:overflowPunct w:val="0"/>
        <w:topLinePunct/>
        <w:adjustRightInd w:val="0"/>
        <w:spacing w:line="560" w:lineRule="exact"/>
        <w:rPr>
          <w:rFonts w:ascii="仿宋_GB2312" w:hAnsi="仿宋" w:eastAsia="仿宋_GB2312" w:cs="Times New Roman"/>
          <w:color w:val="000000" w:themeColor="text1"/>
          <w:spacing w:val="-6"/>
          <w:sz w:val="32"/>
          <w:szCs w:val="32"/>
          <w14:textFill>
            <w14:solidFill>
              <w14:schemeClr w14:val="tx1"/>
            </w14:solidFill>
          </w14:textFill>
          <w14:ligatures w14:val="none"/>
        </w:rPr>
      </w:pPr>
      <w:r>
        <w:rPr>
          <w:rFonts w:hint="eastAsia" w:ascii="仿宋_GB2312" w:hAnsi="仿宋" w:eastAsia="仿宋_GB2312" w:cs="Times New Roman"/>
          <w:color w:val="000000" w:themeColor="text1"/>
          <w:spacing w:val="-6"/>
          <w:sz w:val="32"/>
          <w:szCs w:val="32"/>
          <w14:textFill>
            <w14:solidFill>
              <w14:schemeClr w14:val="tx1"/>
            </w14:solidFill>
          </w14:textFill>
          <w14:ligatures w14:val="none"/>
        </w:rPr>
        <w:t xml:space="preserve">为促进建德市政府产业基金（以下简称市产业基金）投资业务，控制并降低投资风险，加强对所投子基金与项目的管理和服务，依照国家有关法律、法规及《建德市政府产业基金管理办法》等规章制度，制定本规则。 </w:t>
      </w:r>
    </w:p>
    <w:p>
      <w:pPr>
        <w:numPr>
          <w:ilvl w:val="0"/>
          <w:numId w:val="1"/>
        </w:numPr>
        <w:overflowPunct w:val="0"/>
        <w:topLinePunct/>
        <w:adjustRightInd w:val="0"/>
        <w:spacing w:line="560" w:lineRule="exact"/>
        <w:rPr>
          <w:rFonts w:ascii="仿宋_GB2312" w:hAnsi="仿宋" w:eastAsia="仿宋_GB2312" w:cs="Times New Roman"/>
          <w:color w:val="000000" w:themeColor="text1"/>
          <w:spacing w:val="-6"/>
          <w:sz w:val="32"/>
          <w:szCs w:val="32"/>
          <w14:textFill>
            <w14:solidFill>
              <w14:schemeClr w14:val="tx1"/>
            </w14:solidFill>
          </w14:textFill>
          <w14:ligatures w14:val="none"/>
        </w:rPr>
      </w:pPr>
      <w:r>
        <w:rPr>
          <w:rFonts w:hint="eastAsia" w:ascii="仿宋_GB2312" w:hAnsi="仿宋" w:eastAsia="仿宋_GB2312" w:cs="Times New Roman"/>
          <w:color w:val="000000" w:themeColor="text1"/>
          <w:spacing w:val="-6"/>
          <w:sz w:val="32"/>
          <w:szCs w:val="32"/>
          <w14:textFill>
            <w14:solidFill>
              <w14:schemeClr w14:val="tx1"/>
            </w14:solidFill>
          </w14:textFill>
          <w14:ligatures w14:val="none"/>
        </w:rPr>
        <w:t>本规则所称市产业基金包括国资产业发展基金、招商专题基金和政府产业引导基金（以下简称三类基金）及其下属子基金。</w:t>
      </w:r>
    </w:p>
    <w:p>
      <w:pPr>
        <w:numPr>
          <w:ilvl w:val="0"/>
          <w:numId w:val="1"/>
        </w:numPr>
        <w:overflowPunct w:val="0"/>
        <w:topLinePunct/>
        <w:adjustRightInd w:val="0"/>
        <w:spacing w:line="560" w:lineRule="exact"/>
        <w:rPr>
          <w:rFonts w:ascii="仿宋_GB2312" w:hAnsi="仿宋" w:eastAsia="仿宋_GB2312" w:cs="Times New Roman"/>
          <w:color w:val="000000" w:themeColor="text1"/>
          <w:spacing w:val="-6"/>
          <w:sz w:val="32"/>
          <w:szCs w:val="32"/>
          <w14:textFill>
            <w14:solidFill>
              <w14:schemeClr w14:val="tx1"/>
            </w14:solidFill>
          </w14:textFill>
          <w14:ligatures w14:val="none"/>
        </w:rPr>
      </w:pPr>
      <w:r>
        <w:rPr>
          <w:rFonts w:hint="eastAsia" w:ascii="仿宋_GB2312" w:hAnsi="仿宋" w:eastAsia="仿宋_GB2312" w:cs="Times New Roman"/>
          <w:color w:val="000000" w:themeColor="text1"/>
          <w:spacing w:val="-6"/>
          <w:sz w:val="32"/>
          <w:szCs w:val="32"/>
          <w14:textFill>
            <w14:solidFill>
              <w14:schemeClr w14:val="tx1"/>
            </w14:solidFill>
          </w14:textFill>
          <w14:ligatures w14:val="none"/>
        </w:rPr>
        <w:t>投后管理起始于基金合伙协议或项目投资协议正式签署之日，终止于完成基金份额转让、基金清算或直接投资项目完全退出之日。</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本规则的核心条款，应当在合伙协议或投资协议中明确体现以保证投后管理的对接开展和顺利推进。</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投后管理工作应坚持遵循市场规律与聚焦主责主业，从整体效能出发，综合考量基金发展定位、投资方向、撬动社会资本规模、重大招商引资项目推动落地情况等政策目标和社会效益，不以投资收益作为投后管理单一导向，有效发挥产业基金的引导作用与杠杆作用，支持地方产业高质量发展，培育壮大新质生产力。</w:t>
      </w:r>
    </w:p>
    <w:p>
      <w:pPr>
        <w:pStyle w:val="7"/>
        <w:numPr>
          <w:ilvl w:val="0"/>
          <w:numId w:val="1"/>
        </w:numPr>
        <w:spacing w:line="560" w:lineRule="exact"/>
        <w:ind w:firstLineChars="0"/>
        <w:rPr>
          <w:rFonts w:ascii="仿宋_GB2312" w:hAnsi="仿宋" w:eastAsia="仿宋_GB2312"/>
          <w:color w:val="000000" w:themeColor="text1"/>
          <w:spacing w:val="8"/>
          <w14:textFill>
            <w14:solidFill>
              <w14:schemeClr w14:val="tx1"/>
            </w14:solidFill>
          </w14:textFill>
        </w:rPr>
      </w:pPr>
      <w:bookmarkStart w:id="0" w:name="_Hlk174627449"/>
      <w:r>
        <w:rPr>
          <w:rFonts w:hint="eastAsia" w:ascii="仿宋_GB2312" w:hAnsi="仿宋" w:eastAsia="仿宋_GB2312"/>
          <w:color w:val="000000" w:themeColor="text1"/>
          <w:spacing w:val="8"/>
          <w14:textFill>
            <w14:solidFill>
              <w14:schemeClr w14:val="tx1"/>
            </w14:solidFill>
          </w14:textFill>
        </w:rPr>
        <w:t>三类基金及子基金的投后管理工作由基金管理机构按照本规则执行，</w:t>
      </w:r>
      <w:bookmarkEnd w:id="0"/>
      <w:r>
        <w:rPr>
          <w:rFonts w:hint="eastAsia" w:ascii="仿宋_GB2312" w:hAnsi="仿宋" w:eastAsia="仿宋_GB2312"/>
          <w:color w:val="000000" w:themeColor="text1"/>
          <w:spacing w:val="8"/>
          <w14:textFill>
            <w14:solidFill>
              <w14:schemeClr w14:val="tx1"/>
            </w14:solidFill>
          </w14:textFill>
        </w:rPr>
        <w:t>并将工作成果报送基金主管部门和基金专班。</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基金主管部门和基金专班负责监督检查基金管理机构投后监管事项。</w:t>
      </w:r>
    </w:p>
    <w:p>
      <w:pPr>
        <w:pStyle w:val="7"/>
        <w:numPr>
          <w:ilvl w:val="0"/>
          <w:numId w:val="1"/>
        </w:numPr>
        <w:spacing w:line="560" w:lineRule="exact"/>
        <w:ind w:firstLineChars="0"/>
        <w:rPr>
          <w:rFonts w:ascii="仿宋_GB2312" w:hAnsi="仿宋" w:eastAsia="仿宋_GB2312"/>
          <w:color w:val="000000" w:themeColor="text1"/>
          <w:spacing w:val="8"/>
          <w14:textFill>
            <w14:solidFill>
              <w14:schemeClr w14:val="tx1"/>
            </w14:solidFill>
          </w14:textFill>
        </w:rPr>
      </w:pPr>
      <w:r>
        <w:rPr>
          <w:rFonts w:hint="eastAsia" w:ascii="仿宋_GB2312" w:hAnsi="仿宋" w:eastAsia="仿宋_GB2312"/>
          <w:color w:val="000000" w:themeColor="text1"/>
          <w:spacing w:val="8"/>
          <w14:textFill>
            <w14:solidFill>
              <w14:schemeClr w14:val="tx1"/>
            </w14:solidFill>
          </w14:textFill>
        </w:rPr>
        <w:t>为充分发挥基金专业化管理团队的独立决策作用，基金管理机构为其投后管理负责机构，并对投后管理事项进行分级决策。不涉及重大风险的一般事项，由基金管理机构按照合伙协议、章程约定独立决策执行。涉及重大风险的，基金管理机构应拟定风险分析与处置方案并报送给基金主管部门和基金专班，并上报市产业基金投资联席会（以下简称投联会）决议。</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三类基金应按合伙协议、投资协议约定，向被投基金、企业委派投决会委员、投决会观察员、董事、监事等人员，关注被投基金、企业的投资运营情况。</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基金管理机构应对有直接投资关系的被投企业定期走访，原则上每半年至少现场走访一次，现场了解被投企业运营情况，收集经营和财务信息进行综合分析，出具投后报告。</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基金管理机构应当建立信息披露制度，每季度结束后1个月内向基金主管部门和基金专班提交基金运营报告。</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会计年度结束后4个月内，基金管理机构应向基金主管部门和基金专班提交年度基金运营报告和经中国注册会计师审计的年度财务报告。</w:t>
      </w:r>
    </w:p>
    <w:p>
      <w:pPr>
        <w:pStyle w:val="7"/>
        <w:spacing w:line="560" w:lineRule="exact"/>
        <w:ind w:firstLine="616"/>
        <w:rPr>
          <w:rFonts w:ascii="仿宋_GB2312" w:hAnsi="仿宋" w:eastAsia="仿宋_GB2312"/>
          <w:color w:val="000000" w:themeColor="text1"/>
          <w14:textFill>
            <w14:solidFill>
              <w14:schemeClr w14:val="tx1"/>
            </w14:solidFill>
          </w14:textFill>
        </w:rPr>
      </w:pPr>
      <w:bookmarkStart w:id="1" w:name="_Hlk178520583"/>
      <w:r>
        <w:rPr>
          <w:rFonts w:hint="eastAsia" w:ascii="仿宋_GB2312" w:hAnsi="仿宋" w:eastAsia="仿宋_GB2312"/>
          <w:color w:val="000000" w:themeColor="text1"/>
          <w14:textFill>
            <w14:solidFill>
              <w14:schemeClr w14:val="tx1"/>
            </w14:solidFill>
          </w14:textFill>
        </w:rPr>
        <w:t>基金管理机构编制基金运营报告应至少包含附件所列提纲内容。</w:t>
      </w:r>
    </w:p>
    <w:bookmarkEnd w:id="1"/>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基金（项目）发生以下事项的，基金管理机构应向基金主管部门和基金专班及时报告：</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（一）基金（项目）发生重大违约行为、重大经营异常、重大投资损失等事项。</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（二）直投项目控股股东及经营范围发生实质性变化，且影响直投项目发起部门政策目标实现的；</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二）三类基金管理机构及其下属子基金管理机构发生实质性变化。实质性变化包括但不限于基金管理机构的控股股东（公司制）或普通合伙人（合伙制）发生实质性变化。基金管理机构董事长、总经理或协议约定的关键人士半数（含）以上发生变化。</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（三）投资结果不符合《建德市政府产业基金管理办法》及本规则的。</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（四）其他基金管理机构认为应上报的投后事项。</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基金（项目）发生重大违约行为、</w:t>
      </w:r>
      <w:bookmarkStart w:id="2" w:name="_Hlk177142252"/>
      <w:r>
        <w:rPr>
          <w:rFonts w:hint="eastAsia" w:ascii="仿宋_GB2312" w:hAnsi="仿宋" w:eastAsia="仿宋_GB2312"/>
          <w:color w:val="000000" w:themeColor="text1"/>
          <w14:textFill>
            <w14:solidFill>
              <w14:schemeClr w14:val="tx1"/>
            </w14:solidFill>
          </w14:textFill>
        </w:rPr>
        <w:t>重大</w:t>
      </w:r>
      <w:bookmarkEnd w:id="2"/>
      <w:r>
        <w:rPr>
          <w:rFonts w:hint="eastAsia" w:ascii="仿宋_GB2312" w:hAnsi="仿宋" w:eastAsia="仿宋_GB2312"/>
          <w:color w:val="000000" w:themeColor="text1"/>
          <w14:textFill>
            <w14:solidFill>
              <w14:schemeClr w14:val="tx1"/>
            </w14:solidFill>
          </w14:textFill>
        </w:rPr>
        <w:t>经营异常、重大投资损失、陷入难以扭转困境、经营停顿等重大风险的，基金管理机构应在发现后10个工作日内做好分析研判，提出解决方案，及时上报基金主管部门和基金专班，并报投联会审议后执行。</w:t>
      </w:r>
    </w:p>
    <w:p>
      <w:pPr>
        <w:pStyle w:val="7"/>
        <w:numPr>
          <w:ilvl w:val="0"/>
          <w:numId w:val="1"/>
        </w:numPr>
        <w:spacing w:line="560" w:lineRule="exact"/>
        <w:ind w:firstLineChars="0"/>
        <w:rPr>
          <w:rFonts w:ascii="仿宋_GB2312"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基金主管部门对三类基金实际运作管理进行综合绩效评价。三类基金管理机构对子基金实际运作管理进行综合绩效评价并将结果报送基金主管部门，基金主管部门视情况可对评价结果进行调整。评价结果报送基金专班备案，并作为后续基金、项目投资的参考依据。</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eastAsia="仿宋_GB2312"/>
          <w:color w:val="000000" w:themeColor="text1"/>
          <w14:textFill>
            <w14:solidFill>
              <w14:schemeClr w14:val="tx1"/>
            </w14:solidFill>
          </w14:textFill>
        </w:rPr>
        <w:t>基金主管部门和基金专班</w:t>
      </w:r>
      <w:r>
        <w:rPr>
          <w:rFonts w:hint="eastAsia" w:ascii="仿宋_GB2312" w:hAnsi="仿宋" w:eastAsia="仿宋_GB2312"/>
          <w:color w:val="000000" w:themeColor="text1"/>
          <w14:textFill>
            <w14:solidFill>
              <w14:schemeClr w14:val="tx1"/>
            </w14:solidFill>
          </w14:textFill>
        </w:rPr>
        <w:t>应积极跟进被投项目投后协同和赋能的机会，协调内外部资源，为项目提供战略协同、投融资建议、资本运作等赋能增值服务，创造投后赋能的附加价值。</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本规则下列用语的含义：</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（一）</w:t>
      </w:r>
      <w:bookmarkStart w:id="3" w:name="_Hlk178261472"/>
      <w:r>
        <w:rPr>
          <w:rFonts w:hint="eastAsia" w:ascii="仿宋_GB2312" w:hAnsi="仿宋" w:eastAsia="仿宋_GB2312"/>
          <w:color w:val="000000" w:themeColor="text1"/>
          <w14:textFill>
            <w14:solidFill>
              <w14:schemeClr w14:val="tx1"/>
            </w14:solidFill>
          </w14:textFill>
        </w:rPr>
        <w:t>投资联席会，是指</w:t>
      </w:r>
      <w:r>
        <w:rPr>
          <w:rFonts w:ascii="仿宋_GB2312" w:hAnsi="仿宋" w:eastAsia="仿宋_GB2312"/>
          <w:color w:val="000000" w:themeColor="text1"/>
          <w14:textFill>
            <w14:solidFill>
              <w14:schemeClr w14:val="tx1"/>
            </w14:solidFill>
          </w14:textFill>
        </w:rPr>
        <w:t>建德市政府产业基金投资联席会</w:t>
      </w:r>
      <w:r>
        <w:rPr>
          <w:rFonts w:hint="eastAsia" w:ascii="仿宋_GB2312" w:hAnsi="仿宋" w:eastAsia="仿宋_GB2312"/>
          <w:color w:val="000000" w:themeColor="text1"/>
          <w14:textFill>
            <w14:solidFill>
              <w14:schemeClr w14:val="tx1"/>
            </w14:solidFill>
          </w14:textFill>
        </w:rPr>
        <w:t>，</w:t>
      </w:r>
      <w:r>
        <w:rPr>
          <w:rFonts w:ascii="仿宋_GB2312" w:hAnsi="仿宋" w:eastAsia="仿宋_GB2312"/>
          <w:color w:val="000000" w:themeColor="text1"/>
          <w14:textFill>
            <w14:solidFill>
              <w14:schemeClr w14:val="tx1"/>
            </w14:solidFill>
          </w14:textFill>
        </w:rPr>
        <w:t>是市产业基金重大</w:t>
      </w:r>
      <w:r>
        <w:rPr>
          <w:rFonts w:hint="eastAsia" w:ascii="仿宋_GB2312" w:hAnsi="仿宋" w:eastAsia="仿宋_GB2312"/>
          <w:color w:val="000000" w:themeColor="text1"/>
          <w14:textFill>
            <w14:solidFill>
              <w14:schemeClr w14:val="tx1"/>
            </w14:solidFill>
          </w14:textFill>
        </w:rPr>
        <w:t>投后</w:t>
      </w:r>
      <w:r>
        <w:rPr>
          <w:rFonts w:ascii="仿宋_GB2312" w:hAnsi="仿宋" w:eastAsia="仿宋_GB2312"/>
          <w:color w:val="000000" w:themeColor="text1"/>
          <w14:textFill>
            <w14:solidFill>
              <w14:schemeClr w14:val="tx1"/>
            </w14:solidFill>
          </w14:textFill>
        </w:rPr>
        <w:t>事项的决策机构。</w:t>
      </w:r>
      <w:bookmarkEnd w:id="3"/>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（二）重大风险包括下列情形：</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1. 被投资项目最近一年度净利润为负；</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2. 被投资项目最近一年营业收入下降30%以上；</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3. 涉及金额占被投资项目最近一期经审计净资产绝对值10％以上或绝对金额超过500万元的重大诉讼、仲裁事项；</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4. 被投资项目主要资产被查封、扣押、冻结超过总资产的30%；</w:t>
      </w:r>
    </w:p>
    <w:p>
      <w:pPr>
        <w:pStyle w:val="7"/>
        <w:spacing w:line="560" w:lineRule="exact"/>
        <w:ind w:firstLine="616"/>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5. 其他损害市产业基金安全、目标等情形。</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本规则未尽事宜，依照国家有关法律、法规、规章及其他规范性文件的有关规定执行。</w:t>
      </w:r>
    </w:p>
    <w:p>
      <w:pPr>
        <w:pStyle w:val="7"/>
        <w:numPr>
          <w:ilvl w:val="0"/>
          <w:numId w:val="1"/>
        </w:numPr>
        <w:spacing w:line="560" w:lineRule="exact"/>
        <w:ind w:firstLineChars="0"/>
        <w:rPr>
          <w:rFonts w:ascii="仿宋_GB2312" w:hAnsi="仿宋" w:eastAsia="仿宋_GB2312"/>
          <w:color w:val="000000" w:themeColor="text1"/>
          <w14:textFill>
            <w14:solidFill>
              <w14:schemeClr w14:val="tx1"/>
            </w14:solidFill>
          </w14:textFill>
        </w:rPr>
      </w:pPr>
      <w:r>
        <w:rPr>
          <w:rFonts w:hint="eastAsia" w:ascii="仿宋_GB2312" w:hAnsi="仿宋" w:eastAsia="仿宋_GB2312"/>
          <w:color w:val="000000" w:themeColor="text1"/>
          <w14:textFill>
            <w14:solidFill>
              <w14:schemeClr w14:val="tx1"/>
            </w14:solidFill>
          </w14:textFill>
        </w:rPr>
        <w:t>本规则自印发之日起施行。</w:t>
      </w:r>
    </w:p>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line="560" w:lineRule="exact"/>
        <w:rPr>
          <w:rFonts w:hint="eastAsia" w:ascii="黑体" w:hAnsi="黑体" w:eastAsia="黑体" w:cs="Times New Roman"/>
          <w:sz w:val="32"/>
          <w:szCs w:val="32"/>
          <w:lang w:val="en-US" w:eastAsia="zh-CN"/>
        </w:rPr>
      </w:pPr>
      <w:r>
        <w:rPr>
          <w:rFonts w:hint="eastAsia" w:ascii="黑体" w:hAnsi="黑体" w:eastAsia="黑体" w:cs="Times New Roman"/>
          <w:sz w:val="32"/>
          <w:szCs w:val="32"/>
        </w:rPr>
        <w:t>附件</w:t>
      </w:r>
      <w:r>
        <w:rPr>
          <w:rFonts w:hint="eastAsia" w:ascii="黑体" w:hAnsi="黑体" w:eastAsia="黑体" w:cs="Times New Roman"/>
          <w:sz w:val="32"/>
          <w:szCs w:val="32"/>
          <w:lang w:val="en-US" w:eastAsia="zh-CN"/>
        </w:rPr>
        <w:t>1：</w:t>
      </w:r>
    </w:p>
    <w:p>
      <w:pPr>
        <w:spacing w:line="560" w:lineRule="exact"/>
        <w:jc w:val="center"/>
        <w:rPr>
          <w:rFonts w:ascii="仿宋_GB2312" w:hAnsi="等线" w:eastAsia="仿宋_GB2312" w:cs="Times New Roman"/>
          <w:b/>
          <w:bCs/>
          <w:sz w:val="32"/>
          <w:szCs w:val="32"/>
        </w:rPr>
      </w:pPr>
      <w:r>
        <w:rPr>
          <w:rFonts w:hint="eastAsia" w:ascii="仿宋_GB2312" w:hAnsi="等线" w:eastAsia="仿宋_GB2312" w:cs="Times New Roman"/>
          <w:b/>
          <w:bCs/>
          <w:sz w:val="32"/>
          <w:szCs w:val="32"/>
        </w:rPr>
        <w:t>基金运营报告（国资产业发展基金适用）</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692"/>
        <w:gridCol w:w="4125"/>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53" w:type="dxa"/>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序号</w:t>
            </w:r>
          </w:p>
        </w:tc>
        <w:tc>
          <w:tcPr>
            <w:tcW w:w="1647" w:type="dxa"/>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类别</w:t>
            </w:r>
          </w:p>
        </w:tc>
        <w:tc>
          <w:tcPr>
            <w:tcW w:w="4016" w:type="dxa"/>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主要内容</w:t>
            </w:r>
          </w:p>
        </w:tc>
        <w:tc>
          <w:tcPr>
            <w:tcW w:w="1780" w:type="dxa"/>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4"/>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基金运营情况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1</w:t>
            </w:r>
          </w:p>
        </w:tc>
        <w:tc>
          <w:tcPr>
            <w:tcW w:w="1647"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基金概况</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（1）基金基本情况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（2）基金管理人基本情况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2</w:t>
            </w:r>
          </w:p>
        </w:tc>
        <w:tc>
          <w:tcPr>
            <w:tcW w:w="1647"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主要会计数据和财务指标</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（1）基金财务报表或审计报告</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审计报告在年度报告适用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（2）基金净值、产值、回报率等</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3</w:t>
            </w:r>
          </w:p>
        </w:tc>
        <w:tc>
          <w:tcPr>
            <w:tcW w:w="1647"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资金使用情况</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（1）资金使用进度</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（2）资金托管情况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（3）下一年度资金使用计划</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4</w:t>
            </w:r>
          </w:p>
        </w:tc>
        <w:tc>
          <w:tcPr>
            <w:tcW w:w="1647"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项目企业概述</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（1）报告期内新增项目投资情况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（2）报告期内项目退出情况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5</w:t>
            </w:r>
          </w:p>
        </w:tc>
        <w:tc>
          <w:tcPr>
            <w:tcW w:w="164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其他重大事项</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基金重大诉讼、管理人重大人事变动、基金份额持有人会议等</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4"/>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已投项目的运营情况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1</w:t>
            </w:r>
          </w:p>
        </w:tc>
        <w:tc>
          <w:tcPr>
            <w:tcW w:w="1647"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项目基本情况</w:t>
            </w: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（1）项目公司名称、成立时间、法定代表人（负责人）、存续期、注册地址、项目联席人和联系电话</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（2）公司股权结构、股权质押、司法冻结情况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（3）子公司情况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2</w:t>
            </w:r>
          </w:p>
        </w:tc>
        <w:tc>
          <w:tcPr>
            <w:tcW w:w="1647"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企业主要财务指标</w:t>
            </w:r>
          </w:p>
        </w:tc>
        <w:tc>
          <w:tcPr>
            <w:tcW w:w="4016" w:type="dxa"/>
            <w:vAlign w:val="center"/>
          </w:tcPr>
          <w:p>
            <w:pPr>
              <w:rPr>
                <w:rFonts w:ascii="仿宋_GB2312" w:hAnsi="Calibri" w:eastAsia="仿宋_GB2312" w:cs="Times New Roman"/>
                <w:sz w:val="24"/>
                <w:szCs w:val="24"/>
              </w:rPr>
            </w:pPr>
            <w:r>
              <w:rPr>
                <w:rFonts w:hint="eastAsia" w:ascii="仿宋_GB2312" w:hAnsi="Calibri" w:eastAsia="仿宋_GB2312" w:cs="Times New Roman"/>
                <w:sz w:val="24"/>
                <w:szCs w:val="24"/>
              </w:rPr>
              <w:t>（1）主营业务收入、毛利率、净利润、扣非后净利润</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Calibri" w:eastAsia="仿宋_GB2312" w:cs="Times New Roman"/>
                <w:sz w:val="24"/>
                <w:szCs w:val="24"/>
              </w:rPr>
            </w:pPr>
          </w:p>
        </w:tc>
        <w:tc>
          <w:tcPr>
            <w:tcW w:w="4016" w:type="dxa"/>
            <w:vAlign w:val="center"/>
          </w:tcPr>
          <w:p>
            <w:pPr>
              <w:rPr>
                <w:rFonts w:ascii="仿宋_GB2312" w:hAnsi="Calibri" w:eastAsia="仿宋_GB2312" w:cs="Times New Roman"/>
                <w:sz w:val="24"/>
                <w:szCs w:val="24"/>
              </w:rPr>
            </w:pPr>
            <w:r>
              <w:rPr>
                <w:rFonts w:hint="eastAsia" w:ascii="仿宋_GB2312" w:hAnsi="Calibri" w:eastAsia="仿宋_GB2312" w:cs="Times New Roman"/>
                <w:sz w:val="24"/>
                <w:szCs w:val="24"/>
              </w:rPr>
              <w:t>（2）货币资金余额、经营活动产生的现金、流量净额</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Calibri" w:eastAsia="仿宋_GB2312" w:cs="Times New Roman"/>
                <w:sz w:val="24"/>
                <w:szCs w:val="24"/>
              </w:rPr>
            </w:pPr>
          </w:p>
        </w:tc>
        <w:tc>
          <w:tcPr>
            <w:tcW w:w="4016" w:type="dxa"/>
            <w:vAlign w:val="center"/>
          </w:tcPr>
          <w:p>
            <w:pPr>
              <w:rPr>
                <w:rFonts w:ascii="仿宋_GB2312" w:hAnsi="Calibri" w:eastAsia="仿宋_GB2312" w:cs="Times New Roman"/>
                <w:sz w:val="24"/>
                <w:szCs w:val="24"/>
              </w:rPr>
            </w:pPr>
            <w:r>
              <w:rPr>
                <w:rFonts w:hint="eastAsia" w:ascii="仿宋_GB2312" w:hAnsi="Calibri" w:eastAsia="仿宋_GB2312" w:cs="Times New Roman"/>
                <w:sz w:val="24"/>
                <w:szCs w:val="24"/>
              </w:rPr>
              <w:t>（3）总资产、净资产、资产负债率</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3</w:t>
            </w:r>
          </w:p>
        </w:tc>
        <w:tc>
          <w:tcPr>
            <w:tcW w:w="1647" w:type="dxa"/>
            <w:vMerge w:val="restart"/>
            <w:vAlign w:val="center"/>
          </w:tcPr>
          <w:p>
            <w:pPr>
              <w:jc w:val="center"/>
              <w:rPr>
                <w:rFonts w:ascii="仿宋_GB2312" w:hAnsi="Calibri" w:eastAsia="仿宋_GB2312" w:cs="Times New Roman"/>
                <w:sz w:val="24"/>
                <w:szCs w:val="24"/>
              </w:rPr>
            </w:pPr>
            <w:r>
              <w:rPr>
                <w:rFonts w:hint="eastAsia" w:ascii="仿宋_GB2312" w:hAnsi="Calibri" w:eastAsia="仿宋_GB2312" w:cs="Times New Roman"/>
                <w:sz w:val="24"/>
                <w:szCs w:val="24"/>
              </w:rPr>
              <w:t>企业投融资情况</w:t>
            </w:r>
          </w:p>
        </w:tc>
        <w:tc>
          <w:tcPr>
            <w:tcW w:w="4016" w:type="dxa"/>
            <w:vAlign w:val="center"/>
          </w:tcPr>
          <w:p>
            <w:pPr>
              <w:rPr>
                <w:rFonts w:ascii="仿宋_GB2312" w:hAnsi="Calibri" w:eastAsia="仿宋_GB2312" w:cs="Times New Roman"/>
                <w:sz w:val="24"/>
                <w:szCs w:val="24"/>
              </w:rPr>
            </w:pPr>
            <w:r>
              <w:rPr>
                <w:rFonts w:hint="eastAsia" w:ascii="仿宋_GB2312" w:hAnsi="Calibri" w:eastAsia="仿宋_GB2312" w:cs="Times New Roman"/>
                <w:sz w:val="24"/>
                <w:szCs w:val="24"/>
              </w:rPr>
              <w:t>（1）三类基金向企业投资总额，资金结余情况、资金用途、</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Calibri" w:eastAsia="仿宋_GB2312" w:cs="Times New Roman"/>
                <w:sz w:val="24"/>
                <w:szCs w:val="24"/>
              </w:rPr>
            </w:pPr>
          </w:p>
        </w:tc>
        <w:tc>
          <w:tcPr>
            <w:tcW w:w="4016" w:type="dxa"/>
            <w:vAlign w:val="center"/>
          </w:tcPr>
          <w:p>
            <w:pPr>
              <w:rPr>
                <w:rFonts w:ascii="仿宋_GB2312" w:hAnsi="Calibri" w:eastAsia="仿宋_GB2312" w:cs="Times New Roman"/>
                <w:sz w:val="24"/>
                <w:szCs w:val="24"/>
              </w:rPr>
            </w:pPr>
            <w:r>
              <w:rPr>
                <w:rFonts w:hint="eastAsia" w:ascii="仿宋_GB2312" w:hAnsi="Calibri" w:eastAsia="仿宋_GB2312" w:cs="Times New Roman"/>
                <w:sz w:val="24"/>
                <w:szCs w:val="24"/>
              </w:rPr>
              <w:t>（2）下一年度资金使用计划</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（3）投后估值及变动情况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4</w:t>
            </w:r>
          </w:p>
        </w:tc>
        <w:tc>
          <w:tcPr>
            <w:tcW w:w="1647"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企业经营情况</w:t>
            </w: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（1）报告期经营情况（从行业情况及趋势、市场及竞争对手、业务发展及产品技术情况等方面说明）</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（2）报告期内企业对外担保情况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（3）报告期内企业重大利好及重大风险情况</w:t>
            </w:r>
          </w:p>
        </w:tc>
        <w:tc>
          <w:tcPr>
            <w:tcW w:w="1780"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jc w:val="cente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（4）下一年度经营计划、目标</w:t>
            </w:r>
          </w:p>
        </w:tc>
        <w:tc>
          <w:tcPr>
            <w:tcW w:w="1780" w:type="dxa"/>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5</w:t>
            </w:r>
          </w:p>
        </w:tc>
        <w:tc>
          <w:tcPr>
            <w:tcW w:w="1647" w:type="dxa"/>
            <w:vMerge w:val="restart"/>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业绩下滑、亏损原因及应对措施</w:t>
            </w: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（1）年度业绩下滑、亏损情况</w:t>
            </w:r>
          </w:p>
        </w:tc>
        <w:tc>
          <w:tcPr>
            <w:tcW w:w="1780"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jc w:val="center"/>
              <w:rPr>
                <w:rFonts w:ascii="仿宋_GB2312" w:hAnsi="等线" w:eastAsia="仿宋_GB2312" w:cs="Times New Roman"/>
                <w:sz w:val="24"/>
                <w:szCs w:val="24"/>
              </w:rPr>
            </w:pPr>
          </w:p>
        </w:tc>
        <w:tc>
          <w:tcPr>
            <w:tcW w:w="1647" w:type="dxa"/>
            <w:vMerge w:val="continue"/>
            <w:vAlign w:val="center"/>
          </w:tcPr>
          <w:p>
            <w:pP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（2）应对措施</w:t>
            </w:r>
          </w:p>
        </w:tc>
        <w:tc>
          <w:tcPr>
            <w:tcW w:w="1780" w:type="dxa"/>
            <w:vMerge w:val="continue"/>
            <w:vAlign w:val="center"/>
          </w:tcPr>
          <w:p>
            <w:pPr>
              <w:jc w:val="center"/>
              <w:rPr>
                <w:rFonts w:ascii="仿宋_GB2312" w:hAnsi="等线"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6</w:t>
            </w:r>
          </w:p>
        </w:tc>
        <w:tc>
          <w:tcPr>
            <w:tcW w:w="1647" w:type="dxa"/>
            <w:vMerge w:val="restart"/>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业绩补偿、承诺及回购情况</w:t>
            </w: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（1）业绩补偿、承诺及回购条款</w:t>
            </w:r>
          </w:p>
        </w:tc>
        <w:tc>
          <w:tcPr>
            <w:tcW w:w="1780"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rPr>
                <w:rFonts w:ascii="仿宋_GB2312" w:hAnsi="等线" w:eastAsia="仿宋_GB2312" w:cs="Times New Roman"/>
                <w:sz w:val="24"/>
                <w:szCs w:val="24"/>
              </w:rPr>
            </w:pPr>
          </w:p>
        </w:tc>
        <w:tc>
          <w:tcPr>
            <w:tcW w:w="1647" w:type="dxa"/>
            <w:vMerge w:val="continue"/>
            <w:vAlign w:val="center"/>
          </w:tcPr>
          <w:p>
            <w:pP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（2）报告期内触发情况、执行情况</w:t>
            </w:r>
          </w:p>
        </w:tc>
        <w:tc>
          <w:tcPr>
            <w:tcW w:w="1780" w:type="dxa"/>
            <w:vMerge w:val="continue"/>
            <w:vAlign w:val="center"/>
          </w:tcPr>
          <w:p>
            <w:pPr>
              <w:rPr>
                <w:rFonts w:ascii="仿宋_GB2312" w:hAnsi="等线"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vAlign w:val="center"/>
          </w:tcPr>
          <w:p>
            <w:pPr>
              <w:rPr>
                <w:rFonts w:ascii="仿宋_GB2312" w:hAnsi="等线" w:eastAsia="仿宋_GB2312" w:cs="Times New Roman"/>
                <w:sz w:val="24"/>
                <w:szCs w:val="24"/>
              </w:rPr>
            </w:pPr>
          </w:p>
        </w:tc>
        <w:tc>
          <w:tcPr>
            <w:tcW w:w="1647" w:type="dxa"/>
            <w:vMerge w:val="continue"/>
            <w:vAlign w:val="center"/>
          </w:tcPr>
          <w:p>
            <w:pPr>
              <w:rPr>
                <w:rFonts w:ascii="仿宋_GB2312" w:hAnsi="等线" w:eastAsia="仿宋_GB2312" w:cs="Times New Roman"/>
                <w:sz w:val="24"/>
                <w:szCs w:val="24"/>
              </w:rPr>
            </w:pPr>
          </w:p>
        </w:tc>
        <w:tc>
          <w:tcPr>
            <w:tcW w:w="4016" w:type="dxa"/>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（3）应对措施</w:t>
            </w:r>
          </w:p>
        </w:tc>
        <w:tc>
          <w:tcPr>
            <w:tcW w:w="1780" w:type="dxa"/>
            <w:vMerge w:val="continue"/>
            <w:vAlign w:val="center"/>
          </w:tcPr>
          <w:p>
            <w:pPr>
              <w:rPr>
                <w:rFonts w:ascii="仿宋_GB2312" w:hAnsi="等线" w:eastAsia="仿宋_GB2312" w:cs="Times New Roman"/>
                <w:sz w:val="24"/>
                <w:szCs w:val="24"/>
              </w:rPr>
            </w:pPr>
          </w:p>
        </w:tc>
      </w:tr>
    </w:tbl>
    <w:p>
      <w:pPr>
        <w:rPr>
          <w:color w:val="000000" w:themeColor="text1"/>
          <w14:textFill>
            <w14:solidFill>
              <w14:schemeClr w14:val="tx1"/>
            </w14:solidFill>
          </w14:textFill>
        </w:rPr>
      </w:pPr>
      <w:r>
        <w:rPr>
          <w:color w:val="000000" w:themeColor="text1"/>
          <w14:textFill>
            <w14:solidFill>
              <w14:schemeClr w14:val="tx1"/>
            </w14:solidFill>
          </w14:textFill>
        </w:rPr>
        <w:br w:type="page"/>
      </w:r>
    </w:p>
    <w:p>
      <w:pPr>
        <w:spacing w:line="560" w:lineRule="exact"/>
        <w:jc w:val="both"/>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spacing w:line="560" w:lineRule="exact"/>
        <w:jc w:val="center"/>
        <w:rPr>
          <w:rFonts w:hint="eastAsia" w:ascii="仿宋_GB2312" w:hAnsi="等线" w:eastAsia="仿宋_GB2312" w:cs="Times New Roman"/>
          <w:b/>
          <w:bCs/>
          <w:sz w:val="32"/>
          <w:szCs w:val="32"/>
        </w:rPr>
      </w:pPr>
    </w:p>
    <w:p>
      <w:pPr>
        <w:spacing w:line="560" w:lineRule="exact"/>
        <w:jc w:val="center"/>
        <w:rPr>
          <w:rFonts w:ascii="仿宋_GB2312" w:hAnsi="等线" w:eastAsia="仿宋_GB2312" w:cs="Times New Roman"/>
          <w:b/>
          <w:bCs/>
          <w:sz w:val="32"/>
          <w:szCs w:val="32"/>
        </w:rPr>
      </w:pPr>
      <w:r>
        <w:rPr>
          <w:rFonts w:hint="eastAsia" w:ascii="仿宋_GB2312" w:hAnsi="等线" w:eastAsia="仿宋_GB2312" w:cs="Times New Roman"/>
          <w:b/>
          <w:bCs/>
          <w:sz w:val="32"/>
          <w:szCs w:val="32"/>
        </w:rPr>
        <w:t>基金运营报告（招商专题基金和政府产业引导基金适用）</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9"/>
        <w:gridCol w:w="1618"/>
        <w:gridCol w:w="65"/>
        <w:gridCol w:w="4125"/>
        <w:gridCol w:w="815"/>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62" w:type="dxa"/>
            <w:gridSpan w:val="2"/>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序号</w:t>
            </w:r>
          </w:p>
        </w:tc>
        <w:tc>
          <w:tcPr>
            <w:tcW w:w="1575" w:type="dxa"/>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类别</w:t>
            </w:r>
          </w:p>
        </w:tc>
        <w:tc>
          <w:tcPr>
            <w:tcW w:w="4872" w:type="dxa"/>
            <w:gridSpan w:val="3"/>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主要内容</w:t>
            </w:r>
          </w:p>
        </w:tc>
        <w:tc>
          <w:tcPr>
            <w:tcW w:w="987" w:type="dxa"/>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7"/>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基金运营情况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1</w:t>
            </w:r>
          </w:p>
        </w:tc>
        <w:tc>
          <w:tcPr>
            <w:tcW w:w="1647" w:type="dxa"/>
            <w:gridSpan w:val="3"/>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基金概况</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（1）基金基本情况</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gridSpan w:val="3"/>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（2）基金管理人基本情况</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2</w:t>
            </w:r>
          </w:p>
        </w:tc>
        <w:tc>
          <w:tcPr>
            <w:tcW w:w="1647" w:type="dxa"/>
            <w:gridSpan w:val="3"/>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主要会计数据和财务指标</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（1）基金财务报表或审计报告</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审计报告在年度报告适用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gridSpan w:val="3"/>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（2）基金净值、产值、回报率等</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3</w:t>
            </w:r>
          </w:p>
        </w:tc>
        <w:tc>
          <w:tcPr>
            <w:tcW w:w="1647" w:type="dxa"/>
            <w:gridSpan w:val="3"/>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资金使用情况</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（1）资金使用进度</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gridSpan w:val="3"/>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（2）资金托管情况</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gridSpan w:val="3"/>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（3）下一年度资金使用计划</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4</w:t>
            </w:r>
          </w:p>
        </w:tc>
        <w:tc>
          <w:tcPr>
            <w:tcW w:w="1647" w:type="dxa"/>
            <w:gridSpan w:val="3"/>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项目企业概述</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（1）报告期内新增项目投资情况</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vMerge w:val="continue"/>
            <w:noWrap/>
            <w:vAlign w:val="center"/>
          </w:tcPr>
          <w:p>
            <w:pPr>
              <w:jc w:val="center"/>
              <w:rPr>
                <w:rFonts w:ascii="仿宋_GB2312" w:hAnsi="等线" w:eastAsia="仿宋_GB2312" w:cs="Times New Roman"/>
                <w:sz w:val="24"/>
                <w:szCs w:val="24"/>
              </w:rPr>
            </w:pPr>
          </w:p>
        </w:tc>
        <w:tc>
          <w:tcPr>
            <w:tcW w:w="1647" w:type="dxa"/>
            <w:gridSpan w:val="3"/>
            <w:vMerge w:val="continue"/>
            <w:noWrap/>
            <w:vAlign w:val="center"/>
          </w:tcPr>
          <w:p>
            <w:pPr>
              <w:jc w:val="center"/>
              <w:rPr>
                <w:rFonts w:ascii="仿宋_GB2312" w:hAnsi="等线" w:eastAsia="仿宋_GB2312" w:cs="Times New Roman"/>
                <w:sz w:val="24"/>
                <w:szCs w:val="24"/>
              </w:rPr>
            </w:pP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（2）报告期内项目退出情况</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3"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5</w:t>
            </w:r>
          </w:p>
        </w:tc>
        <w:tc>
          <w:tcPr>
            <w:tcW w:w="1647" w:type="dxa"/>
            <w:gridSpan w:val="3"/>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其他重大事项</w:t>
            </w:r>
          </w:p>
        </w:tc>
        <w:tc>
          <w:tcPr>
            <w:tcW w:w="4016" w:type="dxa"/>
            <w:noWrap/>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基金重大诉讼、管理人重大人事变动、基金份额持有人会议等</w:t>
            </w:r>
          </w:p>
        </w:tc>
        <w:tc>
          <w:tcPr>
            <w:tcW w:w="1780" w:type="dxa"/>
            <w:gridSpan w:val="2"/>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7"/>
            <w:noWrap/>
            <w:vAlign w:val="center"/>
          </w:tcPr>
          <w:p>
            <w:pPr>
              <w:jc w:val="center"/>
              <w:rPr>
                <w:rFonts w:ascii="仿宋_GB2312" w:hAnsi="等线" w:eastAsia="仿宋_GB2312" w:cs="Times New Roman"/>
                <w:b/>
                <w:bCs/>
                <w:sz w:val="24"/>
                <w:szCs w:val="24"/>
              </w:rPr>
            </w:pPr>
            <w:r>
              <w:rPr>
                <w:rFonts w:hint="eastAsia" w:ascii="仿宋_GB2312" w:hAnsi="等线" w:eastAsia="仿宋_GB2312" w:cs="Times New Roman"/>
                <w:b/>
                <w:bCs/>
                <w:sz w:val="24"/>
                <w:szCs w:val="24"/>
              </w:rPr>
              <w:t>已投项目的运营情况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1</w:t>
            </w:r>
          </w:p>
        </w:tc>
        <w:tc>
          <w:tcPr>
            <w:tcW w:w="1575" w:type="dxa"/>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项目基本情况</w:t>
            </w: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（1）项目公司名称、成立时间、法定代表人（负责人）、存续期、注册地址、项目联席人和联系电话</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（2）公司股权结构、股权质押、司法冻结情况</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（3）子公司情况</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2</w:t>
            </w:r>
          </w:p>
        </w:tc>
        <w:tc>
          <w:tcPr>
            <w:tcW w:w="1575"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企业主要财务指标</w:t>
            </w: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（1）主营业务收入、毛利率、净利润、扣非后净利润</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（2）货币资金余额、经营活动产生的现金、流量净额</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（3）总资产、净资产、资产负债率</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（4）净资产收益率（ROE)、息税前利润（EBIT）、存货周转天数、应收账款周转天数、总资产周转周转天数等</w:t>
            </w:r>
          </w:p>
        </w:tc>
        <w:tc>
          <w:tcPr>
            <w:tcW w:w="987" w:type="dxa"/>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3</w:t>
            </w:r>
          </w:p>
        </w:tc>
        <w:tc>
          <w:tcPr>
            <w:tcW w:w="1575"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企业投融资情况</w:t>
            </w: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（1）三类基金向企业投资总额，资金结余情况、资金用途、</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（2）下一年度资金使用计划</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（3）报告期内企业股权融资情况</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（4）投后估值及变动情况</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4</w:t>
            </w:r>
          </w:p>
        </w:tc>
        <w:tc>
          <w:tcPr>
            <w:tcW w:w="1575"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企业经营情况</w:t>
            </w: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（1）报告期经营情况（从行业情况及趋势、市场及竞争对手、业务发展及产品技术情况等方面说明）</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（2）报告期内企业对外担保情况</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（3）报告期内企业重大利好及重大风险情况</w:t>
            </w:r>
          </w:p>
        </w:tc>
        <w:tc>
          <w:tcPr>
            <w:tcW w:w="987" w:type="dxa"/>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（4）企业贷款及资产抵质押情况</w:t>
            </w:r>
          </w:p>
        </w:tc>
        <w:tc>
          <w:tcPr>
            <w:tcW w:w="987" w:type="dxa"/>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（5）报告期内关联交易情况</w:t>
            </w:r>
          </w:p>
        </w:tc>
        <w:tc>
          <w:tcPr>
            <w:tcW w:w="987" w:type="dxa"/>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（6）报告期内企业董事会、股东大会（合伙人会议）审议事项</w:t>
            </w:r>
          </w:p>
        </w:tc>
        <w:tc>
          <w:tcPr>
            <w:tcW w:w="987" w:type="dxa"/>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（7）下一年度经营计划、目标</w:t>
            </w:r>
          </w:p>
        </w:tc>
        <w:tc>
          <w:tcPr>
            <w:tcW w:w="987" w:type="dxa"/>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5</w:t>
            </w:r>
          </w:p>
        </w:tc>
        <w:tc>
          <w:tcPr>
            <w:tcW w:w="1575" w:type="dxa"/>
            <w:vMerge w:val="restart"/>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业绩下滑、亏损原因及应对措施</w:t>
            </w: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（1）年度业绩下滑、亏损情况</w:t>
            </w:r>
          </w:p>
        </w:tc>
        <w:tc>
          <w:tcPr>
            <w:tcW w:w="987"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jc w:val="center"/>
              <w:rPr>
                <w:rFonts w:ascii="仿宋_GB2312" w:hAnsi="等线" w:eastAsia="仿宋_GB2312" w:cs="Times New Roman"/>
                <w:sz w:val="24"/>
                <w:szCs w:val="24"/>
              </w:rPr>
            </w:pPr>
          </w:p>
        </w:tc>
        <w:tc>
          <w:tcPr>
            <w:tcW w:w="1575" w:type="dxa"/>
            <w:vMerge w:val="continue"/>
            <w:vAlign w:val="center"/>
          </w:tcPr>
          <w:p>
            <w:pPr>
              <w:jc w:val="cente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（2）应对措施</w:t>
            </w:r>
          </w:p>
        </w:tc>
        <w:tc>
          <w:tcPr>
            <w:tcW w:w="987" w:type="dxa"/>
            <w:vMerge w:val="continue"/>
            <w:vAlign w:val="center"/>
          </w:tcPr>
          <w:p>
            <w:pPr>
              <w:jc w:val="center"/>
              <w:rPr>
                <w:rFonts w:ascii="仿宋_GB2312" w:hAnsi="等线"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restart"/>
            <w:noWrap/>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6</w:t>
            </w:r>
          </w:p>
        </w:tc>
        <w:tc>
          <w:tcPr>
            <w:tcW w:w="1575" w:type="dxa"/>
            <w:vMerge w:val="restart"/>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业绩补偿、承诺及回购情况</w:t>
            </w: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（1）业绩补偿、承诺及回购条款</w:t>
            </w:r>
          </w:p>
        </w:tc>
        <w:tc>
          <w:tcPr>
            <w:tcW w:w="987" w:type="dxa"/>
            <w:vMerge w:val="restart"/>
            <w:vAlign w:val="center"/>
          </w:tcPr>
          <w:p>
            <w:pPr>
              <w:jc w:val="center"/>
              <w:rPr>
                <w:rFonts w:ascii="仿宋_GB2312" w:hAnsi="等线" w:eastAsia="仿宋_GB2312" w:cs="Times New Roman"/>
                <w:sz w:val="24"/>
                <w:szCs w:val="24"/>
              </w:rPr>
            </w:pPr>
            <w:r>
              <w:rPr>
                <w:rFonts w:hint="eastAsia" w:ascii="仿宋_GB2312" w:hAnsi="等线" w:eastAsia="仿宋_GB2312" w:cs="Times New Roman"/>
                <w:sz w:val="24"/>
                <w:szCs w:val="24"/>
              </w:rPr>
              <w:t>年度报告适用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rPr>
                <w:rFonts w:ascii="仿宋_GB2312" w:hAnsi="等线" w:eastAsia="仿宋_GB2312" w:cs="Times New Roman"/>
                <w:sz w:val="24"/>
                <w:szCs w:val="24"/>
              </w:rPr>
            </w:pPr>
          </w:p>
        </w:tc>
        <w:tc>
          <w:tcPr>
            <w:tcW w:w="1575" w:type="dxa"/>
            <w:vMerge w:val="continue"/>
            <w:vAlign w:val="center"/>
          </w:tcPr>
          <w:p>
            <w:pP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（2）报告期内触发情况、执行情况</w:t>
            </w:r>
          </w:p>
        </w:tc>
        <w:tc>
          <w:tcPr>
            <w:tcW w:w="987" w:type="dxa"/>
            <w:vMerge w:val="continue"/>
            <w:vAlign w:val="center"/>
          </w:tcPr>
          <w:p>
            <w:pPr>
              <w:rPr>
                <w:rFonts w:ascii="仿宋_GB2312" w:hAnsi="等线"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2" w:type="dxa"/>
            <w:gridSpan w:val="2"/>
            <w:vMerge w:val="continue"/>
            <w:vAlign w:val="center"/>
          </w:tcPr>
          <w:p>
            <w:pPr>
              <w:rPr>
                <w:rFonts w:ascii="仿宋_GB2312" w:hAnsi="等线" w:eastAsia="仿宋_GB2312" w:cs="Times New Roman"/>
                <w:sz w:val="24"/>
                <w:szCs w:val="24"/>
              </w:rPr>
            </w:pPr>
          </w:p>
        </w:tc>
        <w:tc>
          <w:tcPr>
            <w:tcW w:w="1575" w:type="dxa"/>
            <w:vMerge w:val="continue"/>
            <w:vAlign w:val="center"/>
          </w:tcPr>
          <w:p>
            <w:pPr>
              <w:rPr>
                <w:rFonts w:ascii="仿宋_GB2312" w:hAnsi="等线" w:eastAsia="仿宋_GB2312" w:cs="Times New Roman"/>
                <w:sz w:val="24"/>
                <w:szCs w:val="24"/>
              </w:rPr>
            </w:pPr>
          </w:p>
        </w:tc>
        <w:tc>
          <w:tcPr>
            <w:tcW w:w="4872" w:type="dxa"/>
            <w:gridSpan w:val="3"/>
            <w:vAlign w:val="center"/>
          </w:tcPr>
          <w:p>
            <w:pPr>
              <w:rPr>
                <w:rFonts w:ascii="仿宋_GB2312" w:hAnsi="等线" w:eastAsia="仿宋_GB2312" w:cs="Times New Roman"/>
                <w:sz w:val="24"/>
                <w:szCs w:val="24"/>
              </w:rPr>
            </w:pPr>
            <w:r>
              <w:rPr>
                <w:rFonts w:hint="eastAsia" w:ascii="仿宋_GB2312" w:hAnsi="等线" w:eastAsia="仿宋_GB2312" w:cs="Times New Roman"/>
                <w:sz w:val="24"/>
                <w:szCs w:val="24"/>
              </w:rPr>
              <w:t>（3）应对措施</w:t>
            </w:r>
          </w:p>
        </w:tc>
        <w:tc>
          <w:tcPr>
            <w:tcW w:w="987" w:type="dxa"/>
            <w:vMerge w:val="continue"/>
            <w:vAlign w:val="center"/>
          </w:tcPr>
          <w:p>
            <w:pPr>
              <w:rPr>
                <w:rFonts w:ascii="仿宋_GB2312" w:hAnsi="等线" w:eastAsia="仿宋_GB2312" w:cs="Times New Roman"/>
                <w:sz w:val="24"/>
                <w:szCs w:val="24"/>
              </w:rPr>
            </w:pPr>
          </w:p>
        </w:tc>
      </w:tr>
    </w:tbl>
    <w:p>
      <w:pPr>
        <w:rPr>
          <w:color w:val="000000" w:themeColor="text1"/>
          <w14:textFill>
            <w14:solidFill>
              <w14:schemeClr w14:val="tx1"/>
            </w14:solidFill>
          </w14:textFil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027234-3A09-476B-AC2A-2295239999FA}"/>
  </w:font>
  <w:font w:name="Arial">
    <w:panose1 w:val="020B0604020202020204"/>
    <w:charset w:val="01"/>
    <w:family w:val="swiss"/>
    <w:pitch w:val="default"/>
    <w:sig w:usb0="E0002EFF" w:usb1="C000785B" w:usb2="00000009" w:usb3="00000000" w:csb0="400001FF" w:csb1="FFFF0000"/>
    <w:embedRegular r:id="rId2" w:fontKey="{9575B645-6ECA-44F4-9DAE-1F3DE0640073}"/>
  </w:font>
  <w:font w:name="黑体">
    <w:panose1 w:val="02010609060101010101"/>
    <w:charset w:val="86"/>
    <w:family w:val="auto"/>
    <w:pitch w:val="default"/>
    <w:sig w:usb0="800002BF" w:usb1="38CF7CFA" w:usb2="00000016" w:usb3="00000000" w:csb0="00040001" w:csb1="00000000"/>
    <w:embedRegular r:id="rId3" w:fontKey="{9E7FE72A-309E-4FEA-ADCB-A945F9839D33}"/>
  </w:font>
  <w:font w:name="Courier New">
    <w:panose1 w:val="02070309020205020404"/>
    <w:charset w:val="01"/>
    <w:family w:val="modern"/>
    <w:pitch w:val="default"/>
    <w:sig w:usb0="E0002EFF" w:usb1="C0007843" w:usb2="00000009" w:usb3="00000000" w:csb0="400001FF" w:csb1="FFFF0000"/>
    <w:embedRegular r:id="rId4" w:fontKey="{D02EC0B7-1B37-47AF-BF30-F803832CB397}"/>
  </w:font>
  <w:font w:name="Symbol">
    <w:panose1 w:val="05050102010706020507"/>
    <w:charset w:val="02"/>
    <w:family w:val="roman"/>
    <w:pitch w:val="default"/>
    <w:sig w:usb0="00000000" w:usb1="00000000" w:usb2="00000000" w:usb3="00000000" w:csb0="80000000" w:csb1="00000000"/>
    <w:embedRegular r:id="rId5" w:fontKey="{2C66463F-D145-417B-8CC5-902036D337A6}"/>
  </w:font>
  <w:font w:name="Calibri">
    <w:panose1 w:val="020F0502020204030204"/>
    <w:charset w:val="00"/>
    <w:family w:val="swiss"/>
    <w:pitch w:val="default"/>
    <w:sig w:usb0="E4002EFF" w:usb1="C200247B" w:usb2="00000009" w:usb3="00000000" w:csb0="200001FF" w:csb1="00000000"/>
    <w:embedRegular r:id="rId6" w:fontKey="{719F1871-D988-4722-AD2F-77BDDC4C5910}"/>
  </w:font>
  <w:font w:name="等线">
    <w:panose1 w:val="02010600030101010101"/>
    <w:charset w:val="86"/>
    <w:family w:val="auto"/>
    <w:pitch w:val="default"/>
    <w:sig w:usb0="A00002BF" w:usb1="38CF7CFA" w:usb2="00000016" w:usb3="00000000" w:csb0="0004000F" w:csb1="00000000"/>
    <w:embedRegular r:id="rId7" w:fontKey="{1A289E98-ABE0-4EAA-9839-455A0408B071}"/>
  </w:font>
  <w:font w:name="仿宋">
    <w:panose1 w:val="02010609060101010101"/>
    <w:charset w:val="86"/>
    <w:family w:val="modern"/>
    <w:pitch w:val="default"/>
    <w:sig w:usb0="800002BF" w:usb1="38CF7CFA" w:usb2="00000016" w:usb3="00000000" w:csb0="00040001" w:csb1="00000000"/>
    <w:embedRegular r:id="rId8" w:fontKey="{95F426D2-941B-4E57-802D-C8D8792BD2C6}"/>
  </w:font>
  <w:font w:name="方正小标宋简体">
    <w:panose1 w:val="03000509000000000000"/>
    <w:charset w:val="86"/>
    <w:family w:val="script"/>
    <w:pitch w:val="default"/>
    <w:sig w:usb0="00000001" w:usb1="080E0000" w:usb2="00000000" w:usb3="00000000" w:csb0="00040000" w:csb1="00000000"/>
    <w:embedRegular r:id="rId9" w:fontKey="{3BC43A7E-4E42-4D97-9FCE-1AEBDFAC38E1}"/>
  </w:font>
  <w:font w:name="华文中宋">
    <w:panose1 w:val="02010600040101010101"/>
    <w:charset w:val="86"/>
    <w:family w:val="auto"/>
    <w:pitch w:val="default"/>
    <w:sig w:usb0="00000287" w:usb1="080F0000" w:usb2="00000000" w:usb3="00000000" w:csb0="0004009F" w:csb1="DFD70000"/>
    <w:embedRegular r:id="rId10" w:fontKey="{9301636C-9FAC-4E0C-959F-2A86042DD3B7}"/>
  </w:font>
  <w:font w:name="仿宋_GB2312">
    <w:panose1 w:val="02010609030101010101"/>
    <w:charset w:val="86"/>
    <w:family w:val="modern"/>
    <w:pitch w:val="default"/>
    <w:sig w:usb0="00000001" w:usb1="080E0000" w:usb2="00000000" w:usb3="00000000" w:csb0="00040000" w:csb1="00000000"/>
    <w:embedRegular r:id="rId11" w:fontKey="{33C90CD9-35B7-4E41-B106-F2F6EF7993C9}"/>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5C93CAD6-3F0B-42ED-BC1A-59F9F4DB7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801236"/>
    </w:sdtPr>
    <w:sdtEndPr>
      <w:rPr>
        <w:rFonts w:ascii="宋体" w:hAnsi="宋体" w:eastAsia="宋体"/>
        <w:sz w:val="24"/>
        <w:szCs w:val="24"/>
      </w:rPr>
    </w:sdtEndPr>
    <w:sdtContent>
      <w:p>
        <w:pPr>
          <w:pStyle w:val="2"/>
          <w:jc w:val="center"/>
          <w:rPr>
            <w:rFonts w:ascii="宋体" w:hAnsi="宋体" w:eastAsia="宋体"/>
            <w:sz w:val="24"/>
            <w:szCs w:val="24"/>
          </w:rPr>
        </w:pPr>
        <w:r>
          <w:rPr>
            <w:rFonts w:ascii="宋体" w:hAnsi="宋体" w:eastAsia="宋体"/>
            <w:sz w:val="24"/>
            <w:szCs w:val="24"/>
          </w:rPr>
          <w:fldChar w:fldCharType="begin"/>
        </w:r>
        <w:r>
          <w:rPr>
            <w:rFonts w:ascii="宋体" w:hAnsi="宋体" w:eastAsia="宋体"/>
            <w:sz w:val="24"/>
            <w:szCs w:val="24"/>
          </w:rPr>
          <w:instrText xml:space="preserve">PAGE   \* MERGEFORMAT</w:instrText>
        </w:r>
        <w:r>
          <w:rPr>
            <w:rFonts w:ascii="宋体" w:hAnsi="宋体" w:eastAsia="宋体"/>
            <w:sz w:val="24"/>
            <w:szCs w:val="24"/>
          </w:rPr>
          <w:fldChar w:fldCharType="separate"/>
        </w:r>
        <w:r>
          <w:rPr>
            <w:rFonts w:ascii="宋体" w:hAnsi="宋体" w:eastAsia="宋体"/>
            <w:sz w:val="24"/>
            <w:szCs w:val="24"/>
            <w:lang w:val="zh-CN"/>
          </w:rPr>
          <w:t>2</w:t>
        </w:r>
        <w:r>
          <w:rPr>
            <w:rFonts w:ascii="宋体" w:hAnsi="宋体" w:eastAsia="宋体"/>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B05388"/>
    <w:multiLevelType w:val="multilevel"/>
    <w:tmpl w:val="5AB05388"/>
    <w:lvl w:ilvl="0" w:tentative="0">
      <w:start w:val="1"/>
      <w:numFmt w:val="chineseCountingThousand"/>
      <w:suff w:val="nothing"/>
      <w:lvlText w:val="第%1条  "/>
      <w:lvlJc w:val="left"/>
      <w:pPr>
        <w:ind w:left="0" w:firstLine="652"/>
      </w:pPr>
      <w:rPr>
        <w:rFonts w:hint="eastAsia" w:ascii="楷体_GB2312" w:eastAsia="楷体_GB2312"/>
        <w:b/>
        <w:i w:val="0"/>
        <w:sz w:val="32"/>
        <w:lang w:val="en-US"/>
      </w:rPr>
    </w:lvl>
    <w:lvl w:ilvl="1" w:tentative="0">
      <w:start w:val="1"/>
      <w:numFmt w:val="lowerLetter"/>
      <w:lvlText w:val="%2)"/>
      <w:lvlJc w:val="left"/>
      <w:pPr>
        <w:ind w:left="1520" w:hanging="440"/>
      </w:pPr>
      <w:rPr>
        <w:rFonts w:hint="eastAsia"/>
      </w:rPr>
    </w:lvl>
    <w:lvl w:ilvl="2" w:tentative="0">
      <w:start w:val="1"/>
      <w:numFmt w:val="lowerRoman"/>
      <w:lvlText w:val="%3."/>
      <w:lvlJc w:val="right"/>
      <w:pPr>
        <w:ind w:left="1960" w:hanging="440"/>
      </w:pPr>
      <w:rPr>
        <w:rFonts w:hint="eastAsia"/>
      </w:rPr>
    </w:lvl>
    <w:lvl w:ilvl="3" w:tentative="0">
      <w:start w:val="1"/>
      <w:numFmt w:val="decimal"/>
      <w:lvlText w:val="%4."/>
      <w:lvlJc w:val="left"/>
      <w:pPr>
        <w:ind w:left="2400" w:hanging="440"/>
      </w:pPr>
      <w:rPr>
        <w:rFonts w:hint="eastAsia"/>
      </w:rPr>
    </w:lvl>
    <w:lvl w:ilvl="4" w:tentative="0">
      <w:start w:val="1"/>
      <w:numFmt w:val="lowerLetter"/>
      <w:lvlText w:val="%5)"/>
      <w:lvlJc w:val="left"/>
      <w:pPr>
        <w:ind w:left="2840" w:hanging="440"/>
      </w:pPr>
      <w:rPr>
        <w:rFonts w:hint="eastAsia"/>
      </w:rPr>
    </w:lvl>
    <w:lvl w:ilvl="5" w:tentative="0">
      <w:start w:val="1"/>
      <w:numFmt w:val="lowerRoman"/>
      <w:lvlText w:val="%6."/>
      <w:lvlJc w:val="right"/>
      <w:pPr>
        <w:ind w:left="3280" w:hanging="440"/>
      </w:pPr>
      <w:rPr>
        <w:rFonts w:hint="eastAsia"/>
      </w:rPr>
    </w:lvl>
    <w:lvl w:ilvl="6" w:tentative="0">
      <w:start w:val="1"/>
      <w:numFmt w:val="decimal"/>
      <w:lvlText w:val="%7."/>
      <w:lvlJc w:val="left"/>
      <w:pPr>
        <w:ind w:left="3720" w:hanging="440"/>
      </w:pPr>
      <w:rPr>
        <w:rFonts w:hint="eastAsia"/>
      </w:rPr>
    </w:lvl>
    <w:lvl w:ilvl="7" w:tentative="0">
      <w:start w:val="1"/>
      <w:numFmt w:val="lowerLetter"/>
      <w:lvlText w:val="%8)"/>
      <w:lvlJc w:val="left"/>
      <w:pPr>
        <w:ind w:left="4160" w:hanging="440"/>
      </w:pPr>
      <w:rPr>
        <w:rFonts w:hint="eastAsia"/>
      </w:rPr>
    </w:lvl>
    <w:lvl w:ilvl="8" w:tentative="0">
      <w:start w:val="1"/>
      <w:numFmt w:val="lowerRoman"/>
      <w:lvlText w:val="%9."/>
      <w:lvlJc w:val="right"/>
      <w:pPr>
        <w:ind w:left="4600" w:hanging="44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xODNjMWMxYmNjMGZhMGI2MzZjMWJhNjVlZDlkYjgifQ=="/>
  </w:docVars>
  <w:rsids>
    <w:rsidRoot w:val="00104AAD"/>
    <w:rsid w:val="000848D2"/>
    <w:rsid w:val="000C33BB"/>
    <w:rsid w:val="00104AAD"/>
    <w:rsid w:val="00164FD0"/>
    <w:rsid w:val="001A759D"/>
    <w:rsid w:val="00283662"/>
    <w:rsid w:val="002A6942"/>
    <w:rsid w:val="002C2C50"/>
    <w:rsid w:val="003575C8"/>
    <w:rsid w:val="003D7224"/>
    <w:rsid w:val="004060D6"/>
    <w:rsid w:val="00493583"/>
    <w:rsid w:val="00494658"/>
    <w:rsid w:val="0062292F"/>
    <w:rsid w:val="00637804"/>
    <w:rsid w:val="00667FF1"/>
    <w:rsid w:val="0076213D"/>
    <w:rsid w:val="0095507E"/>
    <w:rsid w:val="009932D6"/>
    <w:rsid w:val="00993F14"/>
    <w:rsid w:val="009A046C"/>
    <w:rsid w:val="009A07E7"/>
    <w:rsid w:val="00A203E4"/>
    <w:rsid w:val="00A522B0"/>
    <w:rsid w:val="00B220AE"/>
    <w:rsid w:val="00BC3C4C"/>
    <w:rsid w:val="00C8047A"/>
    <w:rsid w:val="00CB3A47"/>
    <w:rsid w:val="00CD172B"/>
    <w:rsid w:val="00D04708"/>
    <w:rsid w:val="00D845B7"/>
    <w:rsid w:val="00DD1660"/>
    <w:rsid w:val="00E3185A"/>
    <w:rsid w:val="00EB518C"/>
    <w:rsid w:val="00FB06A4"/>
    <w:rsid w:val="0DC87B48"/>
    <w:rsid w:val="0E7C2DCB"/>
    <w:rsid w:val="0EEB66D7"/>
    <w:rsid w:val="15852632"/>
    <w:rsid w:val="21196431"/>
    <w:rsid w:val="420442AC"/>
    <w:rsid w:val="4C885627"/>
    <w:rsid w:val="538E7FD5"/>
    <w:rsid w:val="56FC7AC4"/>
    <w:rsid w:val="61E3451D"/>
    <w:rsid w:val="74F66D50"/>
    <w:rsid w:val="7C900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unhideWhenUsed/>
    <w:qFormat/>
    <w:uiPriority w:val="99"/>
    <w:pPr>
      <w:overflowPunct w:val="0"/>
      <w:topLinePunct/>
      <w:adjustRightInd w:val="0"/>
      <w:ind w:firstLine="420" w:firstLineChars="200"/>
    </w:pPr>
    <w:rPr>
      <w:rFonts w:ascii="Times New Roman" w:eastAsia="仿宋" w:cs="Times New Roman"/>
      <w:spacing w:val="-6"/>
      <w:sz w:val="32"/>
      <w:szCs w:val="32"/>
      <w14:ligatures w14:val="none"/>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paragraph" w:customStyle="1" w:styleId="10">
    <w:name w:val="修订1"/>
    <w:hidden/>
    <w:semiHidden/>
    <w:qFormat/>
    <w:uiPriority w:val="99"/>
    <w:rPr>
      <w:rFonts w:asciiTheme="minorHAnsi" w:hAnsiTheme="minorHAnsi" w:eastAsiaTheme="minorEastAsia" w:cstheme="minorBidi"/>
      <w:kern w:val="2"/>
      <w:sz w:val="21"/>
      <w:szCs w:val="22"/>
      <w:lang w:val="en-US" w:eastAsia="zh-CN" w:bidi="ar-SA"/>
      <w14:ligatures w14:val="standardContextual"/>
    </w:rPr>
  </w:style>
  <w:style w:type="paragraph" w:customStyle="1" w:styleId="11">
    <w:name w:val="Revision"/>
    <w:hidden/>
    <w:unhideWhenUsed/>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D3BBD-F53F-4D73-9F84-D20F92CD3F3B}">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3269</Words>
  <Characters>3288</Characters>
  <Lines>25</Lines>
  <Paragraphs>7</Paragraphs>
  <TotalTime>2</TotalTime>
  <ScaleCrop>false</ScaleCrop>
  <LinksUpToDate>false</LinksUpToDate>
  <CharactersWithSpaces>3294</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2024-09-29T08:45:00Z</dcterms:created>
  <dc:creator>GH-YQ</dc:creator>
  <cp:lastModifiedBy>章磊</cp:lastModifiedBy>
  <dcterms:modified xsi:type="dcterms:W3CDTF">2024-10-14T10:24:58Z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AAE42EB2791C4A0E9261BD3B16E41DFF_12</vt:lpwstr>
  </property>
</Properties>
</file>