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1320" w:firstLineChars="300"/>
        <w:jc w:val="both"/>
        <w:rPr>
          <w:rFonts w:hint="eastAsia" w:ascii="方正小标宋简体" w:hAnsi="方正小标宋简体" w:eastAsia="方正小标宋简体" w:cs="方正小标宋简体"/>
          <w:color w:val="000000"/>
          <w:sz w:val="44"/>
          <w:szCs w:val="44"/>
          <w:lang w:val="en-US"/>
        </w:rPr>
      </w:pPr>
      <w:bookmarkStart w:id="0" w:name="_GoBack"/>
      <w:bookmarkEnd w:id="0"/>
      <w:r>
        <w:rPr>
          <w:rFonts w:hint="eastAsia" w:ascii="方正小标宋简体" w:hAnsi="方正小标宋简体" w:eastAsia="方正小标宋简体" w:cs="方正小标宋简体"/>
          <w:color w:val="000000"/>
          <w:kern w:val="2"/>
          <w:sz w:val="44"/>
          <w:szCs w:val="44"/>
          <w:lang w:val="en-US" w:eastAsia="zh-CN" w:bidi="ar"/>
        </w:rPr>
        <w:t>诸暨市高粱种植保险试点方案</w:t>
      </w:r>
    </w:p>
    <w:p>
      <w:pPr>
        <w:keepNext w:val="0"/>
        <w:keepLines w:val="0"/>
        <w:widowControl w:val="0"/>
        <w:suppressLineNumbers w:val="0"/>
        <w:spacing w:before="0" w:beforeAutospacing="0" w:after="0" w:afterAutospacing="0"/>
        <w:ind w:left="0" w:right="0"/>
        <w:jc w:val="both"/>
        <w:rPr>
          <w:color w:val="000000"/>
          <w:lang w:val="en-US"/>
        </w:rPr>
      </w:pPr>
      <w:r>
        <w:rPr>
          <w:rFonts w:hint="default" w:ascii="Times New Roman" w:hAnsi="Times New Roman" w:eastAsia="宋体" w:cs="Times New Roman"/>
          <w:color w:val="000000"/>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0" w:firstLine="640" w:firstLineChars="200"/>
        <w:jc w:val="left"/>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为贯彻落实《浙江省人民政府办公厅关于加快农业保险高质量发展的实施意见》（浙政办发〔2021〕47号）精神，扶持我市高粱特色产业发展，积极调动农户种植高粱的积极性，提高高粱种植环节抗风险能力，保障地方特色农产品供应，制订诸暨市高粱种植保险试点方案。</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一、工作目标</w:t>
      </w:r>
    </w:p>
    <w:p>
      <w:pPr>
        <w:keepNext w:val="0"/>
        <w:keepLines w:val="0"/>
        <w:widowControl w:val="0"/>
        <w:suppressLineNumbers w:val="0"/>
        <w:autoSpaceDE w:val="0"/>
        <w:autoSpaceDN/>
        <w:spacing w:before="0" w:beforeAutospacing="0" w:after="0" w:afterAutospacing="0" w:line="540" w:lineRule="exact"/>
        <w:ind w:left="0" w:right="0" w:firstLine="640" w:firstLineChars="200"/>
        <w:jc w:val="left"/>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按照“政府引导、市场运作、农民自愿”的原则，加大政策扶持力度，提高高粱种植户投保积极性，建立高粱种植风险防控体系，积极扶持高粱种植特色产业发展。</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二、参保方案</w:t>
      </w:r>
    </w:p>
    <w:p>
      <w:pPr>
        <w:keepNext w:val="0"/>
        <w:keepLines w:val="0"/>
        <w:widowControl w:val="0"/>
        <w:suppressLineNumbers w:val="0"/>
        <w:autoSpaceDE w:val="0"/>
        <w:autoSpaceDN/>
        <w:spacing w:before="0" w:beforeAutospacing="0" w:after="0" w:afterAutospacing="0" w:line="540" w:lineRule="exact"/>
        <w:ind w:left="0" w:right="0" w:firstLine="640" w:firstLineChars="200"/>
        <w:jc w:val="left"/>
        <w:rPr>
          <w:rFonts w:hint="eastAsia" w:ascii="仿宋_GB2312" w:eastAsia="仿宋_GB2312" w:cs="仿宋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（一）参保对象：</w:t>
      </w:r>
      <w:r>
        <w:rPr>
          <w:rFonts w:hint="eastAsia" w:ascii="仿宋_GB2312" w:hAnsi="Times New Roman" w:eastAsia="仿宋_GB2312" w:cs="仿宋_GB2312"/>
          <w:color w:val="000000"/>
          <w:kern w:val="2"/>
          <w:sz w:val="32"/>
          <w:szCs w:val="32"/>
          <w:lang w:val="en-US" w:eastAsia="zh-CN" w:bidi="ar"/>
        </w:rPr>
        <w:t>诸暨市范围内种植高粱面积在3亩（含）以上，并且符合高粱种植规范和技术管理要求，种植场所在洪水水位线以上的非蓄洪、行洪区的农户或企业。</w:t>
      </w:r>
    </w:p>
    <w:p>
      <w:pPr>
        <w:keepNext w:val="0"/>
        <w:keepLines w:val="0"/>
        <w:widowControl w:val="0"/>
        <w:suppressLineNumbers w:val="0"/>
        <w:autoSpaceDE w:val="0"/>
        <w:autoSpaceDN/>
        <w:spacing w:before="0" w:beforeAutospacing="0" w:after="0" w:afterAutospacing="0" w:line="540" w:lineRule="exact"/>
        <w:ind w:left="0" w:right="0" w:firstLine="640" w:firstLineChars="200"/>
        <w:jc w:val="left"/>
        <w:rPr>
          <w:rFonts w:hint="eastAsia" w:ascii="仿宋_GB2312" w:eastAsia="仿宋_GB2312" w:cs="仿宋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（二）保险金额：</w:t>
      </w:r>
      <w:r>
        <w:rPr>
          <w:rFonts w:hint="eastAsia" w:ascii="仿宋_GB2312" w:hAnsi="Times New Roman" w:eastAsia="仿宋_GB2312" w:cs="仿宋_GB2312"/>
          <w:color w:val="000000"/>
          <w:kern w:val="2"/>
          <w:sz w:val="32"/>
          <w:szCs w:val="32"/>
          <w:lang w:val="en-US" w:eastAsia="zh-CN" w:bidi="ar"/>
        </w:rPr>
        <w:t>高粱种植保险金额为1200元/亩，费率5%。诸暨市财政保费补贴比例90%，农户自负10%。</w:t>
      </w:r>
    </w:p>
    <w:p>
      <w:pPr>
        <w:keepNext w:val="0"/>
        <w:keepLines w:val="0"/>
        <w:widowControl w:val="0"/>
        <w:suppressLineNumbers w:val="0"/>
        <w:autoSpaceDE w:val="0"/>
        <w:autoSpaceDN/>
        <w:spacing w:before="0" w:beforeAutospacing="0" w:after="0" w:afterAutospacing="0" w:line="540" w:lineRule="exact"/>
        <w:ind w:left="0" w:right="0" w:firstLine="640" w:firstLineChars="200"/>
        <w:jc w:val="left"/>
        <w:rPr>
          <w:rFonts w:hint="eastAsia" w:ascii="仿宋_GB2312" w:eastAsia="仿宋_GB2312" w:cs="仿宋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（三）保险责任范围：</w:t>
      </w:r>
      <w:r>
        <w:rPr>
          <w:rFonts w:hint="eastAsia" w:ascii="仿宋_GB2312" w:hAnsi="Times New Roman" w:eastAsia="仿宋_GB2312" w:cs="仿宋_GB2312"/>
          <w:color w:val="000000"/>
          <w:kern w:val="2"/>
          <w:sz w:val="32"/>
          <w:szCs w:val="32"/>
          <w:lang w:val="en-US" w:eastAsia="zh-CN" w:bidi="ar"/>
        </w:rPr>
        <w:t>高粱种植保险责任范围包括：</w:t>
      </w:r>
    </w:p>
    <w:p>
      <w:pPr>
        <w:keepNext w:val="0"/>
        <w:keepLines w:val="0"/>
        <w:widowControl w:val="0"/>
        <w:suppressLineNumbers w:val="0"/>
        <w:autoSpaceDE w:val="0"/>
        <w:autoSpaceDN/>
        <w:spacing w:before="0" w:beforeAutospacing="0" w:after="0" w:afterAutospacing="0" w:line="540" w:lineRule="exact"/>
        <w:ind w:left="0" w:right="0" w:firstLine="640" w:firstLineChars="200"/>
        <w:jc w:val="left"/>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1.暴雨、洪水（政府行蓄洪除外）、内涝、暴风、台风、龙卷风、雹灾、干旱；</w:t>
      </w:r>
    </w:p>
    <w:p>
      <w:pPr>
        <w:keepNext w:val="0"/>
        <w:keepLines w:val="0"/>
        <w:widowControl w:val="0"/>
        <w:suppressLineNumbers w:val="0"/>
        <w:autoSpaceDE w:val="0"/>
        <w:autoSpaceDN/>
        <w:spacing w:before="0" w:beforeAutospacing="0" w:after="0" w:afterAutospacing="0" w:line="540" w:lineRule="exact"/>
        <w:ind w:left="0" w:right="0" w:firstLine="640" w:firstLineChars="200"/>
        <w:jc w:val="left"/>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2.病虫害；</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3.泥石流、山体滑坡</w:t>
      </w:r>
    </w:p>
    <w:p>
      <w:pPr>
        <w:keepNext w:val="0"/>
        <w:keepLines w:val="0"/>
        <w:widowControl w:val="0"/>
        <w:suppressLineNumbers w:val="0"/>
        <w:autoSpaceDE w:val="0"/>
        <w:autoSpaceDN/>
        <w:spacing w:before="0" w:beforeAutospacing="0" w:after="0" w:afterAutospacing="0" w:line="540" w:lineRule="exact"/>
        <w:ind w:left="0" w:right="0" w:firstLine="640" w:firstLineChars="200"/>
        <w:jc w:val="left"/>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（四）投保流程：</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1.高粱的承保数量按照实际种植面积确定，保险公司会同各镇乡街道或村级协保员开展现场验标，并提供承包合同或流转清册，验标确定后的参保清册在村务公开栏公示3天以上。</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2.经查验、公示后符合要求的种植主体，保险公司向投保人收取自缴部分的保险费、出具保险单和保费发票。</w:t>
      </w:r>
    </w:p>
    <w:p>
      <w:pPr>
        <w:keepNext w:val="0"/>
        <w:keepLines w:val="0"/>
        <w:widowControl w:val="0"/>
        <w:suppressLineNumbers w:val="0"/>
        <w:autoSpaceDE w:val="0"/>
        <w:autoSpaceDN/>
        <w:spacing w:before="0" w:beforeAutospacing="0" w:after="0" w:afterAutospacing="0" w:line="540" w:lineRule="exact"/>
        <w:ind w:left="0" w:right="0" w:firstLine="640" w:firstLineChars="200"/>
        <w:jc w:val="left"/>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（五）赔偿处理：</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1.发生保险事故时，被保险人应积极开展防灾救灾，减少灾害损失，并及时报告保险公司进行定损赔付。</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2.承保公司接到灾害报告后应及时到达现场进行核查，按保单约定进行赔付，如无法确定全部损失情况的，及时约定进行二次定损。</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3.保险公司理赔清单，应在村公示栏中进行不少于7天的公示，如对公示有疑义的，可以向保险公司反应情况，保险公司将对反映的情况进行调查核实，并做出相应的处理。</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（六）保险期间及诉讼有效期：</w:t>
      </w:r>
      <w:r>
        <w:rPr>
          <w:rFonts w:hint="eastAsia" w:ascii="仿宋_GB2312" w:hAnsi="Times New Roman" w:eastAsia="仿宋_GB2312" w:cs="仿宋_GB2312"/>
          <w:color w:val="000000"/>
          <w:kern w:val="2"/>
          <w:sz w:val="32"/>
          <w:szCs w:val="32"/>
          <w:lang w:val="en-US" w:eastAsia="zh-CN" w:bidi="ar"/>
        </w:rPr>
        <w:t>高粱种植保险期间为高粱定苗至成熟，具体以保险单载明的起讫时间为准。被保险人向保险人请求赔偿的诉讼时效期间为二年，自其知道或者应当知道保险事故发生之日起计算。</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（七）承保公司：</w:t>
      </w:r>
      <w:r>
        <w:rPr>
          <w:rFonts w:hint="eastAsia" w:ascii="仿宋_GB2312" w:hAnsi="Times New Roman" w:eastAsia="仿宋_GB2312" w:cs="仿宋_GB2312"/>
          <w:color w:val="000000"/>
          <w:kern w:val="2"/>
          <w:sz w:val="32"/>
          <w:szCs w:val="32"/>
          <w:lang w:val="en-US" w:eastAsia="zh-CN" w:bidi="ar"/>
        </w:rPr>
        <w:t>通过招投标方式确定承保公司，具体保险条款按备案条款为准。</w:t>
      </w:r>
    </w:p>
    <w:p>
      <w:pPr>
        <w:keepNext w:val="0"/>
        <w:keepLines w:val="0"/>
        <w:widowControl w:val="0"/>
        <w:suppressLineNumbers w:val="0"/>
        <w:spacing w:before="0" w:beforeAutospacing="0" w:after="0" w:afterAutospacing="0"/>
        <w:ind w:left="0" w:right="0"/>
        <w:jc w:val="both"/>
        <w:rPr>
          <w:color w:val="000000"/>
          <w:lang w:val="en-US"/>
        </w:rPr>
      </w:pPr>
      <w:r>
        <w:rPr>
          <w:rFonts w:hint="default" w:ascii="Times New Roman" w:hAnsi="Times New Roman" w:eastAsia="宋体" w:cs="Times New Roman"/>
          <w:color w:val="000000"/>
          <w:sz w:val="21"/>
          <w:szCs w:val="21"/>
          <w:lang w:val="en-US" w:eastAsia="zh-CN" w:bidi="ar"/>
        </w:rPr>
        <w:br w:type="page"/>
      </w:r>
    </w:p>
    <w:p>
      <w:pPr>
        <w:keepNext w:val="0"/>
        <w:keepLines w:val="0"/>
        <w:widowControl/>
        <w:suppressLineNumbers w:val="0"/>
        <w:spacing w:before="0" w:beforeAutospacing="0" w:after="0" w:afterAutospacing="0" w:line="360" w:lineRule="auto"/>
        <w:ind w:left="0" w:right="0"/>
        <w:jc w:val="center"/>
        <w:rPr>
          <w:color w:val="000000"/>
          <w:lang w:val="en-US"/>
        </w:rPr>
      </w:pPr>
      <w:r>
        <w:rPr>
          <w:rFonts w:hint="eastAsia" w:ascii="方正小标宋简体" w:hAnsi="方正小标宋简体" w:eastAsia="方正小标宋简体" w:cs="方正小标宋简体"/>
          <w:color w:val="000000"/>
          <w:kern w:val="2"/>
          <w:sz w:val="44"/>
          <w:szCs w:val="44"/>
          <w:lang w:val="en-US" w:eastAsia="zh-CN" w:bidi="ar"/>
        </w:rPr>
        <w:t>诸暨市新型农业经营主体综合保险试点方案</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为贯彻落实《浙江省人民政府办公厅关于加快农业保险高质量发展的实施意见》（浙政办发〔2021〕47号）精神，为促进我市特色农业发展，化解新型农业经营主体风险，特制定诸暨市新型农业经营主体灾害综合保险试点方案。</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540" w:lineRule="exact"/>
        <w:ind w:left="0" w:right="0" w:firstLine="634"/>
        <w:jc w:val="both"/>
        <w:textAlignment w:val="auto"/>
        <w:outlineLvl w:val="0"/>
        <w:rPr>
          <w:rFonts w:hint="eastAsia" w:ascii="仿宋_GB2312" w:eastAsia="仿宋_GB2312" w:cs="仿宋_GB2312"/>
          <w:b/>
          <w:bCs w:val="0"/>
          <w:color w:val="000000"/>
          <w:kern w:val="0"/>
          <w:sz w:val="32"/>
          <w:szCs w:val="32"/>
          <w:lang w:val="en-US"/>
        </w:rPr>
      </w:pPr>
      <w:r>
        <w:rPr>
          <w:rFonts w:hint="eastAsia" w:ascii="黑体" w:hAnsi="宋体" w:eastAsia="黑体" w:cs="黑体"/>
          <w:bCs/>
          <w:color w:val="000000"/>
          <w:kern w:val="0"/>
          <w:sz w:val="32"/>
          <w:szCs w:val="32"/>
          <w:lang w:val="en-US" w:eastAsia="zh-CN" w:bidi="ar"/>
        </w:rPr>
        <w:t>一、工作目标</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按照“政府引导、市场运作、农民自愿”的原则，加大政策扶持力度，保障新型农业经营主体因灾害受损的风险，提高诸暨特色农业防灾减灾能力，提升我市特色农业产业发展，促进我市地方特色农产品的生产和供应。</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540" w:lineRule="exact"/>
        <w:ind w:left="0" w:right="0" w:firstLine="634"/>
        <w:jc w:val="both"/>
        <w:textAlignment w:val="auto"/>
        <w:outlineLvl w:val="0"/>
        <w:rPr>
          <w:rFonts w:hint="eastAsia" w:ascii="黑体" w:hAnsi="宋体" w:eastAsia="黑体" w:cs="黑体"/>
          <w:bCs/>
          <w:color w:val="000000"/>
          <w:kern w:val="0"/>
          <w:sz w:val="32"/>
          <w:szCs w:val="32"/>
          <w:lang w:val="en-US"/>
        </w:rPr>
      </w:pPr>
      <w:r>
        <w:rPr>
          <w:rFonts w:hint="eastAsia" w:ascii="黑体" w:hAnsi="宋体" w:eastAsia="黑体" w:cs="黑体"/>
          <w:bCs/>
          <w:color w:val="000000"/>
          <w:kern w:val="0"/>
          <w:sz w:val="32"/>
          <w:szCs w:val="32"/>
          <w:lang w:val="en-US" w:eastAsia="zh-CN" w:bidi="ar"/>
        </w:rPr>
        <w:t>二、参保方案</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（一）参保对象：</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3" w:firstLineChars="200"/>
        <w:jc w:val="both"/>
        <w:textAlignment w:val="auto"/>
        <w:rPr>
          <w:rFonts w:hint="eastAsia" w:ascii="仿宋_GB2312" w:eastAsia="仿宋_GB2312" w:cs="仿宋_GB2312"/>
          <w:color w:val="000000"/>
          <w:sz w:val="32"/>
          <w:szCs w:val="32"/>
          <w:lang w:val="en-US"/>
        </w:rPr>
      </w:pPr>
      <w:r>
        <w:rPr>
          <w:rFonts w:hint="eastAsia" w:ascii="仿宋_GB2312" w:hAnsi="仿宋_GB2312" w:eastAsia="仿宋_GB2312" w:cs="仿宋_GB2312"/>
          <w:b/>
          <w:bCs/>
          <w:color w:val="000000"/>
          <w:kern w:val="2"/>
          <w:sz w:val="32"/>
          <w:szCs w:val="32"/>
          <w:lang w:val="en-US" w:eastAsia="zh-CN" w:bidi="ar"/>
        </w:rPr>
        <w:t>种植业：</w:t>
      </w:r>
      <w:r>
        <w:rPr>
          <w:rFonts w:hint="eastAsia" w:ascii="仿宋_GB2312" w:hAnsi="Times New Roman" w:eastAsia="仿宋_GB2312" w:cs="仿宋_GB2312"/>
          <w:color w:val="000000"/>
          <w:kern w:val="2"/>
          <w:sz w:val="32"/>
          <w:szCs w:val="32"/>
          <w:lang w:val="en-US" w:eastAsia="zh-CN" w:bidi="ar"/>
        </w:rPr>
        <w:t>诸暨市范围内符合下列条件的农业经营主体可作为参保对象：</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1.符合当地普遍采用的种植规范和技术管理要求，种植密度达到当地农业技术部门规定的标准；</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楷体_GB2312" w:eastAsia="楷体_GB2312" w:cs="楷体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2.主导品种未列入政策性农业保险目录；</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3" w:firstLineChars="200"/>
        <w:jc w:val="both"/>
        <w:textAlignment w:val="auto"/>
        <w:rPr>
          <w:rFonts w:hint="eastAsia" w:ascii="仿宋_GB2312" w:eastAsia="仿宋_GB2312" w:cs="仿宋_GB2312"/>
          <w:color w:val="000000"/>
          <w:sz w:val="32"/>
          <w:szCs w:val="32"/>
          <w:lang w:val="en-US"/>
        </w:rPr>
      </w:pPr>
      <w:r>
        <w:rPr>
          <w:rFonts w:hint="eastAsia" w:ascii="仿宋_GB2312" w:hAnsi="仿宋_GB2312" w:eastAsia="仿宋_GB2312" w:cs="仿宋_GB2312"/>
          <w:b/>
          <w:bCs/>
          <w:color w:val="000000"/>
          <w:kern w:val="2"/>
          <w:sz w:val="32"/>
          <w:szCs w:val="32"/>
          <w:lang w:val="en-US" w:eastAsia="zh-CN" w:bidi="ar"/>
        </w:rPr>
        <w:t>养殖业：</w:t>
      </w:r>
      <w:r>
        <w:rPr>
          <w:rFonts w:hint="eastAsia" w:ascii="仿宋_GB2312" w:hAnsi="Times New Roman" w:eastAsia="仿宋_GB2312" w:cs="仿宋_GB2312"/>
          <w:color w:val="000000"/>
          <w:kern w:val="2"/>
          <w:sz w:val="32"/>
          <w:szCs w:val="32"/>
          <w:lang w:val="en-US" w:eastAsia="zh-CN" w:bidi="ar"/>
        </w:rPr>
        <w:t>诸暨市范围内符合下列条件的农业经营主体可作为参保对象：</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1.经过政府部门审定的合格品种，符合当地普遍采用的大牲畜、小牲畜、特种养殖、水产养殖技术管理要求；</w:t>
      </w:r>
    </w:p>
    <w:p>
      <w:pPr>
        <w:pStyle w:val="3"/>
        <w:keepNext w:val="0"/>
        <w:keepLines w:val="0"/>
        <w:pageBreakBefore w:val="0"/>
        <w:widowControl/>
        <w:numPr>
          <w:ilvl w:val="0"/>
          <w:numId w:val="0"/>
        </w:numPr>
        <w:kinsoku/>
        <w:wordWrap/>
        <w:overflowPunct/>
        <w:topLinePunct w:val="0"/>
        <w:autoSpaceDN/>
        <w:bidi w:val="0"/>
        <w:adjustRightInd/>
        <w:ind w:firstLine="640" w:firstLineChars="200"/>
        <w:jc w:val="both"/>
        <w:textAlignment w:val="auto"/>
        <w:rPr>
          <w:rFonts w:hint="eastAsia" w:ascii="仿宋_GB2312" w:eastAsia="仿宋_GB2312" w:cs="仿宋_GB2312"/>
          <w:b w:val="0"/>
          <w:bCs w:val="0"/>
          <w:color w:val="000000"/>
          <w:kern w:val="0"/>
          <w:sz w:val="32"/>
          <w:szCs w:val="32"/>
          <w:lang w:val="en-US"/>
        </w:rPr>
      </w:pPr>
      <w:r>
        <w:rPr>
          <w:rFonts w:hint="eastAsia" w:ascii="仿宋_GB2312" w:eastAsia="仿宋_GB2312" w:cs="仿宋_GB2312"/>
          <w:b w:val="0"/>
          <w:bCs w:val="0"/>
          <w:color w:val="000000"/>
          <w:kern w:val="0"/>
          <w:sz w:val="32"/>
          <w:szCs w:val="32"/>
          <w:lang w:val="en-US"/>
        </w:rPr>
        <w:t>2.</w:t>
      </w:r>
      <w:r>
        <w:rPr>
          <w:rFonts w:hint="eastAsia" w:ascii="仿宋_GB2312" w:eastAsia="仿宋_GB2312" w:cs="仿宋_GB2312"/>
          <w:b w:val="0"/>
          <w:bCs w:val="0"/>
          <w:color w:val="000000"/>
          <w:kern w:val="0"/>
          <w:sz w:val="32"/>
          <w:szCs w:val="32"/>
          <w:lang w:eastAsia="zh-CN"/>
        </w:rPr>
        <w:t>养殖场所在当地洪水水位线以上的非蓄洪、行洪区；</w:t>
      </w:r>
    </w:p>
    <w:p>
      <w:pPr>
        <w:keepNext w:val="0"/>
        <w:keepLines w:val="0"/>
        <w:pageBreakBefore w:val="0"/>
        <w:widowControl/>
        <w:suppressLineNumbers w:val="0"/>
        <w:kinsoku/>
        <w:wordWrap/>
        <w:overflowPunct/>
        <w:topLinePunct w:val="0"/>
        <w:autoSpaceDN/>
        <w:bidi w:val="0"/>
        <w:adjustRightInd/>
        <w:spacing w:before="0" w:beforeAutospacing="0" w:after="0" w:afterAutospacing="0"/>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3.投保的养殖标的必须在当地饲养1年（含）以上；</w:t>
      </w:r>
    </w:p>
    <w:p>
      <w:pPr>
        <w:keepNext w:val="0"/>
        <w:keepLines w:val="0"/>
        <w:pageBreakBefore w:val="0"/>
        <w:widowControl/>
        <w:suppressLineNumbers w:val="0"/>
        <w:kinsoku/>
        <w:wordWrap/>
        <w:overflowPunct/>
        <w:topLinePunct w:val="0"/>
        <w:autoSpaceDN/>
        <w:bidi w:val="0"/>
        <w:adjustRightInd/>
        <w:spacing w:before="0" w:beforeAutospacing="0" w:after="0" w:afterAutospacing="0"/>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4.饲养场所符合主管部门对环保等要求和卫生防疫规范，能够保证饲养质量；</w:t>
      </w:r>
    </w:p>
    <w:p>
      <w:pPr>
        <w:pStyle w:val="8"/>
        <w:keepNext w:val="0"/>
        <w:keepLines w:val="0"/>
        <w:pageBreakBefore w:val="0"/>
        <w:widowControl/>
        <w:suppressLineNumbers w:val="0"/>
        <w:kinsoku/>
        <w:wordWrap/>
        <w:overflowPunct/>
        <w:topLinePunct w:val="0"/>
        <w:autoSpaceDN/>
        <w:bidi w:val="0"/>
        <w:adjustRightInd/>
        <w:spacing w:before="0" w:beforeAutospacing="0" w:after="0" w:afterAutospacing="0"/>
        <w:ind w:left="0" w:right="0" w:firstLine="640" w:firstLineChars="200"/>
        <w:jc w:val="both"/>
        <w:textAlignment w:val="auto"/>
      </w:pPr>
      <w:r>
        <w:rPr>
          <w:rFonts w:hint="eastAsia" w:ascii="仿宋_GB2312" w:hAnsi="Courier New" w:eastAsia="仿宋_GB2312" w:cs="仿宋_GB2312"/>
          <w:color w:val="000000"/>
          <w:kern w:val="2"/>
          <w:sz w:val="32"/>
          <w:szCs w:val="32"/>
          <w:lang w:val="en-US" w:eastAsia="zh-CN" w:bidi="ar"/>
        </w:rPr>
        <w:t>5.未列入政策性农业保险目录。</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（二）保险责任范围：</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964" w:firstLineChars="300"/>
        <w:jc w:val="both"/>
        <w:textAlignment w:val="auto"/>
        <w:rPr>
          <w:rFonts w:hint="eastAsia" w:ascii="仿宋_GB2312" w:eastAsia="仿宋_GB2312" w:cs="仿宋_GB2312"/>
          <w:color w:val="000000"/>
          <w:sz w:val="32"/>
          <w:szCs w:val="32"/>
          <w:lang w:val="en-US"/>
        </w:rPr>
      </w:pPr>
      <w:r>
        <w:rPr>
          <w:rFonts w:hint="eastAsia" w:ascii="仿宋_GB2312" w:hAnsi="仿宋_GB2312" w:eastAsia="仿宋_GB2312" w:cs="仿宋_GB2312"/>
          <w:b/>
          <w:bCs/>
          <w:color w:val="000000"/>
          <w:kern w:val="2"/>
          <w:sz w:val="32"/>
          <w:szCs w:val="32"/>
          <w:lang w:val="en-US" w:eastAsia="zh-CN" w:bidi="ar"/>
        </w:rPr>
        <w:t>种植业：</w:t>
      </w:r>
      <w:r>
        <w:rPr>
          <w:rFonts w:hint="eastAsia" w:ascii="仿宋_GB2312" w:hAnsi="Times New Roman" w:eastAsia="仿宋_GB2312" w:cs="仿宋_GB2312"/>
          <w:color w:val="000000"/>
          <w:kern w:val="2"/>
          <w:sz w:val="32"/>
          <w:szCs w:val="32"/>
          <w:lang w:val="en-US" w:eastAsia="zh-CN" w:bidi="ar"/>
        </w:rPr>
        <w:t>保险责任范围包括以下几种：</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（1）暴雨、冰雹、雪灾、洪水（政府行蓄洪除外）、内涝、低温冻害、冻雨、连阴雨；</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（2）暴风、台风、龙卷风；</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（3）旱灾、高温；</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（4）火灾、爆炸、雷击；</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（5）泥石流、山体滑坡、地面下陷下沉、地震；</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（6）病虫草鼠害。</w:t>
      </w:r>
    </w:p>
    <w:p>
      <w:pPr>
        <w:pStyle w:val="8"/>
        <w:keepNext w:val="0"/>
        <w:keepLines w:val="0"/>
        <w:pageBreakBefore w:val="0"/>
        <w:widowControl/>
        <w:suppressLineNumbers w:val="0"/>
        <w:kinsoku/>
        <w:wordWrap/>
        <w:overflowPunct/>
        <w:topLinePunct w:val="0"/>
        <w:autoSpaceDN/>
        <w:bidi w:val="0"/>
        <w:adjustRightInd/>
        <w:spacing w:before="0" w:beforeAutospacing="0" w:after="0" w:afterAutospacing="0"/>
        <w:ind w:left="0" w:right="0" w:firstLine="964" w:firstLineChars="300"/>
        <w:jc w:val="both"/>
        <w:textAlignment w:val="auto"/>
        <w:rPr>
          <w:rFonts w:hint="eastAsia" w:ascii="楷体_GB2312" w:eastAsia="楷体_GB2312" w:cs="楷体_GB2312"/>
          <w:color w:val="000000"/>
          <w:sz w:val="32"/>
          <w:szCs w:val="32"/>
          <w:lang w:val="en-US"/>
        </w:rPr>
      </w:pPr>
      <w:r>
        <w:rPr>
          <w:rFonts w:hint="eastAsia" w:ascii="仿宋_GB2312" w:hAnsi="仿宋_GB2312" w:eastAsia="仿宋_GB2312" w:cs="仿宋_GB2312"/>
          <w:b/>
          <w:bCs/>
          <w:color w:val="000000"/>
          <w:kern w:val="2"/>
          <w:sz w:val="32"/>
          <w:szCs w:val="32"/>
          <w:lang w:val="en-US" w:eastAsia="zh-CN" w:bidi="ar"/>
        </w:rPr>
        <w:t>养殖业：</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（1）因遭受自然灾害、意外事故、疾病等原因直接造成保险养殖标的死亡；</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（2）因遭受前款列明的自然灾害事故而发生溃坎、漫坎致使养殖标的逃逸。</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（3）因高温、连续阴雨等异常气候或因自然灾害引起供电设施损坏断电致使增氧机或水泵无法开启而造成保险养殖标的死亡；</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（三）保险金额：</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40" w:lineRule="exact"/>
        <w:ind w:left="0" w:right="0" w:firstLine="640"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保险农作物的单位保险金额参照单位投入成本，由投保人与保险人协商确定，在保单中载明。参考单位成本如下：</w:t>
      </w:r>
    </w:p>
    <w:tbl>
      <w:tblPr>
        <w:tblStyle w:val="10"/>
        <w:tblW w:w="6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8"/>
        <w:gridCol w:w="3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水果类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种植品种</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参考成本上限（元/亩）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猕猴桃</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桃、梨</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31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火龙果</w:t>
            </w:r>
          </w:p>
        </w:tc>
        <w:tc>
          <w:tcPr>
            <w:tcW w:w="3435"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jc w:val="center"/>
        </w:trPr>
        <w:tc>
          <w:tcPr>
            <w:tcW w:w="313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草莓</w:t>
            </w:r>
          </w:p>
        </w:tc>
        <w:tc>
          <w:tcPr>
            <w:tcW w:w="3435"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蓝莓</w:t>
            </w:r>
          </w:p>
        </w:tc>
        <w:tc>
          <w:tcPr>
            <w:tcW w:w="343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枇杷</w:t>
            </w:r>
          </w:p>
        </w:tc>
        <w:tc>
          <w:tcPr>
            <w:tcW w:w="343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红美人</w:t>
            </w:r>
          </w:p>
        </w:tc>
        <w:tc>
          <w:tcPr>
            <w:tcW w:w="343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李子</w:t>
            </w:r>
          </w:p>
        </w:tc>
        <w:tc>
          <w:tcPr>
            <w:tcW w:w="343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樱桃</w:t>
            </w:r>
          </w:p>
        </w:tc>
        <w:tc>
          <w:tcPr>
            <w:tcW w:w="343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31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杨梅</w:t>
            </w:r>
          </w:p>
        </w:tc>
        <w:tc>
          <w:tcPr>
            <w:tcW w:w="343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菌菇类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种植品种</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参考成本上限（元/袋）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菌菇</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中药材类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种植品种</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参考成本上限（元/亩）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铁皮石斛</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浙贝母</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益母草</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仿宋_GB2312" w:cs="宋体"/>
                <w:b/>
                <w:bCs/>
                <w:color w:val="000000"/>
                <w:sz w:val="22"/>
                <w:szCs w:val="22"/>
                <w:lang w:val="en-US"/>
              </w:rPr>
            </w:pPr>
            <w:r>
              <w:rPr>
                <w:rFonts w:hint="eastAsia" w:ascii="宋体" w:hAnsi="宋体" w:eastAsia="宋体" w:cs="宋体"/>
                <w:b/>
                <w:bCs/>
                <w:color w:val="000000"/>
                <w:kern w:val="0"/>
                <w:sz w:val="22"/>
                <w:szCs w:val="22"/>
                <w:lang w:val="en-US" w:eastAsia="zh-CN" w:bidi="ar"/>
              </w:rPr>
              <w:t>粮食作物类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种植品种</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参考成本上限（元/亩）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_GB2312" w:cs="宋体"/>
                <w:color w:val="000000"/>
                <w:sz w:val="22"/>
                <w:szCs w:val="22"/>
                <w:lang w:val="en-US"/>
              </w:rPr>
            </w:pPr>
            <w:r>
              <w:rPr>
                <w:rFonts w:hint="eastAsia" w:ascii="宋体" w:hAnsi="宋体" w:eastAsia="宋体" w:cs="宋体"/>
                <w:color w:val="000000"/>
                <w:kern w:val="0"/>
                <w:sz w:val="22"/>
                <w:szCs w:val="22"/>
                <w:lang w:val="en-US" w:eastAsia="zh-CN" w:bidi="ar"/>
              </w:rPr>
              <w:t>番薯</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_GB2312" w:cs="宋体"/>
                <w:color w:val="000000"/>
                <w:sz w:val="22"/>
                <w:szCs w:val="22"/>
                <w:lang w:val="en-US"/>
              </w:rPr>
            </w:pPr>
            <w:r>
              <w:rPr>
                <w:rFonts w:hint="eastAsia" w:ascii="宋体" w:hAnsi="宋体" w:eastAsia="宋体" w:cs="宋体"/>
                <w:color w:val="000000"/>
                <w:kern w:val="0"/>
                <w:sz w:val="22"/>
                <w:szCs w:val="22"/>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玉米</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大豆</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土豆</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仿宋_GB2312" w:cs="宋体"/>
                <w:b/>
                <w:bCs/>
                <w:color w:val="000000"/>
                <w:sz w:val="22"/>
                <w:szCs w:val="22"/>
                <w:lang w:val="en-US"/>
              </w:rPr>
            </w:pPr>
            <w:r>
              <w:rPr>
                <w:rFonts w:hint="eastAsia" w:ascii="宋体" w:hAnsi="宋体" w:eastAsia="宋体" w:cs="宋体"/>
                <w:b/>
                <w:bCs/>
                <w:color w:val="000000"/>
                <w:kern w:val="0"/>
                <w:sz w:val="22"/>
                <w:szCs w:val="22"/>
                <w:lang w:val="en-US" w:eastAsia="zh-CN" w:bidi="ar"/>
              </w:rPr>
              <w:t>牲畜类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养品种</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_GB2312" w:cs="宋体"/>
                <w:b/>
                <w:bCs/>
                <w:color w:val="000000"/>
                <w:sz w:val="22"/>
                <w:szCs w:val="22"/>
                <w:lang w:val="en-US"/>
              </w:rPr>
            </w:pPr>
            <w:r>
              <w:rPr>
                <w:rFonts w:hint="eastAsia" w:ascii="宋体" w:hAnsi="宋体" w:eastAsia="宋体" w:cs="宋体"/>
                <w:b/>
                <w:bCs/>
                <w:color w:val="000000"/>
                <w:kern w:val="0"/>
                <w:sz w:val="22"/>
                <w:szCs w:val="22"/>
                <w:lang w:val="en-US" w:eastAsia="zh-CN" w:bidi="ar"/>
              </w:rPr>
              <w:t>参考养殖成本上限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_GB2312" w:cs="宋体"/>
                <w:color w:val="000000"/>
                <w:sz w:val="22"/>
                <w:szCs w:val="22"/>
                <w:lang w:val="en-US"/>
              </w:rPr>
            </w:pPr>
            <w:r>
              <w:rPr>
                <w:rFonts w:hint="eastAsia" w:ascii="宋体" w:hAnsi="宋体" w:eastAsia="宋体" w:cs="宋体"/>
                <w:color w:val="000000"/>
                <w:kern w:val="0"/>
                <w:sz w:val="22"/>
                <w:szCs w:val="22"/>
                <w:lang w:val="en-US" w:eastAsia="zh-CN" w:bidi="ar"/>
              </w:rPr>
              <w:t>羊</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_GB2312" w:cs="宋体"/>
                <w:color w:val="000000"/>
                <w:sz w:val="22"/>
                <w:szCs w:val="22"/>
                <w:lang w:val="en-US"/>
              </w:rPr>
            </w:pPr>
            <w:r>
              <w:rPr>
                <w:rFonts w:hint="eastAsia" w:ascii="宋体" w:hAnsi="宋体" w:eastAsia="宋体" w:cs="宋体"/>
                <w:color w:val="000000"/>
                <w:kern w:val="0"/>
                <w:sz w:val="22"/>
                <w:szCs w:val="22"/>
                <w:lang w:val="en-US" w:eastAsia="zh-CN" w:bidi="ar"/>
              </w:rPr>
              <w:t>1250元/头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b/>
                <w:bCs/>
                <w:color w:val="000000"/>
                <w:kern w:val="0"/>
                <w:sz w:val="22"/>
                <w:szCs w:val="22"/>
                <w:lang w:val="en-US" w:eastAsia="zh-CN" w:bidi="ar"/>
              </w:rPr>
              <w:t>水产类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乌龟（室内）</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5元/只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乌龟（外塘）</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35元/只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甲鱼（室内）</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8元/只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甲鱼（外塘）</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80元/只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小龙虾</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12.5元/斤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珍珠蚌</w:t>
            </w:r>
          </w:p>
        </w:tc>
        <w:tc>
          <w:tcPr>
            <w:tcW w:w="34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10000元/亩</w:t>
            </w:r>
          </w:p>
        </w:tc>
      </w:tr>
    </w:tbl>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（四）保险费率：</w:t>
      </w:r>
    </w:p>
    <w:tbl>
      <w:tblPr>
        <w:tblStyle w:val="10"/>
        <w:tblW w:w="7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5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类别</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基准费率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水果类</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中药材类</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kern w:val="0"/>
                <w:sz w:val="21"/>
                <w:szCs w:val="21"/>
                <w:lang w:val="en-US" w:eastAsia="zh-CN" w:bidi="ar"/>
              </w:rPr>
              <w:t>粮食作物类</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0"/>
                <w:lang w:val="en-US"/>
              </w:rPr>
            </w:pPr>
            <w:r>
              <w:rPr>
                <w:rFonts w:hint="eastAsia" w:ascii="宋体" w:hAnsi="宋体" w:eastAsia="宋体" w:cs="宋体"/>
                <w:kern w:val="0"/>
                <w:sz w:val="21"/>
                <w:szCs w:val="21"/>
                <w:lang w:val="en-US" w:eastAsia="zh-CN" w:bidi="ar"/>
              </w:rPr>
              <w:t>菌菇类</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kern w:val="0"/>
                <w:lang w:val="en-US"/>
              </w:rPr>
            </w:pPr>
            <w:r>
              <w:rPr>
                <w:rFonts w:hint="eastAsia" w:ascii="宋体" w:hAnsi="宋体" w:eastAsia="宋体" w:cs="宋体"/>
                <w:color w:val="000000"/>
                <w:kern w:val="0"/>
                <w:sz w:val="22"/>
                <w:szCs w:val="22"/>
                <w:lang w:val="en-US" w:eastAsia="zh-CN" w:bidi="ar"/>
              </w:rPr>
              <w:t>牲畜类</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水产类</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8%</w:t>
            </w:r>
          </w:p>
        </w:tc>
      </w:tr>
    </w:tbl>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（五）财政补贴比例：</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市财政保费补贴70%，农户自负30%。</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（六）投保流程：</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1.确定参保名单。符合条件的经营主体可自愿报名参加保险试点，如自愿报名参加家数较多，由农险协调办邀请专家进行综合评定，择优确定参加保险试点。</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2.核实保险标的。保险经办公司会同各镇乡街道或村级协保员开展现场验标，核实实际种养植面积数量、地点、范围等信息，验标确定后的参保清册在村务公开栏公示3天以上。</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3.出具保单。保险经办公司经核查后，对符合要求的经营主体，向投保人收取自缴部分的保险费后出具保险单和保费发票。</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（七）赔偿处理：</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1.发生保险事故时，被保险人应积极开展防灾救灾，减少灾害损失，并及时报告保险公司进行定损赔付。</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2.承保公司接到灾害报告后应及时到达现场进行核查，按保单约定进行赔付，如无法确定全部损失情况的，及时约定进行二次定损。</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3.保险公司理赔清单，应在村公示栏中进行不少于7天的公示，如对公示有疑义的，可以向保险公司反应情况，保险公司将对反映的情况进行调查核实，并做出相应的处理。</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（八）保险期间及诉讼有效期：</w:t>
      </w:r>
      <w:r>
        <w:rPr>
          <w:rFonts w:hint="eastAsia" w:ascii="仿宋_GB2312" w:hAnsi="Times New Roman" w:eastAsia="仿宋_GB2312" w:cs="仿宋_GB2312"/>
          <w:color w:val="000000"/>
          <w:kern w:val="2"/>
          <w:sz w:val="32"/>
          <w:szCs w:val="32"/>
          <w:lang w:val="en-US" w:eastAsia="zh-CN" w:bidi="ar"/>
        </w:rPr>
        <w:t>新型农业经营主体综合保险期间为一年，具体以保险单载明的起讫时间为准。被保险人向保险人请求赔偿的诉讼时效期间为二年，自其知道或者应当知道保险事故发生之日起计算。</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（九）承保公司：</w:t>
      </w:r>
      <w:r>
        <w:rPr>
          <w:rFonts w:hint="eastAsia" w:ascii="仿宋_GB2312" w:hAnsi="Times New Roman" w:eastAsia="仿宋_GB2312" w:cs="仿宋_GB2312"/>
          <w:color w:val="000000"/>
          <w:kern w:val="2"/>
          <w:sz w:val="32"/>
          <w:szCs w:val="32"/>
          <w:lang w:val="en-US" w:eastAsia="zh-CN" w:bidi="ar"/>
        </w:rPr>
        <w:t>通过招投标方式确定承保公司，具体保险条款按备案条款为准。</w:t>
      </w:r>
    </w:p>
    <w:p>
      <w:pPr>
        <w:keepNext w:val="0"/>
        <w:keepLines w:val="0"/>
        <w:widowControl w:val="0"/>
        <w:suppressLineNumbers w:val="0"/>
        <w:autoSpaceDE w:val="0"/>
        <w:autoSpaceDN/>
        <w:spacing w:before="0" w:beforeAutospacing="0" w:after="0" w:afterAutospacing="0" w:line="540" w:lineRule="exact"/>
        <w:ind w:left="0" w:right="0" w:firstLine="883" w:firstLineChars="200"/>
        <w:jc w:val="both"/>
        <w:rPr>
          <w:rFonts w:hint="eastAsia" w:ascii="宋体" w:hAnsi="宋体" w:eastAsia="宋体" w:cs="宋体"/>
          <w:b/>
          <w:bCs w:val="0"/>
          <w:color w:val="000000"/>
          <w:kern w:val="2"/>
          <w:sz w:val="44"/>
          <w:szCs w:val="44"/>
          <w:lang w:val="en-US" w:eastAsia="zh-CN" w:bidi="ar"/>
        </w:rPr>
      </w:pPr>
      <w:r>
        <w:rPr>
          <w:rFonts w:hint="eastAsia" w:ascii="宋体" w:hAnsi="宋体" w:eastAsia="宋体" w:cs="宋体"/>
          <w:b/>
          <w:bCs w:val="0"/>
          <w:color w:val="000000"/>
          <w:kern w:val="2"/>
          <w:sz w:val="44"/>
          <w:szCs w:val="44"/>
          <w:lang w:val="en-US" w:eastAsia="zh-CN" w:bidi="ar"/>
        </w:rPr>
        <w:t xml:space="preserve"> </w:t>
      </w:r>
    </w:p>
    <w:p>
      <w:pPr>
        <w:pStyle w:val="2"/>
        <w:rPr>
          <w:rFonts w:hint="eastAsia" w:ascii="宋体" w:hAnsi="宋体" w:eastAsia="宋体" w:cs="宋体"/>
          <w:b/>
          <w:bCs w:val="0"/>
          <w:color w:val="000000"/>
          <w:kern w:val="2"/>
          <w:sz w:val="44"/>
          <w:szCs w:val="44"/>
          <w:lang w:val="en-US" w:eastAsia="zh-CN" w:bidi="ar"/>
        </w:rPr>
      </w:pPr>
    </w:p>
    <w:p>
      <w:pPr>
        <w:pStyle w:val="2"/>
        <w:rPr>
          <w:rFonts w:hint="eastAsia" w:ascii="宋体" w:hAnsi="宋体" w:eastAsia="宋体" w:cs="宋体"/>
          <w:b/>
          <w:bCs w:val="0"/>
          <w:color w:val="000000"/>
          <w:kern w:val="2"/>
          <w:sz w:val="44"/>
          <w:szCs w:val="44"/>
          <w:lang w:val="en-US" w:eastAsia="zh-CN" w:bidi="ar"/>
        </w:rPr>
      </w:pPr>
    </w:p>
    <w:p>
      <w:pPr>
        <w:pStyle w:val="2"/>
        <w:rPr>
          <w:rFonts w:hint="eastAsia" w:ascii="宋体" w:hAnsi="宋体" w:eastAsia="宋体" w:cs="宋体"/>
          <w:b/>
          <w:bCs w:val="0"/>
          <w:color w:val="000000"/>
          <w:kern w:val="2"/>
          <w:sz w:val="44"/>
          <w:szCs w:val="44"/>
          <w:lang w:val="en-US" w:eastAsia="zh-CN" w:bidi="ar"/>
        </w:rPr>
      </w:pPr>
    </w:p>
    <w:p>
      <w:pPr>
        <w:pStyle w:val="2"/>
        <w:rPr>
          <w:rFonts w:hint="eastAsia" w:ascii="宋体" w:hAnsi="宋体" w:eastAsia="宋体" w:cs="宋体"/>
          <w:b/>
          <w:bCs w:val="0"/>
          <w:color w:val="000000"/>
          <w:kern w:val="2"/>
          <w:sz w:val="44"/>
          <w:szCs w:val="44"/>
          <w:lang w:val="en-US" w:eastAsia="zh-CN" w:bidi="ar"/>
        </w:rPr>
      </w:pPr>
    </w:p>
    <w:p>
      <w:pPr>
        <w:pStyle w:val="2"/>
        <w:rPr>
          <w:rFonts w:hint="eastAsia" w:ascii="宋体" w:hAnsi="宋体" w:eastAsia="宋体" w:cs="宋体"/>
          <w:b/>
          <w:bCs w:val="0"/>
          <w:color w:val="000000"/>
          <w:kern w:val="2"/>
          <w:sz w:val="44"/>
          <w:szCs w:val="44"/>
          <w:lang w:val="en-US" w:eastAsia="zh-CN" w:bidi="ar"/>
        </w:rPr>
      </w:pPr>
    </w:p>
    <w:p>
      <w:pPr>
        <w:pStyle w:val="2"/>
        <w:rPr>
          <w:rFonts w:hint="eastAsia" w:ascii="宋体" w:hAnsi="宋体" w:eastAsia="宋体" w:cs="宋体"/>
          <w:b/>
          <w:bCs w:val="0"/>
          <w:color w:val="000000"/>
          <w:kern w:val="2"/>
          <w:sz w:val="44"/>
          <w:szCs w:val="44"/>
          <w:lang w:val="en-US" w:eastAsia="zh-CN" w:bidi="ar"/>
        </w:rPr>
      </w:pPr>
    </w:p>
    <w:p>
      <w:pPr>
        <w:pStyle w:val="2"/>
        <w:rPr>
          <w:rFonts w:hint="eastAsia" w:ascii="宋体" w:hAnsi="宋体" w:eastAsia="宋体" w:cs="宋体"/>
          <w:b/>
          <w:bCs w:val="0"/>
          <w:color w:val="000000"/>
          <w:kern w:val="2"/>
          <w:sz w:val="44"/>
          <w:szCs w:val="44"/>
          <w:lang w:val="en-US" w:eastAsia="zh-CN" w:bidi="ar"/>
        </w:rPr>
      </w:pPr>
    </w:p>
    <w:p>
      <w:pPr>
        <w:pStyle w:val="2"/>
        <w:rPr>
          <w:rFonts w:hint="eastAsia" w:ascii="宋体" w:hAnsi="宋体" w:eastAsia="宋体" w:cs="宋体"/>
          <w:b/>
          <w:bCs w:val="0"/>
          <w:color w:val="000000"/>
          <w:kern w:val="2"/>
          <w:sz w:val="44"/>
          <w:szCs w:val="44"/>
          <w:lang w:val="en-US" w:eastAsia="zh-CN" w:bidi="ar"/>
        </w:rPr>
      </w:pPr>
    </w:p>
    <w:p>
      <w:pPr>
        <w:pStyle w:val="2"/>
        <w:rPr>
          <w:rFonts w:hint="eastAsia" w:ascii="宋体" w:hAnsi="宋体" w:eastAsia="宋体" w:cs="宋体"/>
          <w:b/>
          <w:bCs w:val="0"/>
          <w:color w:val="000000"/>
          <w:kern w:val="2"/>
          <w:sz w:val="44"/>
          <w:szCs w:val="44"/>
          <w:lang w:val="en-US" w:eastAsia="zh-CN" w:bidi="ar"/>
        </w:rPr>
      </w:pPr>
    </w:p>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宋体" w:hAnsi="宋体" w:eastAsia="宋体" w:cs="宋体"/>
          <w:b/>
          <w:bCs w:val="0"/>
          <w:color w:val="000000"/>
          <w:kern w:val="2"/>
          <w:sz w:val="44"/>
          <w:szCs w:val="44"/>
          <w:lang w:val="en-US" w:eastAsia="zh-CN" w:bidi="ar"/>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诸暨市香榧高温干旱气象指数保险试点方案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浙江省人民政府办公厅关于加快农业保险高质量发展的实施意见》（浙政办发〔2021〕47号）精神，加快推进我市香榧产业提质升档发展，稳定我市香榧种植风险、保障榧农基本收入，特制定诸暨市香榧高温干旱气象指数保险试点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t>一、工作目标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按照“政府引导、市场运作、农民自愿”的原则，实行政策扶持与商业化运作相结合，采用低保费、保成本、财政适当补贴的承保方式，开展香榧高温干旱气象指数保险试点。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t>二、参保方案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（一）参保对象：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同时符合下列条件的香榧可作为本保险合同的保险标的（以下统称“保险香榧”），投保人应将符合下述条件的香榧全部投保，不得选择投保：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①种植榧树符合本地区农业技术部门要求和技术规范，生长正常；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②种植面积在30亩（含）以上，且树龄10年（含）以上；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③连片种植面积未达到30亩的种植户，可通过专业合作组织以联保方式参加保险；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（二）保险金额：</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保险香榧的每亩保险金额参照保险香榧生长期内所发生的直接物化成本，包括榧苗、化肥、农药、灌溉等成本，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保额为2000元/亩，最高费率为14%，诸暨市财政保费补贴比例70%，农户自负30%。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）保险责任</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保险期间内，保险香榧在约定时间内遭遇高温或干旱灾害，当保险合同约定气象观测站气象数据达到约定理赔标准，保险人按照本保险合同的约定承担赔偿责任。其中保险香榧所在区域的气象观测站于承保之日起-10月31日实测日最高气温高于38℃（含）的天数超过10天且对应赔偿金额大于零或保险香榧所在区域的气象观测站于7月11日-8月20日平均降水量3毫米（含）以下且对应赔偿金额大于零时，视为保险事故发生，保险人按照本保险合同的约定负责赔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本保险合同涉及的气象数据以保险香榧所约定的气象站观测数据为准，如约定的主气象站由于站点仪器故障导致气象数据无法正常获取，由保险单约定的备份气象站同期数据代替，并在保险单中载明。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（四）投保流程：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1.保险香榧的承保数量按照实际种植面积确定，保险公司会同各镇乡街道或村级协保员开展现场验标，提供承包合同或流转清册，验标确定后的参保清册在村务公开栏公示3天以上。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2.经查验、公示后符合要求的种植主体，保险公司向投保人收取自缴部分的保险费、出具保险单和保费发票。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）赔偿处理：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保险香榧发生保险责任范围内的损失，分保险责任计算赔偿，每亩香榧赔偿金额参照附件提供的《香榧高温干旱气象指数保险每亩损失赔偿金额表》及备注说明。保险人按以下方式计算赔偿：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每亩赔偿金额=高温责任每亩赔偿金额或干旱责任每亩赔偿金额取其高者，总赔偿金额= 每亩赔偿金额（元/亩）x保险数量（亩），赔偿金额以保险金额为限。</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附表：诸暨市香榧高温干旱气象指数保险每亩损失赔偿金额表</w:t>
      </w:r>
    </w:p>
    <w:tbl>
      <w:tblPr>
        <w:tblStyle w:val="10"/>
        <w:tblW w:w="8739" w:type="dxa"/>
        <w:tblInd w:w="0" w:type="dxa"/>
        <w:tblLayout w:type="fixed"/>
        <w:tblCellMar>
          <w:top w:w="0" w:type="dxa"/>
          <w:left w:w="108" w:type="dxa"/>
          <w:bottom w:w="0" w:type="dxa"/>
          <w:right w:w="108" w:type="dxa"/>
        </w:tblCellMar>
      </w:tblPr>
      <w:tblGrid>
        <w:gridCol w:w="3124"/>
        <w:gridCol w:w="3058"/>
        <w:gridCol w:w="2557"/>
      </w:tblGrid>
      <w:tr>
        <w:tblPrEx>
          <w:tblCellMar>
            <w:top w:w="0" w:type="dxa"/>
            <w:left w:w="108" w:type="dxa"/>
            <w:bottom w:w="0" w:type="dxa"/>
            <w:right w:w="108" w:type="dxa"/>
          </w:tblCellMar>
        </w:tblPrEx>
        <w:trPr>
          <w:trHeight w:val="781"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等线" w:hAnsi="等线" w:eastAsia="等线"/>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6</w:t>
            </w:r>
            <w:r>
              <w:rPr>
                <w:rFonts w:hint="eastAsia" w:ascii="等线" w:hAnsi="等线" w:eastAsia="等线"/>
                <w:color w:val="000000" w:themeColor="text1"/>
                <w:kern w:val="0"/>
                <w:sz w:val="21"/>
                <w:szCs w:val="21"/>
                <w14:textFill>
                  <w14:solidFill>
                    <w14:schemeClr w14:val="tx1"/>
                  </w14:solidFill>
                </w14:textFill>
              </w:rPr>
              <w:t>月</w:t>
            </w:r>
            <w:r>
              <w:rPr>
                <w:rFonts w:ascii="Times New Roman" w:hAnsi="Times New Roman" w:eastAsia="宋体"/>
                <w:color w:val="000000" w:themeColor="text1"/>
                <w:kern w:val="0"/>
                <w:sz w:val="21"/>
                <w:szCs w:val="21"/>
                <w14:textFill>
                  <w14:solidFill>
                    <w14:schemeClr w14:val="tx1"/>
                  </w14:solidFill>
                </w14:textFill>
              </w:rPr>
              <w:t>1</w:t>
            </w:r>
            <w:r>
              <w:rPr>
                <w:rFonts w:hint="eastAsia" w:ascii="等线" w:hAnsi="等线" w:eastAsia="等线"/>
                <w:color w:val="000000" w:themeColor="text1"/>
                <w:kern w:val="0"/>
                <w:sz w:val="21"/>
                <w:szCs w:val="21"/>
                <w14:textFill>
                  <w14:solidFill>
                    <w14:schemeClr w14:val="tx1"/>
                  </w14:solidFill>
                </w14:textFill>
              </w:rPr>
              <w:t>日</w:t>
            </w:r>
            <w:r>
              <w:rPr>
                <w:rFonts w:ascii="Times New Roman" w:hAnsi="Times New Roman" w:eastAsia="宋体"/>
                <w:color w:val="000000" w:themeColor="text1"/>
                <w:kern w:val="0"/>
                <w:sz w:val="21"/>
                <w:szCs w:val="21"/>
                <w14:textFill>
                  <w14:solidFill>
                    <w14:schemeClr w14:val="tx1"/>
                  </w14:solidFill>
                </w14:textFill>
              </w:rPr>
              <w:t>-10</w:t>
            </w:r>
            <w:r>
              <w:rPr>
                <w:rFonts w:hint="eastAsia" w:ascii="等线" w:hAnsi="等线" w:eastAsia="等线"/>
                <w:color w:val="000000" w:themeColor="text1"/>
                <w:kern w:val="0"/>
                <w:sz w:val="21"/>
                <w:szCs w:val="21"/>
                <w14:textFill>
                  <w14:solidFill>
                    <w14:schemeClr w14:val="tx1"/>
                  </w14:solidFill>
                </w14:textFill>
              </w:rPr>
              <w:t>月</w:t>
            </w:r>
            <w:r>
              <w:rPr>
                <w:rFonts w:ascii="Times New Roman" w:hAnsi="Times New Roman" w:eastAsia="宋体"/>
                <w:color w:val="000000" w:themeColor="text1"/>
                <w:kern w:val="0"/>
                <w:sz w:val="21"/>
                <w:szCs w:val="21"/>
                <w14:textFill>
                  <w14:solidFill>
                    <w14:schemeClr w14:val="tx1"/>
                  </w14:solidFill>
                </w14:textFill>
              </w:rPr>
              <w:t>31</w:t>
            </w:r>
            <w:r>
              <w:rPr>
                <w:rFonts w:hint="eastAsia" w:ascii="等线" w:hAnsi="等线" w:eastAsia="等线"/>
                <w:color w:val="000000" w:themeColor="text1"/>
                <w:kern w:val="0"/>
                <w:sz w:val="21"/>
                <w:szCs w:val="21"/>
                <w14:textFill>
                  <w14:solidFill>
                    <w14:schemeClr w14:val="tx1"/>
                  </w14:solidFill>
                </w14:textFill>
              </w:rPr>
              <w:t>日≥</w:t>
            </w:r>
            <w:r>
              <w:rPr>
                <w:rFonts w:ascii="Times New Roman" w:hAnsi="Times New Roman" w:eastAsia="宋体"/>
                <w:color w:val="000000" w:themeColor="text1"/>
                <w:kern w:val="0"/>
                <w:sz w:val="21"/>
                <w:szCs w:val="21"/>
                <w14:textFill>
                  <w14:solidFill>
                    <w14:schemeClr w14:val="tx1"/>
                  </w14:solidFill>
                </w14:textFill>
              </w:rPr>
              <w:t>38</w:t>
            </w:r>
            <w:r>
              <w:rPr>
                <w:rFonts w:hint="eastAsia" w:ascii="等线" w:hAnsi="等线" w:eastAsia="等线"/>
                <w:color w:val="000000" w:themeColor="text1"/>
                <w:kern w:val="0"/>
                <w:sz w:val="21"/>
                <w:szCs w:val="21"/>
                <w14:textFill>
                  <w14:solidFill>
                    <w14:schemeClr w14:val="tx1"/>
                  </w14:solidFill>
                </w14:textFill>
              </w:rPr>
              <w:t>℃</w:t>
            </w:r>
          </w:p>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hint="eastAsia" w:ascii="等线" w:hAnsi="等线" w:eastAsia="等线"/>
                <w:color w:val="000000" w:themeColor="text1"/>
                <w:kern w:val="0"/>
                <w:sz w:val="21"/>
                <w:szCs w:val="21"/>
                <w14:textFill>
                  <w14:solidFill>
                    <w14:schemeClr w14:val="tx1"/>
                  </w14:solidFill>
                </w14:textFill>
              </w:rPr>
              <w:t>高温日数（天）</w:t>
            </w:r>
          </w:p>
        </w:tc>
        <w:tc>
          <w:tcPr>
            <w:tcW w:w="305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等线" w:hAnsi="等线" w:eastAsia="等线"/>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7</w:t>
            </w:r>
            <w:r>
              <w:rPr>
                <w:rFonts w:hint="eastAsia" w:ascii="等线" w:hAnsi="等线" w:eastAsia="等线"/>
                <w:color w:val="000000" w:themeColor="text1"/>
                <w:kern w:val="0"/>
                <w:sz w:val="21"/>
                <w:szCs w:val="21"/>
                <w14:textFill>
                  <w14:solidFill>
                    <w14:schemeClr w14:val="tx1"/>
                  </w14:solidFill>
                </w14:textFill>
              </w:rPr>
              <w:t>月</w:t>
            </w:r>
            <w:r>
              <w:rPr>
                <w:rFonts w:ascii="Times New Roman" w:hAnsi="Times New Roman" w:eastAsia="宋体"/>
                <w:color w:val="000000" w:themeColor="text1"/>
                <w:kern w:val="0"/>
                <w:sz w:val="21"/>
                <w:szCs w:val="21"/>
                <w14:textFill>
                  <w14:solidFill>
                    <w14:schemeClr w14:val="tx1"/>
                  </w14:solidFill>
                </w14:textFill>
              </w:rPr>
              <w:t>11</w:t>
            </w:r>
            <w:r>
              <w:rPr>
                <w:rFonts w:hint="eastAsia" w:ascii="等线" w:hAnsi="等线" w:eastAsia="等线"/>
                <w:color w:val="000000" w:themeColor="text1"/>
                <w:kern w:val="0"/>
                <w:sz w:val="21"/>
                <w:szCs w:val="21"/>
                <w14:textFill>
                  <w14:solidFill>
                    <w14:schemeClr w14:val="tx1"/>
                  </w14:solidFill>
                </w14:textFill>
              </w:rPr>
              <w:t>日</w:t>
            </w:r>
            <w:r>
              <w:rPr>
                <w:rFonts w:ascii="Times New Roman" w:hAnsi="Times New Roman" w:eastAsia="宋体"/>
                <w:color w:val="000000" w:themeColor="text1"/>
                <w:kern w:val="0"/>
                <w:sz w:val="21"/>
                <w:szCs w:val="21"/>
                <w14:textFill>
                  <w14:solidFill>
                    <w14:schemeClr w14:val="tx1"/>
                  </w14:solidFill>
                </w14:textFill>
              </w:rPr>
              <w:t>-8</w:t>
            </w:r>
            <w:r>
              <w:rPr>
                <w:rFonts w:hint="eastAsia" w:ascii="等线" w:hAnsi="等线" w:eastAsia="等线"/>
                <w:color w:val="000000" w:themeColor="text1"/>
                <w:kern w:val="0"/>
                <w:sz w:val="21"/>
                <w:szCs w:val="21"/>
                <w14:textFill>
                  <w14:solidFill>
                    <w14:schemeClr w14:val="tx1"/>
                  </w14:solidFill>
                </w14:textFill>
              </w:rPr>
              <w:t>月</w:t>
            </w:r>
            <w:r>
              <w:rPr>
                <w:rFonts w:ascii="Times New Roman" w:hAnsi="Times New Roman" w:eastAsia="宋体"/>
                <w:color w:val="000000" w:themeColor="text1"/>
                <w:kern w:val="0"/>
                <w:sz w:val="21"/>
                <w:szCs w:val="21"/>
                <w14:textFill>
                  <w14:solidFill>
                    <w14:schemeClr w14:val="tx1"/>
                  </w14:solidFill>
                </w14:textFill>
              </w:rPr>
              <w:t>20</w:t>
            </w:r>
            <w:r>
              <w:rPr>
                <w:rFonts w:hint="eastAsia" w:ascii="等线" w:hAnsi="等线" w:eastAsia="等线"/>
                <w:color w:val="000000" w:themeColor="text1"/>
                <w:kern w:val="0"/>
                <w:sz w:val="21"/>
                <w:szCs w:val="21"/>
                <w14:textFill>
                  <w14:solidFill>
                    <w14:schemeClr w14:val="tx1"/>
                  </w14:solidFill>
                </w14:textFill>
              </w:rPr>
              <w:t>日</w:t>
            </w:r>
          </w:p>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hint="eastAsia" w:ascii="等线" w:hAnsi="等线" w:eastAsia="等线"/>
                <w:color w:val="000000" w:themeColor="text1"/>
                <w:kern w:val="0"/>
                <w:sz w:val="21"/>
                <w:szCs w:val="21"/>
                <w14:textFill>
                  <w14:solidFill>
                    <w14:schemeClr w14:val="tx1"/>
                  </w14:solidFill>
                </w14:textFill>
              </w:rPr>
              <w:t>平均降水量（毫米）</w:t>
            </w:r>
          </w:p>
        </w:tc>
        <w:tc>
          <w:tcPr>
            <w:tcW w:w="2557" w:type="dxa"/>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每亩赔偿金额</w:t>
            </w:r>
          </w:p>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w:t>
            </w:r>
            <w:r>
              <w:rPr>
                <w:rFonts w:ascii="Times New Roman" w:hAnsi="Times New Roman" w:eastAsia="宋体"/>
                <w:color w:val="000000" w:themeColor="text1"/>
                <w:kern w:val="0"/>
                <w:sz w:val="21"/>
                <w:szCs w:val="21"/>
                <w14:textFill>
                  <w14:solidFill>
                    <w14:schemeClr w14:val="tx1"/>
                  </w14:solidFill>
                </w14:textFill>
              </w:rPr>
              <w:t>2000</w:t>
            </w:r>
            <w:r>
              <w:rPr>
                <w:rFonts w:hint="eastAsia" w:ascii="宋体" w:hAnsi="宋体" w:eastAsia="宋体"/>
                <w:color w:val="000000" w:themeColor="text1"/>
                <w:kern w:val="0"/>
                <w:sz w:val="21"/>
                <w:szCs w:val="21"/>
                <w14:textFill>
                  <w14:solidFill>
                    <w14:schemeClr w14:val="tx1"/>
                  </w14:solidFill>
                </w14:textFill>
              </w:rPr>
              <w:t>元保额）</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hint="eastAsia" w:ascii="等线" w:hAnsi="等线" w:eastAsia="等线" w:cs="宋体"/>
                <w:color w:val="000000" w:themeColor="text1"/>
                <w:kern w:val="0"/>
                <w:sz w:val="21"/>
                <w:szCs w:val="21"/>
                <w14:textFill>
                  <w14:solidFill>
                    <w14:schemeClr w14:val="tx1"/>
                  </w14:solidFill>
                </w14:textFill>
              </w:rPr>
              <w:t>＜</w:t>
            </w:r>
            <w:r>
              <w:rPr>
                <w:rFonts w:ascii="Times New Roman" w:hAnsi="Times New Roman" w:eastAsia="等线"/>
                <w:color w:val="000000" w:themeColor="text1"/>
                <w:kern w:val="0"/>
                <w:sz w:val="21"/>
                <w:szCs w:val="21"/>
                <w14:textFill>
                  <w14:solidFill>
                    <w14:schemeClr w14:val="tx1"/>
                  </w14:solidFill>
                </w14:textFill>
              </w:rPr>
              <w:t>10</w:t>
            </w:r>
          </w:p>
        </w:tc>
        <w:tc>
          <w:tcPr>
            <w:tcW w:w="3058" w:type="dxa"/>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hint="eastAsia" w:ascii="等线" w:hAnsi="等线" w:eastAsia="等线" w:cs="宋体"/>
                <w:color w:val="000000" w:themeColor="text1"/>
                <w:kern w:val="0"/>
                <w:sz w:val="21"/>
                <w:szCs w:val="21"/>
                <w14:textFill>
                  <w14:solidFill>
                    <w14:schemeClr w14:val="tx1"/>
                  </w14:solidFill>
                </w14:textFill>
              </w:rPr>
              <w:t>＞</w:t>
            </w:r>
            <w:r>
              <w:rPr>
                <w:rFonts w:ascii="Times New Roman" w:hAnsi="Times New Roman" w:eastAsia="等线"/>
                <w:color w:val="000000" w:themeColor="text1"/>
                <w:kern w:val="0"/>
                <w:sz w:val="21"/>
                <w:szCs w:val="21"/>
                <w14:textFill>
                  <w14:solidFill>
                    <w14:schemeClr w14:val="tx1"/>
                  </w14:solidFill>
                </w14:textFill>
              </w:rPr>
              <w:t>3.0</w:t>
            </w:r>
          </w:p>
        </w:tc>
        <w:tc>
          <w:tcPr>
            <w:tcW w:w="2557"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0</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[10-13]</w:t>
            </w:r>
          </w:p>
        </w:tc>
        <w:tc>
          <w:tcPr>
            <w:tcW w:w="3058" w:type="dxa"/>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[3.0-2.5]</w:t>
            </w:r>
          </w:p>
        </w:tc>
        <w:tc>
          <w:tcPr>
            <w:tcW w:w="2557"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100</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14</w:t>
            </w:r>
          </w:p>
        </w:tc>
        <w:tc>
          <w:tcPr>
            <w:tcW w:w="3058" w:type="dxa"/>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[2.4-2.3]</w:t>
            </w:r>
          </w:p>
        </w:tc>
        <w:tc>
          <w:tcPr>
            <w:tcW w:w="2557"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200</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15</w:t>
            </w:r>
          </w:p>
        </w:tc>
        <w:tc>
          <w:tcPr>
            <w:tcW w:w="3058" w:type="dxa"/>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[2.2-2.1]</w:t>
            </w:r>
          </w:p>
        </w:tc>
        <w:tc>
          <w:tcPr>
            <w:tcW w:w="2557"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300</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16</w:t>
            </w:r>
          </w:p>
        </w:tc>
        <w:tc>
          <w:tcPr>
            <w:tcW w:w="3058" w:type="dxa"/>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[2.0-1.9]</w:t>
            </w:r>
          </w:p>
        </w:tc>
        <w:tc>
          <w:tcPr>
            <w:tcW w:w="2557"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400</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[17-18]</w:t>
            </w:r>
          </w:p>
        </w:tc>
        <w:tc>
          <w:tcPr>
            <w:tcW w:w="3058" w:type="dxa"/>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[1.8-1.7]</w:t>
            </w:r>
          </w:p>
        </w:tc>
        <w:tc>
          <w:tcPr>
            <w:tcW w:w="2557"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500</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[19-20]</w:t>
            </w:r>
          </w:p>
        </w:tc>
        <w:tc>
          <w:tcPr>
            <w:tcW w:w="3058" w:type="dxa"/>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[1.6-1.5]</w:t>
            </w:r>
          </w:p>
        </w:tc>
        <w:tc>
          <w:tcPr>
            <w:tcW w:w="2557"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600</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[21-22]</w:t>
            </w:r>
          </w:p>
        </w:tc>
        <w:tc>
          <w:tcPr>
            <w:tcW w:w="3058" w:type="dxa"/>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[1.4-1.1]</w:t>
            </w:r>
          </w:p>
        </w:tc>
        <w:tc>
          <w:tcPr>
            <w:tcW w:w="2557"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800</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[23-24]</w:t>
            </w:r>
          </w:p>
        </w:tc>
        <w:tc>
          <w:tcPr>
            <w:tcW w:w="3058" w:type="dxa"/>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[1.0-0.9]</w:t>
            </w:r>
          </w:p>
        </w:tc>
        <w:tc>
          <w:tcPr>
            <w:tcW w:w="2557"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1000</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[25-28]</w:t>
            </w:r>
          </w:p>
        </w:tc>
        <w:tc>
          <w:tcPr>
            <w:tcW w:w="3058" w:type="dxa"/>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[0.8-0.6]</w:t>
            </w:r>
          </w:p>
        </w:tc>
        <w:tc>
          <w:tcPr>
            <w:tcW w:w="2557" w:type="dxa"/>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1400</w:t>
            </w:r>
          </w:p>
        </w:tc>
      </w:tr>
      <w:tr>
        <w:tblPrEx>
          <w:tblCellMar>
            <w:top w:w="0" w:type="dxa"/>
            <w:left w:w="108" w:type="dxa"/>
            <w:bottom w:w="0" w:type="dxa"/>
            <w:right w:w="108" w:type="dxa"/>
          </w:tblCellMar>
        </w:tblPrEx>
        <w:trPr>
          <w:trHeight w:val="398"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[29-30]</w:t>
            </w:r>
          </w:p>
        </w:tc>
        <w:tc>
          <w:tcPr>
            <w:tcW w:w="305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[0.5-0.2]</w:t>
            </w:r>
          </w:p>
        </w:tc>
        <w:tc>
          <w:tcPr>
            <w:tcW w:w="255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1700</w:t>
            </w:r>
          </w:p>
        </w:tc>
      </w:tr>
      <w:tr>
        <w:tblPrEx>
          <w:tblCellMar>
            <w:top w:w="0" w:type="dxa"/>
            <w:left w:w="108" w:type="dxa"/>
            <w:bottom w:w="0" w:type="dxa"/>
            <w:right w:w="108" w:type="dxa"/>
          </w:tblCellMar>
        </w:tblPrEx>
        <w:trPr>
          <w:trHeight w:val="446" w:hRule="atLeast"/>
        </w:trPr>
        <w:tc>
          <w:tcPr>
            <w:tcW w:w="3124"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hint="eastAsia" w:ascii="等线" w:hAnsi="等线" w:eastAsia="等线" w:cs="宋体"/>
                <w:color w:val="000000" w:themeColor="text1"/>
                <w:kern w:val="0"/>
                <w:sz w:val="21"/>
                <w:szCs w:val="21"/>
                <w14:textFill>
                  <w14:solidFill>
                    <w14:schemeClr w14:val="tx1"/>
                  </w14:solidFill>
                </w14:textFill>
              </w:rPr>
              <w:t>＞</w:t>
            </w:r>
            <w:r>
              <w:rPr>
                <w:rFonts w:ascii="Times New Roman" w:hAnsi="Times New Roman" w:eastAsia="等线"/>
                <w:color w:val="000000" w:themeColor="text1"/>
                <w:kern w:val="0"/>
                <w:sz w:val="21"/>
                <w:szCs w:val="21"/>
                <w14:textFill>
                  <w14:solidFill>
                    <w14:schemeClr w14:val="tx1"/>
                  </w14:solidFill>
                </w14:textFill>
              </w:rPr>
              <w:t>30</w:t>
            </w:r>
          </w:p>
        </w:tc>
        <w:tc>
          <w:tcPr>
            <w:tcW w:w="305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color w:val="000000" w:themeColor="text1"/>
                <w:sz w:val="24"/>
                <w:szCs w:val="24"/>
                <w14:textFill>
                  <w14:solidFill>
                    <w14:schemeClr w14:val="tx1"/>
                  </w14:solidFill>
                </w14:textFill>
              </w:rPr>
            </w:pPr>
            <w:r>
              <w:rPr>
                <w:rFonts w:hint="eastAsia" w:ascii="等线" w:hAnsi="等线" w:eastAsia="等线" w:cs="宋体"/>
                <w:color w:val="000000" w:themeColor="text1"/>
                <w:kern w:val="0"/>
                <w:sz w:val="21"/>
                <w:szCs w:val="21"/>
                <w14:textFill>
                  <w14:solidFill>
                    <w14:schemeClr w14:val="tx1"/>
                  </w14:solidFill>
                </w14:textFill>
              </w:rPr>
              <w:t>＜</w:t>
            </w:r>
            <w:r>
              <w:rPr>
                <w:rFonts w:ascii="Times New Roman" w:hAnsi="Times New Roman" w:eastAsia="等线"/>
                <w:color w:val="000000" w:themeColor="text1"/>
                <w:kern w:val="0"/>
                <w:sz w:val="21"/>
                <w:szCs w:val="21"/>
                <w14:textFill>
                  <w14:solidFill>
                    <w14:schemeClr w14:val="tx1"/>
                  </w14:solidFill>
                </w14:textFill>
              </w:rPr>
              <w:t>0.2</w:t>
            </w:r>
          </w:p>
        </w:tc>
        <w:tc>
          <w:tcPr>
            <w:tcW w:w="2557" w:type="dxa"/>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2000</w:t>
            </w: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附表备注说明：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 ”为含，如[3.0-2.5]表示保险期间平均降雨量在2.5毫米（含）到3.0毫米（含）之间；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在保险期间内，当发生高温或者干旱时，规定以相应赔付表中≥38℃高温日数或平均降雨量区间对应的赔偿金额作为临时理赔值，在6月1日至10月31日温度≥38℃的天数为19，表中对应600元为每亩临时理赔金额。在7月11日至8月20日平均降雨量为1.0，表中对应的1000元为每亩临时理赔金额，最终理赔时以保险期间结束后挑取各区间的最高一次理赔值1000元作为最终每亩赔偿金额。</w:t>
      </w:r>
    </w:p>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约定测站</w:t>
      </w:r>
    </w:p>
    <w:tbl>
      <w:tblPr>
        <w:tblStyle w:val="10"/>
        <w:tblW w:w="8757" w:type="dxa"/>
        <w:tblInd w:w="113" w:type="dxa"/>
        <w:tblLayout w:type="fixed"/>
        <w:tblCellMar>
          <w:top w:w="0" w:type="dxa"/>
          <w:left w:w="108" w:type="dxa"/>
          <w:bottom w:w="0" w:type="dxa"/>
          <w:right w:w="108" w:type="dxa"/>
        </w:tblCellMar>
      </w:tblPr>
      <w:tblGrid>
        <w:gridCol w:w="1386"/>
        <w:gridCol w:w="1044"/>
        <w:gridCol w:w="1392"/>
        <w:gridCol w:w="2436"/>
        <w:gridCol w:w="2499"/>
      </w:tblGrid>
      <w:tr>
        <w:trPr>
          <w:trHeight w:val="300" w:hRule="atLeast"/>
        </w:trPr>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区站号</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站名</w:t>
            </w:r>
          </w:p>
        </w:tc>
        <w:tc>
          <w:tcPr>
            <w:tcW w:w="13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海拔（米）</w:t>
            </w:r>
          </w:p>
        </w:tc>
        <w:tc>
          <w:tcPr>
            <w:tcW w:w="243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地址</w:t>
            </w:r>
          </w:p>
        </w:tc>
        <w:tc>
          <w:tcPr>
            <w:tcW w:w="249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备份</w:t>
            </w:r>
            <w:r>
              <w:rPr>
                <w:rFonts w:hint="eastAsia" w:ascii="宋体" w:hAnsi="宋体" w:cs="宋体"/>
                <w:color w:val="000000" w:themeColor="text1"/>
                <w:kern w:val="0"/>
                <w:sz w:val="22"/>
                <w:lang w:eastAsia="zh-CN"/>
                <w14:textFill>
                  <w14:solidFill>
                    <w14:schemeClr w14:val="tx1"/>
                  </w14:solidFill>
                </w14:textFill>
              </w:rPr>
              <w:t>站</w:t>
            </w:r>
          </w:p>
        </w:tc>
      </w:tr>
      <w:tr>
        <w:tblPrEx>
          <w:tblCellMar>
            <w:top w:w="0" w:type="dxa"/>
            <w:left w:w="108" w:type="dxa"/>
            <w:bottom w:w="0" w:type="dxa"/>
            <w:right w:w="108" w:type="dxa"/>
          </w:tblCellMar>
        </w:tblPrEx>
        <w:trPr>
          <w:trHeight w:val="318" w:hRule="atLeast"/>
        </w:trPr>
        <w:tc>
          <w:tcPr>
            <w:tcW w:w="138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58550</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诸暨</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39.1</w:t>
            </w:r>
          </w:p>
        </w:tc>
        <w:tc>
          <w:tcPr>
            <w:tcW w:w="2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暨阳街道</w:t>
            </w:r>
          </w:p>
        </w:tc>
        <w:tc>
          <w:tcPr>
            <w:tcW w:w="2499"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K4201</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（六）保险期间及诉讼有效期：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香榧保险期间为自承保之日起至当年10月31日止，具体以保险单载明的起讫时间为准。被保险人向保险人请求赔偿的诉讼时效期间为二年，自其知道或者应当知道保险事故发生之日起计算。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w:t>
      </w:r>
      <w:r>
        <w:rPr>
          <w:rFonts w:hint="eastAsia" w:ascii="楷体_GB2312" w:hAnsi="Times New Roman" w:eastAsia="楷体_GB2312" w:cs="楷体_GB2312"/>
          <w:color w:val="000000"/>
          <w:kern w:val="2"/>
          <w:sz w:val="32"/>
          <w:szCs w:val="32"/>
          <w:lang w:val="en-US" w:eastAsia="zh-CN" w:bidi="ar"/>
        </w:rPr>
        <w:t>承保公司：</w:t>
      </w:r>
      <w:r>
        <w:rPr>
          <w:rFonts w:hint="eastAsia" w:ascii="仿宋_GB2312" w:hAnsi="Times New Roman" w:eastAsia="仿宋_GB2312" w:cs="仿宋_GB2312"/>
          <w:color w:val="000000"/>
          <w:kern w:val="2"/>
          <w:sz w:val="32"/>
          <w:szCs w:val="32"/>
          <w:lang w:val="en-US" w:eastAsia="zh-CN" w:bidi="ar"/>
        </w:rPr>
        <w:t>通过招投标方式确定承保公司，具体保险条款按备案条款为准。</w:t>
      </w:r>
    </w:p>
    <w:p>
      <w:pP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br w:type="page"/>
      </w:r>
    </w:p>
    <w:p>
      <w:pPr>
        <w:keepNext w:val="0"/>
        <w:keepLines w:val="0"/>
        <w:widowControl w:val="0"/>
        <w:suppressLineNumbers w:val="0"/>
        <w:adjustRightInd/>
        <w:spacing w:before="0" w:beforeAutospacing="0" w:after="0" w:afterAutospacing="0" w:line="240" w:lineRule="auto"/>
        <w:ind w:left="0" w:right="0"/>
        <w:jc w:val="cente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t>诸暨市香榧古树保险试点方案</w:t>
      </w:r>
    </w:p>
    <w:p>
      <w:pPr>
        <w:rPr>
          <w:rFonts w:hint="eastAsia"/>
          <w:color w:val="000000" w:themeColor="text1"/>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为贯彻落实《浙江省人民政府办公厅关于加快农业保险高质量发展的实施意见》（浙政办发〔2021〕47号）精神，扶持我市香榧特色产业发展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，提高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香榧古树</w:t>
      </w:r>
      <w:r>
        <w:rPr>
          <w:rFonts w:hint="eastAsia" w:ascii="仿宋_GB2312" w:hAnsi="仿宋_GB2312" w:eastAsia="仿宋_GB2312" w:cs="仿宋_GB2312"/>
          <w:color w:val="000000" w:themeColor="text1"/>
          <w:sz w:val="32"/>
          <w:szCs w:val="32"/>
          <w:lang w:eastAsia="zh-CN"/>
          <w14:textFill>
            <w14:solidFill>
              <w14:schemeClr w14:val="tx1"/>
            </w14:solidFill>
          </w14:textFill>
        </w:rPr>
        <w:t>抗风险能力，保障地方特色农产品供应，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制订诸暨市香榧古树保险试点方案。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一、工作</w:t>
      </w:r>
      <w:r>
        <w:rPr>
          <w:rFonts w:hint="eastAsia" w:ascii="黑体" w:hAnsi="黑体" w:eastAsia="黑体" w:cs="黑体"/>
          <w:color w:val="000000" w:themeColor="text1"/>
          <w:sz w:val="32"/>
          <w:szCs w:val="32"/>
          <w:lang w:eastAsia="zh-CN"/>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按照“政府引导、市场运作、农民自愿”的原则，加大政策扶持力度，提高香榧古树管养过程中抗风险的能力，建立香榧古树风险防控体系，积极扶持香榧特色产业发展。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二、参保方案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（一）参保对象：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同时符合下列条件的香榧古树可作为本保险合同的保险标的（以下统称“保险古榧”），可进行投保：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1.树势总体良好、投保时无明显寄生性毁灭性病虫害；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2.已由省级或市（县）级人民政府古树名木主管部门认定和公布，且有养护责任人进行日常养护的；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3.依据古树名木管理部门分级保护规定,对香榧古树共分一、二、三级进行保护的。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（二）保险金额：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香榧古树树龄300年（含）以上为50000元/株，费率1%。诸暨市财政保费补贴比例90%，农户自负10%。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（三）保险责任范围：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在保险期间内，由于下列原因直接造成保险古榧的流失、掩埋、死亡、主干折断、翻蔸、倒伏、倾斜、断梢等无法正常生长情况，保险人按照本保险合同的约定负责赔偿：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2.雷击、暴雨、洪水（政府行蓄洪除外）、风灾、雹灾、冻灾、旱灾、暴雪、雨（雪）凇、地震；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3.泥石流、山体滑坡；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4.空中飞行物体坠落；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（四）投保流程：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1.香榧古树的承保数量按照实际种植情况确定，保险公司会同各镇乡街道或村级协保员开展现场验标，并提供相关证明，验标确定后的参保清册在村务公开栏公示3天以上。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2.经查验、公示后符合要求的种植主体，保险公司向投保人收取自缴部分的保险费、出具保险单和保费发票。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（五）赔偿处理：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1.发生保险事故时，被保险人应积极开展防灾救灾，减少灾害损失，并及时报告保险公司进行定损赔付。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2.承保公司接到灾害报告后应及时到达现场进行核查，按保单约定进行赔付，如无法确定全部损失情况的，及时约定进行二次定损。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3.保险公司理赔清单，应在村公示栏中进行不少于7天的公示，如对公示有疑义的，可以向保险公司反应情况，保险公司将对反映的情况进行调查核实，并做出相应的处理。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（六）保险期间及诉讼有效期：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香榧古树保险期间为一年，具体以保险单载明的起讫时间为准。被保险人向保险人请求赔偿的诉讼时效期间为二年，自其知道或者应当知道保险事故发生之日起计算。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w:t>
      </w:r>
      <w:r>
        <w:rPr>
          <w:rFonts w:hint="eastAsia" w:ascii="楷体_GB2312" w:hAnsi="Times New Roman" w:eastAsia="楷体_GB2312" w:cs="楷体_GB2312"/>
          <w:color w:val="000000"/>
          <w:kern w:val="2"/>
          <w:sz w:val="32"/>
          <w:szCs w:val="32"/>
          <w:lang w:val="en-US" w:eastAsia="zh-CN" w:bidi="ar"/>
        </w:rPr>
        <w:t>承保公司：</w:t>
      </w:r>
      <w:r>
        <w:rPr>
          <w:rFonts w:hint="eastAsia" w:ascii="仿宋_GB2312" w:hAnsi="Times New Roman" w:eastAsia="仿宋_GB2312" w:cs="仿宋_GB2312"/>
          <w:color w:val="000000"/>
          <w:kern w:val="2"/>
          <w:sz w:val="32"/>
          <w:szCs w:val="32"/>
          <w:lang w:val="en-US" w:eastAsia="zh-CN" w:bidi="ar"/>
        </w:rPr>
        <w:t>通过招投标方式确定承保公司，具体保险条款按备案条款为准。</w:t>
      </w:r>
    </w:p>
    <w:p>
      <w:pP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lang w:val="en-US" w:eastAsia="zh-CN"/>
        </w:rPr>
        <w:br w:type="page"/>
      </w:r>
    </w:p>
    <w:p>
      <w:pPr>
        <w:keepNext w:val="0"/>
        <w:keepLines w:val="0"/>
        <w:widowControl w:val="0"/>
        <w:suppressLineNumbers w:val="0"/>
        <w:adjustRightInd/>
        <w:spacing w:before="0" w:beforeAutospacing="0" w:after="0" w:afterAutospacing="0" w:line="240" w:lineRule="auto"/>
        <w:ind w:left="0" w:right="0"/>
        <w:jc w:val="cente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t>诸暨市农机具综合保险试点方案</w:t>
      </w:r>
    </w:p>
    <w:p>
      <w:pPr>
        <w:rPr>
          <w:rFonts w:hint="eastAsia"/>
          <w:color w:val="000000" w:themeColor="text1"/>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为贯彻落实《浙江省人民政府办公厅关于加快农业保险高质量发展的实施意见》（浙政办发〔2021〕47号）精神，推动我市农机政策性保险的应用推广，特制订诸暨市农机具综合保险试点方案。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一、工作</w:t>
      </w:r>
      <w:r>
        <w:rPr>
          <w:rFonts w:hint="eastAsia" w:ascii="黑体" w:hAnsi="黑体" w:eastAsia="黑体" w:cs="黑体"/>
          <w:color w:val="000000" w:themeColor="text1"/>
          <w:sz w:val="32"/>
          <w:szCs w:val="32"/>
          <w:lang w:eastAsia="zh-CN"/>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按照“政府引导、市场运作、农民自愿”的原则，切实抓好农业经济目标和主要农产品稳产保供，加快农业农村现代化先行，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实施机械强农。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二、参保方案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（一）保险对象：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诸暨市范围内农业性质使用7KW（包含）以上纯农田作业拖拉机、联合收割机、插秧机、烘干机、轨道运输机、植保机、植保无人机）及其它纯农田作业机械。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（二）保险方案：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诸暨市财政保费补贴比例80%，农户自负20%。</w:t>
      </w:r>
    </w:p>
    <w:tbl>
      <w:tblPr>
        <w:tblStyle w:val="10"/>
        <w:tblW w:w="9986" w:type="dxa"/>
        <w:jc w:val="center"/>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Layout w:type="fixed"/>
        <w:tblCellMar>
          <w:top w:w="0" w:type="dxa"/>
          <w:left w:w="108" w:type="dxa"/>
          <w:bottom w:w="0" w:type="dxa"/>
          <w:right w:w="108" w:type="dxa"/>
        </w:tblCellMar>
      </w:tblPr>
      <w:tblGrid>
        <w:gridCol w:w="2514"/>
        <w:gridCol w:w="1761"/>
        <w:gridCol w:w="2675"/>
        <w:gridCol w:w="1518"/>
        <w:gridCol w:w="1518"/>
      </w:tblGrid>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635" w:hRule="atLeast"/>
          <w:jc w:val="center"/>
        </w:trPr>
        <w:tc>
          <w:tcPr>
            <w:tcW w:w="2514"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 xml:space="preserve">    机型种类</w:t>
            </w:r>
          </w:p>
        </w:tc>
        <w:tc>
          <w:tcPr>
            <w:tcW w:w="17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农业机械损失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保险1</w:t>
            </w:r>
          </w:p>
        </w:tc>
        <w:tc>
          <w:tcPr>
            <w:tcW w:w="267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驾驶操作和随机辅助作业人员责任保险2</w:t>
            </w:r>
          </w:p>
        </w:tc>
        <w:tc>
          <w:tcPr>
            <w:tcW w:w="15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第三者责任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保险3</w:t>
            </w:r>
          </w:p>
        </w:tc>
        <w:tc>
          <w:tcPr>
            <w:tcW w:w="151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0"/>
                <w:szCs w:val="20"/>
                <w:highlight w:val="none"/>
                <w:u w:val="none"/>
                <w:lang w:val="en-US" w:eastAsia="zh-CN" w:bidi="ar"/>
                <w14:textFill>
                  <w14:solidFill>
                    <w14:schemeClr w14:val="tx1"/>
                  </w14:solidFill>
                </w14:textFill>
              </w:rPr>
              <w:t>保费（元）</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634" w:hRule="atLeast"/>
          <w:jc w:val="center"/>
        </w:trPr>
        <w:tc>
          <w:tcPr>
            <w:tcW w:w="2514" w:type="dxa"/>
            <w:vMerge w:val="continue"/>
            <w:tcBorders>
              <w:tl2br w:val="nil"/>
              <w:tr2bl w:val="nil"/>
            </w:tcBorders>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17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保险金额</w:t>
            </w:r>
          </w:p>
        </w:tc>
        <w:tc>
          <w:tcPr>
            <w:tcW w:w="267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保险金额（元）</w:t>
            </w:r>
          </w:p>
        </w:tc>
        <w:tc>
          <w:tcPr>
            <w:tcW w:w="15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保险金额（元）</w:t>
            </w:r>
          </w:p>
        </w:tc>
        <w:tc>
          <w:tcPr>
            <w:tcW w:w="151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28" w:hRule="atLeast"/>
          <w:jc w:val="center"/>
        </w:trPr>
        <w:tc>
          <w:tcPr>
            <w:tcW w:w="25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农用型拖拉机（＜14.7kw）</w:t>
            </w:r>
          </w:p>
        </w:tc>
        <w:tc>
          <w:tcPr>
            <w:tcW w:w="17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3万元</w:t>
            </w:r>
          </w:p>
        </w:tc>
        <w:tc>
          <w:tcPr>
            <w:tcW w:w="267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死亡伤残20万，医疗费用2万</w:t>
            </w:r>
          </w:p>
        </w:tc>
        <w:tc>
          <w:tcPr>
            <w:tcW w:w="151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死亡伤残20万，医疗费用2万，财产损失2万</w:t>
            </w:r>
          </w:p>
        </w:tc>
        <w:tc>
          <w:tcPr>
            <w:tcW w:w="15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784</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25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履带自走式耕作机                履带自走式打捆机            自走式喷杆喷雾机            农用型拖拉机（≥14.7kw）</w:t>
            </w:r>
          </w:p>
        </w:tc>
        <w:tc>
          <w:tcPr>
            <w:tcW w:w="17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7.5万元</w:t>
            </w:r>
          </w:p>
        </w:tc>
        <w:tc>
          <w:tcPr>
            <w:tcW w:w="26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856</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28" w:hRule="atLeast"/>
          <w:jc w:val="center"/>
        </w:trPr>
        <w:tc>
          <w:tcPr>
            <w:tcW w:w="25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联合收割机（全喂入）</w:t>
            </w:r>
          </w:p>
        </w:tc>
        <w:tc>
          <w:tcPr>
            <w:tcW w:w="17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6万元</w:t>
            </w:r>
          </w:p>
        </w:tc>
        <w:tc>
          <w:tcPr>
            <w:tcW w:w="26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832</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164" w:hRule="atLeast"/>
          <w:jc w:val="center"/>
        </w:trPr>
        <w:tc>
          <w:tcPr>
            <w:tcW w:w="25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联合收割机（半喂入）</w:t>
            </w:r>
          </w:p>
        </w:tc>
        <w:tc>
          <w:tcPr>
            <w:tcW w:w="17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13万元</w:t>
            </w:r>
          </w:p>
        </w:tc>
        <w:tc>
          <w:tcPr>
            <w:tcW w:w="26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944</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314" w:hRule="atLeast"/>
          <w:jc w:val="center"/>
        </w:trPr>
        <w:tc>
          <w:tcPr>
            <w:tcW w:w="25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插秧机(四轮乘坐式）</w:t>
            </w:r>
          </w:p>
        </w:tc>
        <w:tc>
          <w:tcPr>
            <w:tcW w:w="17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8万元</w:t>
            </w:r>
          </w:p>
        </w:tc>
        <w:tc>
          <w:tcPr>
            <w:tcW w:w="26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864</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5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烘干机</w:t>
            </w:r>
          </w:p>
        </w:tc>
        <w:tc>
          <w:tcPr>
            <w:tcW w:w="17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13万</w:t>
            </w:r>
          </w:p>
        </w:tc>
        <w:tc>
          <w:tcPr>
            <w:tcW w:w="26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15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560</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424" w:hRule="atLeast"/>
          <w:jc w:val="center"/>
        </w:trPr>
        <w:tc>
          <w:tcPr>
            <w:tcW w:w="25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其它机械                  </w:t>
            </w:r>
          </w:p>
        </w:tc>
        <w:tc>
          <w:tcPr>
            <w:tcW w:w="1761" w:type="dxa"/>
            <w:tcBorders>
              <w:tl2br w:val="nil"/>
              <w:tr2bl w:val="nil"/>
            </w:tcBorders>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6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5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死亡伤残20万，医疗费用2万，财产损失2万</w:t>
            </w:r>
          </w:p>
        </w:tc>
        <w:tc>
          <w:tcPr>
            <w:tcW w:w="15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736</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8" w:space="0"/>
          </w:tblBorders>
          <w:tblCellMar>
            <w:top w:w="0" w:type="dxa"/>
            <w:left w:w="108" w:type="dxa"/>
            <w:bottom w:w="0" w:type="dxa"/>
            <w:right w:w="108" w:type="dxa"/>
          </w:tblCellMar>
        </w:tblPrEx>
        <w:trPr>
          <w:trHeight w:val="186" w:hRule="atLeast"/>
          <w:jc w:val="center"/>
        </w:trPr>
        <w:tc>
          <w:tcPr>
            <w:tcW w:w="8468"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拖拉机、联合收割机需提供车架号和发动机号，其他农业机械需提供可识别的唯一性编号。</w:t>
            </w:r>
          </w:p>
        </w:tc>
        <w:tc>
          <w:tcPr>
            <w:tcW w:w="15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（三）保险责任范围：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在保险期间内，由于下列原因造成保险标的的损失，保险人按照本保险合同的约定负责赔偿：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①火灾、爆炸；</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②暴雪；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③突发性滑坡、崩塌、泥石流、地面突然下陷下沉；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④飞行物体及其他空中运行物体坠落；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⑤碰撞、倾覆。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⑥被保险人或其允许的操作人员在使用保险标的过程中由于发生主险保险事故，致使第三者遭受人身伤亡或财产损失，依法应当由被保险人承担的经济赔偿责任，保险人依据本附加险合同的约定负责赔偿。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⑦被保险人允许的操作人员在使用保险标的过程中，因发生主险保险事故造成机上人员 （保险事故发生时在保险标的上的自然人）人身伤亡的，依法应当由被保险人承担的经济赔偿责任，保险人依据本附加险合同的约定负责赔偿。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（四）投保流程：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1.农机具综合保险按机械机型种类投保，拖拉机、联合收割机需提供车架号和发动机号，其他农业机械需提供可识别的唯一性编号。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2.经查验符合要求的机械，保险公司向投保人收取自缴部分的保险费、出具保险单和保费发票。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（五）赔偿处理：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保险标的发生保险责任范围内的损失，保险人有权选择下列方式赔偿：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① 货币赔偿：保险人以支付保险金的方式赔偿；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②实物赔偿：保险人以实物替换受损标的，该实物应具有保险标的出险前同等的类型、结构、状态和性能，或更好的状态、性能；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③实际修复：保险人自行或委托他人修理修复受损标的。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④涉及人员伤亡的，被保险人除提供主险中要求提供的相关索赔资料外，还应当提供发生事故时操作员的有效操作证件、人身伤残程度或死亡证明等资料。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（六）保险期间及诉讼有效期：</w:t>
      </w: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农机具综合保险保险期间为一年，具体以保险单载明的起讫时间为准。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被保险人向保险人请求赔偿的诉讼时效期间为二年，自其知道或者应当知道保险事故发生之日起计算。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w:t>
      </w:r>
      <w:r>
        <w:rPr>
          <w:rFonts w:hint="eastAsia" w:ascii="楷体_GB2312" w:hAnsi="Times New Roman" w:eastAsia="楷体_GB2312" w:cs="楷体_GB2312"/>
          <w:color w:val="000000"/>
          <w:kern w:val="2"/>
          <w:sz w:val="32"/>
          <w:szCs w:val="32"/>
          <w:lang w:val="en-US" w:eastAsia="zh-CN" w:bidi="ar"/>
        </w:rPr>
        <w:t>承保公司：</w:t>
      </w:r>
      <w:r>
        <w:rPr>
          <w:rFonts w:hint="eastAsia" w:ascii="仿宋_GB2312" w:hAnsi="Times New Roman" w:eastAsia="仿宋_GB2312" w:cs="仿宋_GB2312"/>
          <w:color w:val="000000"/>
          <w:kern w:val="2"/>
          <w:sz w:val="32"/>
          <w:szCs w:val="32"/>
          <w:lang w:val="en-US" w:eastAsia="zh-CN" w:bidi="ar"/>
        </w:rPr>
        <w:t>通过招投标方式确定承保公司，具体保险条款按备案条款为准。</w:t>
      </w:r>
    </w:p>
    <w:p/>
    <w:sectPr>
      <w:footerReference r:id="rId3" w:type="default"/>
      <w:pgSz w:w="11906" w:h="16838"/>
      <w:pgMar w:top="2211" w:right="1417" w:bottom="198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AA38E"/>
    <w:multiLevelType w:val="multilevel"/>
    <w:tmpl w:val="37AAA38E"/>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N2MwNTgxNGRiZTRkNzM0ZGRkOWRhMzE5ZmViNmMifQ=="/>
  </w:docVars>
  <w:rsids>
    <w:rsidRoot w:val="3AD51809"/>
    <w:rsid w:val="0E287049"/>
    <w:rsid w:val="103839CD"/>
    <w:rsid w:val="12CB6A65"/>
    <w:rsid w:val="142B32F2"/>
    <w:rsid w:val="18C104D4"/>
    <w:rsid w:val="19850647"/>
    <w:rsid w:val="22C14749"/>
    <w:rsid w:val="29662385"/>
    <w:rsid w:val="2A9155CA"/>
    <w:rsid w:val="2AE461B8"/>
    <w:rsid w:val="30FB3316"/>
    <w:rsid w:val="33733B87"/>
    <w:rsid w:val="3AD51809"/>
    <w:rsid w:val="45184B04"/>
    <w:rsid w:val="5FCD6DDA"/>
    <w:rsid w:val="682B29A6"/>
    <w:rsid w:val="6ED4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0"/>
    <w:pPr>
      <w:keepNext/>
      <w:keepLines/>
      <w:numPr>
        <w:ilvl w:val="0"/>
        <w:numId w:val="1"/>
      </w:numPr>
      <w:spacing w:beforeLines="0" w:beforeAutospacing="0" w:afterLines="0" w:afterAutospacing="0" w:line="240" w:lineRule="auto"/>
      <w:ind w:left="0" w:leftChars="0"/>
      <w:jc w:val="left"/>
      <w:outlineLvl w:val="0"/>
    </w:pPr>
    <w:rPr>
      <w:rFonts w:ascii="Arial" w:hAnsi="Arial" w:eastAsia="仿宋_GB2312" w:cs="Times New Roman"/>
      <w:kern w:val="44"/>
    </w:rPr>
  </w:style>
  <w:style w:type="character" w:default="1" w:styleId="11">
    <w:name w:val="Default Paragraph Font"/>
    <w:semiHidden/>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rPr>
  </w:style>
  <w:style w:type="paragraph" w:styleId="4">
    <w:name w:val="Body Text Indent"/>
    <w:basedOn w:val="1"/>
    <w:qFormat/>
    <w:uiPriority w:val="0"/>
    <w:pPr>
      <w:spacing w:after="120"/>
      <w:ind w:left="420" w:leftChars="200"/>
    </w:pPr>
    <w:rPr>
      <w:rFonts w:ascii="Times New Roman" w:hAnsi="Times New Roman" w:eastAsia="宋体" w:cs="Times New Roman"/>
      <w:kern w:val="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0"/>
    <w:pPr>
      <w:ind w:left="200" w:leftChars="200" w:hanging="200" w:hangingChars="200"/>
    </w:pPr>
    <w:rPr>
      <w:rFonts w:ascii="Times New Roman" w:hAnsi="Times New Roman"/>
    </w:rPr>
  </w:style>
  <w:style w:type="paragraph" w:styleId="8">
    <w:name w:val="Normal (Web)"/>
    <w:basedOn w:val="1"/>
    <w:qFormat/>
    <w:uiPriority w:val="0"/>
    <w:rPr>
      <w:sz w:val="24"/>
    </w:rPr>
  </w:style>
  <w:style w:type="paragraph" w:styleId="9">
    <w:name w:val="Body Text First Indent 2"/>
    <w:basedOn w:val="4"/>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character" w:customStyle="1" w:styleId="12">
    <w:name w:val="标题 1 Char"/>
    <w:basedOn w:val="11"/>
    <w:link w:val="3"/>
    <w:qFormat/>
    <w:uiPriority w:val="0"/>
    <w:rPr>
      <w:rFonts w:hint="default" w:ascii="Times New Roman" w:hAnsi="Times New Roman" w:eastAsia="方正小标宋简体" w:cs="Times New Roman"/>
      <w:kern w:val="44"/>
      <w:sz w:val="40"/>
      <w:szCs w:val="40"/>
    </w:rPr>
  </w:style>
  <w:style w:type="character" w:customStyle="1" w:styleId="13">
    <w:name w:val="纯文本 Char"/>
    <w:basedOn w:val="11"/>
    <w:link w:val="2"/>
    <w:qFormat/>
    <w:uiPriority w:val="0"/>
    <w:rPr>
      <w:rFonts w:hint="eastAsia"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5975</Words>
  <Characters>6418</Characters>
  <Lines>0</Lines>
  <Paragraphs>0</Paragraphs>
  <TotalTime>17</TotalTime>
  <ScaleCrop>false</ScaleCrop>
  <LinksUpToDate>false</LinksUpToDate>
  <CharactersWithSpaces>6527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2024-01-08T12:00:00Z</dcterms:created>
  <dc:creator>Administrator</dc:creator>
  <cp:lastModifiedBy>Administrator</cp:lastModifiedBy>
  <dcterms:modified xsi:type="dcterms:W3CDTF">2025-02-13T00:56:11Z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295BA12367E74B85B25552D657828705_13</vt:lpwstr>
  </property>
  <property fmtid="{D5CDD505-2E9C-101B-9397-08002B2CF9AE}" pid="4" name="KSOTemplateDocerSaveRecord">
    <vt:lpwstr>eyJoZGlkIjoiYWZmN2MwNTgxNGRiZTRkNzM0ZGRkOWRhMzE5ZmViNmMiLCJ1c2VySWQiOiI2MTM3Njc2MzEifQ==</vt:lpwstr>
  </property>
</Properties>
</file>