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right="0" w:rightChars="0"/>
        <w:jc w:val="right"/>
        <w:textAlignment w:val="auto"/>
        <w:outlineLvl w:val="9"/>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righ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 w:cs="Times New Roman"/>
          <w:i w:val="0"/>
          <w:caps w:val="0"/>
          <w:color w:val="000000"/>
          <w:spacing w:val="0"/>
          <w:sz w:val="32"/>
          <w:szCs w:val="32"/>
          <w:shd w:val="clear" w:color="auto" w:fill="F7F7F7"/>
        </w:rPr>
        <w:t>ZJSP12-20</w:t>
      </w:r>
      <w:r>
        <w:rPr>
          <w:rFonts w:hint="default" w:ascii="Times New Roman" w:hAnsi="Times New Roman" w:eastAsia="仿宋" w:cs="Times New Roman"/>
          <w:i w:val="0"/>
          <w:caps w:val="0"/>
          <w:color w:val="000000"/>
          <w:spacing w:val="0"/>
          <w:sz w:val="32"/>
          <w:szCs w:val="32"/>
          <w:shd w:val="clear" w:color="auto" w:fill="F7F7F7"/>
          <w:lang w:val="en-US" w:eastAsia="zh-CN"/>
        </w:rPr>
        <w:t>24</w:t>
      </w:r>
      <w:r>
        <w:rPr>
          <w:rFonts w:hint="default" w:ascii="Times New Roman" w:hAnsi="Times New Roman" w:eastAsia="仿宋" w:cs="Times New Roman"/>
          <w:i w:val="0"/>
          <w:caps w:val="0"/>
          <w:color w:val="000000"/>
          <w:spacing w:val="0"/>
          <w:sz w:val="32"/>
          <w:szCs w:val="32"/>
          <w:shd w:val="clear" w:color="auto" w:fill="F7F7F7"/>
        </w:rPr>
        <w:t>-00</w:t>
      </w:r>
      <w:r>
        <w:rPr>
          <w:rFonts w:hint="default" w:ascii="Times New Roman" w:hAnsi="Times New Roman" w:eastAsia="仿宋" w:cs="Times New Roman"/>
          <w:i w:val="0"/>
          <w:caps w:val="0"/>
          <w:color w:val="000000"/>
          <w:spacing w:val="0"/>
          <w:sz w:val="32"/>
          <w:szCs w:val="32"/>
          <w:shd w:val="clear" w:color="auto" w:fill="F7F7F7"/>
          <w:lang w:val="en-US" w:eastAsia="zh-CN"/>
        </w:rPr>
        <w:t>08</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黑体" w:eastAsia="黑体"/>
          <w:sz w:val="32"/>
          <w:lang w:eastAsia="zh-CN"/>
        </w:rPr>
      </w:pPr>
      <w:bookmarkStart w:id="0" w:name="urgentLevel"/>
      <w:r>
        <w:rPr>
          <w:rFonts w:hint="eastAsia" w:ascii="黑体" w:eastAsia="黑体"/>
          <w:sz w:val="32"/>
          <w:lang w:eastAsia="zh-CN"/>
        </w:rPr>
        <w:t>加  急</w:t>
      </w:r>
      <w:bookmarkEnd w:id="0"/>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2" w:right="0" w:rightChars="0" w:firstLine="2"/>
        <w:jc w:val="both"/>
        <w:textAlignment w:val="auto"/>
        <w:outlineLvl w:val="9"/>
        <w:rPr>
          <w:rFonts w:hint="eastAsia" w:ascii="黑体" w:eastAsia="黑体"/>
          <w:sz w:val="32"/>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2" w:right="0" w:rightChars="0" w:firstLine="2"/>
        <w:jc w:val="both"/>
        <w:textAlignment w:val="auto"/>
        <w:outlineLvl w:val="9"/>
        <w:rPr>
          <w:rFonts w:hint="eastAsia" w:ascii="黑体" w:eastAsia="黑体"/>
          <w:sz w:val="32"/>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right="0" w:rightChars="0" w:firstLine="0"/>
        <w:jc w:val="both"/>
        <w:textAlignment w:val="auto"/>
        <w:outlineLvl w:val="9"/>
        <w:rPr>
          <w:rFonts w:hint="eastAsia" w:ascii="黑体" w:eastAsia="黑体"/>
          <w:sz w:val="32"/>
        </w:rPr>
      </w:pPr>
    </w:p>
    <w:tbl>
      <w:tblPr>
        <w:tblStyle w:val="6"/>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9"/>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jc w:val="center"/>
          <w:hidden/>
        </w:trPr>
        <w:tc>
          <w:tcPr>
            <w:tcW w:w="6879" w:type="dxa"/>
            <w:noWrap w:val="0"/>
            <w:tcFitText/>
            <w:vAlign w:val="top"/>
          </w:tcPr>
          <w:p>
            <w:pPr>
              <w:spacing w:beforeLines="0" w:afterLines="0" w:line="600" w:lineRule="exact"/>
              <w:jc w:val="distribute"/>
              <w:rPr>
                <w:rFonts w:hint="eastAsia" w:ascii="方正小标宋简体" w:eastAsia="方正小标宋简体"/>
                <w:vanish w:val="0"/>
                <w:color w:val="FF0000"/>
                <w:sz w:val="44"/>
                <w:szCs w:val="44"/>
                <w:lang w:eastAsia="zh-CN"/>
              </w:rPr>
            </w:pPr>
            <w:bookmarkStart w:id="1" w:name="markhead"/>
            <w:r>
              <w:rPr>
                <w:rFonts w:hint="eastAsia" w:ascii="方正小标宋简体" w:eastAsia="方正小标宋简体"/>
                <w:vanish w:val="0"/>
                <w:color w:val="FF0000"/>
                <w:sz w:val="44"/>
                <w:szCs w:val="44"/>
                <w:lang w:eastAsia="zh-CN"/>
              </w:rPr>
              <w:t>浙江省财政厅</w:t>
            </w:r>
          </w:p>
          <w:p>
            <w:pPr>
              <w:spacing w:beforeLines="0" w:afterLines="0" w:line="600" w:lineRule="exact"/>
              <w:jc w:val="distribute"/>
              <w:rPr>
                <w:rFonts w:hint="eastAsia" w:ascii="方正小标宋简体" w:eastAsia="方正小标宋简体"/>
                <w:vanish w:val="0"/>
                <w:color w:val="FF0000"/>
                <w:sz w:val="44"/>
                <w:szCs w:val="44"/>
                <w:lang w:eastAsia="zh-CN"/>
              </w:rPr>
            </w:pPr>
            <w:r>
              <w:rPr>
                <w:rFonts w:hint="eastAsia" w:ascii="方正小标宋简体" w:eastAsia="方正小标宋简体"/>
                <w:vanish w:val="0"/>
                <w:color w:val="FF0000"/>
                <w:sz w:val="44"/>
                <w:szCs w:val="44"/>
                <w:lang w:eastAsia="zh-CN"/>
              </w:rPr>
              <w:t>浙江省住房和城乡建设厅</w:t>
            </w:r>
            <w:bookmarkEnd w:id="1"/>
          </w:p>
        </w:tc>
        <w:tc>
          <w:tcPr>
            <w:tcW w:w="1965" w:type="dxa"/>
            <w:noWrap w:val="0"/>
            <w:tcFitText/>
            <w:vAlign w:val="center"/>
          </w:tcPr>
          <w:p>
            <w:pPr>
              <w:spacing w:beforeLines="0" w:afterLines="0" w:line="600" w:lineRule="exact"/>
              <w:jc w:val="distribute"/>
              <w:rPr>
                <w:rFonts w:hint="eastAsia" w:ascii="方正小标宋简体" w:eastAsia="方正小标宋简体"/>
                <w:vanish w:val="0"/>
                <w:color w:val="FF0000"/>
                <w:sz w:val="44"/>
                <w:szCs w:val="44"/>
                <w:lang w:eastAsia="zh-CN"/>
              </w:rPr>
            </w:pPr>
            <w:bookmarkStart w:id="2" w:name="fileType"/>
            <w:r>
              <w:rPr>
                <w:rFonts w:hint="eastAsia" w:ascii="方正小标宋简体" w:eastAsia="方正小标宋简体"/>
                <w:vanish w:val="0"/>
                <w:color w:val="FF0000"/>
                <w:sz w:val="44"/>
                <w:szCs w:val="44"/>
                <w:lang w:eastAsia="zh-CN"/>
              </w:rPr>
              <w:t>文件</w:t>
            </w:r>
            <w:bookmarkEnd w:id="2"/>
          </w:p>
        </w:tc>
      </w:tr>
    </w:tbl>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0" w:firstLineChars="0"/>
        <w:jc w:val="both"/>
        <w:textAlignment w:val="auto"/>
        <w:outlineLvl w:val="9"/>
        <w:rPr>
          <w:rFonts w:hint="eastAsia" w:ascii="仿宋_GB2312" w:eastAsia="仿宋_GB2312"/>
        </w:rPr>
      </w:pPr>
    </w:p>
    <w:p>
      <w:pPr>
        <w:spacing w:beforeLines="0" w:afterLines="0" w:line="600" w:lineRule="exact"/>
        <w:jc w:val="center"/>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浙财综〔2024〕9号</w:t>
      </w:r>
    </w:p>
    <w:p>
      <w:pPr>
        <w:spacing w:beforeLines="0" w:afterLines="0" w:line="600" w:lineRule="exact"/>
        <w:rPr>
          <w:rFonts w:hint="eastAsia" w:ascii="仿宋_GB2312" w:eastAsia="仿宋_GB2312"/>
          <w:vanish w:val="0"/>
          <w:szCs w:val="21"/>
        </w:rPr>
      </w:pPr>
    </w:p>
    <w:p>
      <w:pPr>
        <w:snapToGrid w:val="0"/>
        <w:spacing w:beforeLines="0" w:afterLines="0" w:line="600" w:lineRule="exact"/>
        <w:jc w:val="center"/>
        <w:rPr>
          <w:rFonts w:hint="eastAsia" w:ascii="方正小标宋简体" w:eastAsia="方正小标宋简体"/>
          <w:sz w:val="44"/>
          <w:szCs w:val="21"/>
        </w:rPr>
      </w:pPr>
    </w:p>
    <w:p>
      <w:pPr>
        <w:snapToGrid w:val="0"/>
        <w:spacing w:beforeLines="0" w:afterLines="0" w:line="600" w:lineRule="exact"/>
        <w:jc w:val="center"/>
        <w:rPr>
          <w:rFonts w:hint="eastAsia" w:ascii="方正小标宋简体" w:eastAsia="方正小标宋简体"/>
          <w:sz w:val="44"/>
          <w:lang w:eastAsia="zh-CN"/>
        </w:rPr>
      </w:pPr>
      <w:bookmarkStart w:id="3" w:name="hallSendFileTitle"/>
      <w:r>
        <w:rPr>
          <w:rFonts w:hint="eastAsia" w:ascii="方正小标宋简体" w:eastAsia="方正小标宋简体"/>
          <w:sz w:val="44"/>
          <w:lang w:eastAsia="zh-CN"/>
        </w:rPr>
        <w:t>浙江省财政厅 浙江省住房和城乡建设厅关于规范城市基础设施配套费有关事项的通知</w:t>
      </w:r>
      <w:bookmarkEnd w:id="3"/>
    </w:p>
    <w:p>
      <w:pPr>
        <w:keepNext w:val="0"/>
        <w:keepLines w:val="0"/>
        <w:pageBreakBefore w:val="0"/>
        <w:widowControl w:val="0"/>
        <w:kinsoku/>
        <w:wordWrap/>
        <w:overflowPunct/>
        <w:topLinePunct w:val="0"/>
        <w:autoSpaceDE/>
        <w:autoSpaceDN/>
        <w:bidi w:val="0"/>
        <w:adjustRightInd/>
        <w:snapToGrid w:val="0"/>
        <w:spacing w:beforeLines="0" w:afterLines="0" w:line="600" w:lineRule="exact"/>
        <w:jc w:val="center"/>
        <w:textAlignment w:val="auto"/>
        <w:rPr>
          <w:rFonts w:hint="eastAsia" w:ascii="方正小标宋简体" w:eastAsia="方正小标宋简体"/>
          <w:sz w:val="44"/>
          <w:lang w:eastAsia="zh-CN"/>
        </w:rPr>
      </w:pPr>
    </w:p>
    <w:p>
      <w:pPr>
        <w:keepNext w:val="0"/>
        <w:keepLines w:val="0"/>
        <w:pageBreakBefore w:val="0"/>
        <w:widowControl w:val="0"/>
        <w:kinsoku/>
        <w:wordWrap/>
        <w:overflowPunct/>
        <w:topLinePunct w:val="0"/>
        <w:autoSpaceDE/>
        <w:autoSpaceDN/>
        <w:bidi w:val="0"/>
        <w:adjustRightInd/>
        <w:spacing w:beforeLines="0" w:afterLines="0" w:line="600" w:lineRule="exact"/>
        <w:jc w:val="left"/>
        <w:textAlignment w:val="auto"/>
        <w:rPr>
          <w:rFonts w:hint="eastAsia" w:ascii="仿宋_GB2312" w:eastAsia="仿宋_GB2312"/>
          <w:sz w:val="32"/>
          <w:szCs w:val="32"/>
        </w:rPr>
      </w:pPr>
      <w:r>
        <w:rPr>
          <w:rFonts w:hint="eastAsia" w:ascii="仿宋_GB2312" w:eastAsia="仿宋_GB2312"/>
          <w:sz w:val="32"/>
          <w:szCs w:val="32"/>
          <w:lang w:val="en-US" w:eastAsia="zh-CN"/>
        </w:rPr>
        <w:t>各市、县（市、区）财政局、建委（建设局、资规局）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自征收以来，对促进全省城市基础设施建设、加快城镇化进程发挥了重要作用。但转为政府性基金后，各地在实施过程中还存在制度不健全、职责界限不清、征收管理不规范、应减未减或擅自减免等问题。为进一步规范全省城市基础设施配套费的征收管理,根据《浙江省政府非税收入管理条例》《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国土资源部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中国人民银行关于加强土地成交价款管理规范资金缴库行为的通知》（财综〔2009〕89号）和《财政部关于印发〈政府性基金管理暂行办法〉的通知》（财综〔2010〕80号）等规定，结合历史文件及制度渊源，现就规范我省城市基础设施配套费有关事项通知如下：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项目</w:t>
      </w:r>
      <w:r>
        <w:rPr>
          <w:rFonts w:hint="eastAsia" w:ascii="黑体" w:hAnsi="黑体" w:eastAsia="黑体" w:cs="黑体"/>
          <w:b w:val="0"/>
          <w:bCs w:val="0"/>
          <w:color w:val="auto"/>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城市基础设施配套费是城市人民政府有关部门征收用于城市基础设施建设的专项资金，属于政府性基金。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、征收范围及对象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城市基础设施配套费征收对象为我省城市规划区范围内取得土地使用权（包括出让方式及非出让方式）进行建设的各类工程项目的建设单位和个人。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三、征收</w:t>
      </w:r>
      <w:r>
        <w:rPr>
          <w:rFonts w:hint="eastAsia" w:ascii="黑体" w:hAnsi="黑体" w:eastAsia="黑体" w:cs="黑体"/>
          <w:b w:val="0"/>
          <w:bCs w:val="0"/>
          <w:color w:val="auto"/>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城市基础设施配套费按照项目属地原则管理，由住房城乡建设行政主管部门负责具体征收工作</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pacing w:val="8"/>
          <w:sz w:val="32"/>
          <w:szCs w:val="32"/>
          <w:lang w:eastAsia="zh-CN"/>
        </w:rPr>
        <w:t>征收职能已划转自然资源和规划（审批）部门的地区，具体职责根据属地人民政府有关规定确定。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四、征收方式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计算方式为：城市基础设施配套费=建设项目地上建筑面积×收费标准+地下建筑面积（人防面积除外）×收费标准，建筑面积以《建设工程规划许可证》核定的建筑面积为准；扩建、改建、拆复建项目及旧城改造拆建项目按新增面积征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建设单位或个人应</w:t>
      </w:r>
      <w:r>
        <w:rPr>
          <w:rFonts w:hint="eastAsia" w:ascii="仿宋_GB2312" w:hAnsi="仿宋_GB2312" w:eastAsia="仿宋_GB2312" w:cs="仿宋_GB2312"/>
          <w:color w:val="auto"/>
          <w:sz w:val="32"/>
          <w:szCs w:val="32"/>
        </w:rPr>
        <w:t>当在开工前</w:t>
      </w:r>
      <w:r>
        <w:rPr>
          <w:rFonts w:hint="eastAsia" w:ascii="仿宋_GB2312" w:hAnsi="仿宋_GB2312" w:eastAsia="仿宋_GB2312" w:cs="仿宋_GB2312"/>
          <w:color w:val="auto"/>
          <w:sz w:val="32"/>
          <w:szCs w:val="32"/>
          <w:lang w:eastAsia="zh-CN"/>
        </w:rPr>
        <w:t>缴清</w:t>
      </w:r>
      <w:r>
        <w:rPr>
          <w:rFonts w:hint="eastAsia" w:ascii="仿宋_GB2312" w:hAnsi="仿宋_GB2312" w:eastAsia="仿宋_GB2312" w:cs="仿宋_GB2312"/>
          <w:color w:val="auto"/>
          <w:sz w:val="32"/>
          <w:szCs w:val="32"/>
        </w:rPr>
        <w:t>城市基础设施配套费；分</w:t>
      </w:r>
      <w:r>
        <w:rPr>
          <w:rFonts w:ascii="仿宋_GB2312" w:hAnsi="仿宋_GB2312" w:eastAsia="仿宋_GB2312" w:cs="仿宋_GB2312"/>
          <w:color w:val="auto"/>
          <w:sz w:val="32"/>
          <w:szCs w:val="32"/>
        </w:rPr>
        <w:t>期核发建设工程规划许可证</w:t>
      </w:r>
      <w:r>
        <w:rPr>
          <w:rFonts w:hint="eastAsia" w:ascii="仿宋_GB2312" w:hAnsi="仿宋_GB2312" w:eastAsia="仿宋_GB2312" w:cs="仿宋_GB2312"/>
          <w:color w:val="auto"/>
          <w:sz w:val="32"/>
          <w:szCs w:val="32"/>
        </w:rPr>
        <w:t>的可分期缴纳。建设工程竣工规划核实时，建筑面积发生变化、规划功能用途变更的,按现行标准予以补交或按原标准退还配套费差额。</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缴纳城市基础设施配套费可实行告知承诺制。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rPr>
        <w:t>五、</w:t>
      </w:r>
      <w:r>
        <w:rPr>
          <w:rFonts w:hint="eastAsia" w:ascii="黑体" w:hAnsi="黑体" w:eastAsia="黑体" w:cs="黑体"/>
          <w:b w:val="0"/>
          <w:bCs w:val="0"/>
          <w:color w:val="auto"/>
          <w:sz w:val="32"/>
          <w:szCs w:val="32"/>
          <w:shd w:val="clear" w:color="auto" w:fill="auto"/>
        </w:rPr>
        <w:t>征收标准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olor w:val="auto"/>
          <w:sz w:val="32"/>
          <w:szCs w:val="32"/>
          <w:shd w:val="clear" w:color="auto" w:fill="FFFFFF"/>
          <w:lang w:eastAsia="zh-CN"/>
        </w:rPr>
      </w:pPr>
      <w:r>
        <w:rPr>
          <w:rFonts w:hint="eastAsia" w:ascii="仿宋_GB2312" w:hAnsi="仿宋_GB2312" w:eastAsia="仿宋_GB2312"/>
          <w:color w:val="auto"/>
          <w:sz w:val="32"/>
          <w:szCs w:val="32"/>
          <w:shd w:val="clear" w:color="auto" w:fill="FFFFFF"/>
        </w:rPr>
        <w:t>根据我省历史沿革和征收实际，城市基础设施配套费征收标准，在省定指导标准范围内（</w:t>
      </w:r>
      <w:r>
        <w:rPr>
          <w:rFonts w:hint="eastAsia" w:ascii="仿宋_GB2312" w:hAnsi="仿宋_GB2312" w:eastAsia="仿宋_GB2312"/>
          <w:color w:val="auto"/>
          <w:sz w:val="32"/>
          <w:szCs w:val="32"/>
          <w:shd w:val="clear" w:color="auto" w:fill="FFFFFF"/>
          <w:lang w:eastAsia="zh-CN"/>
        </w:rPr>
        <w:t>详</w:t>
      </w:r>
      <w:r>
        <w:rPr>
          <w:rFonts w:hint="eastAsia" w:ascii="仿宋_GB2312" w:hAnsi="仿宋_GB2312" w:eastAsia="仿宋_GB2312"/>
          <w:color w:val="auto"/>
          <w:sz w:val="32"/>
          <w:szCs w:val="32"/>
          <w:shd w:val="clear" w:color="auto" w:fill="FFFFFF"/>
        </w:rPr>
        <w:t>见附件1），下放各设区市人民政府制定。由各设区市建设、财政部门根据城市基础</w:t>
      </w:r>
      <w:r>
        <w:rPr>
          <w:rFonts w:hint="eastAsia" w:ascii="仿宋_GB2312" w:hAnsi="仿宋_GB2312" w:eastAsia="仿宋_GB2312"/>
          <w:color w:val="auto"/>
          <w:sz w:val="32"/>
          <w:szCs w:val="32"/>
          <w:shd w:val="clear" w:color="auto" w:fill="FFFFFF"/>
          <w:lang w:eastAsia="zh-CN"/>
        </w:rPr>
        <w:t>设施</w:t>
      </w:r>
      <w:r>
        <w:rPr>
          <w:rFonts w:hint="eastAsia" w:ascii="仿宋_GB2312" w:hAnsi="仿宋_GB2312" w:eastAsia="仿宋_GB2312"/>
          <w:color w:val="auto"/>
          <w:sz w:val="32"/>
          <w:szCs w:val="32"/>
          <w:shd w:val="clear" w:color="auto" w:fill="FFFFFF"/>
        </w:rPr>
        <w:t>建设和管理的需要，兼顾当地经济发展实际和市场主体承受能力等因素，在省定指导标准幅度内提出</w:t>
      </w:r>
      <w:r>
        <w:rPr>
          <w:rFonts w:hint="eastAsia" w:ascii="仿宋_GB2312" w:hAnsi="仿宋_GB2312" w:eastAsia="仿宋_GB2312"/>
          <w:color w:val="auto"/>
          <w:sz w:val="32"/>
          <w:szCs w:val="32"/>
          <w:shd w:val="clear" w:color="auto" w:fill="FFFFFF"/>
          <w:lang w:eastAsia="zh-CN"/>
        </w:rPr>
        <w:t>本地区具体征收</w:t>
      </w:r>
      <w:r>
        <w:rPr>
          <w:rFonts w:hint="eastAsia" w:ascii="仿宋_GB2312" w:hAnsi="仿宋_GB2312" w:eastAsia="仿宋_GB2312"/>
          <w:color w:val="auto"/>
          <w:sz w:val="32"/>
          <w:szCs w:val="32"/>
          <w:shd w:val="clear" w:color="auto" w:fill="FFFFFF"/>
        </w:rPr>
        <w:t>标准建议，报本级人民政府确定</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各县（市、区）征收标准在设区市建设、财政部门指导下制定</w:t>
      </w:r>
      <w:r>
        <w:rPr>
          <w:rFonts w:hint="eastAsia" w:ascii="仿宋_GB2312" w:hAnsi="仿宋_GB2312" w:eastAsia="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六、减免程序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城市基础设施配套费的减免权限按照政府性基金有关规定执行。</w:t>
      </w:r>
      <w:r>
        <w:rPr>
          <w:rFonts w:hint="eastAsia" w:ascii="仿宋_GB2312" w:hAnsi="仿宋_GB2312" w:eastAsia="仿宋_GB2312" w:cs="仿宋_GB2312"/>
          <w:color w:val="auto"/>
          <w:sz w:val="32"/>
          <w:szCs w:val="32"/>
        </w:rPr>
        <w:t>国家制定的城市基础设施配套费减免政策</w:t>
      </w:r>
      <w:r>
        <w:rPr>
          <w:rFonts w:hint="eastAsia" w:ascii="仿宋_GB2312" w:hAnsi="仿宋_GB2312" w:eastAsia="仿宋_GB2312" w:cs="仿宋_GB2312"/>
          <w:color w:val="auto"/>
          <w:sz w:val="32"/>
          <w:szCs w:val="32"/>
          <w:lang w:eastAsia="zh-CN"/>
        </w:rPr>
        <w:t>（详</w:t>
      </w:r>
      <w:r>
        <w:rPr>
          <w:rFonts w:hint="eastAsia" w:ascii="仿宋_GB2312" w:hAnsi="仿宋_GB2312" w:eastAsia="仿宋_GB2312" w:cs="仿宋_GB2312"/>
          <w:color w:val="auto"/>
          <w:sz w:val="32"/>
          <w:szCs w:val="32"/>
        </w:rPr>
        <w:t>见附件2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，各级各部门要逐项落实到位，明确免缴口径、认定方法、减免办理程序，不得以任何借口拒绝和变更执行。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符合国家规定的减免条件的，由项目建设单位或个人向征收部门提出减免申报，征收部门应明确统一的办理流程和减免申报样表。需各相关行业主管部门提供减免认定或信息的，应积极协同配合，</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优惠政策落实到位。经批准执行</w:t>
      </w:r>
      <w:r>
        <w:rPr>
          <w:rFonts w:hint="eastAsia" w:ascii="仿宋_GB2312" w:hAnsi="仿宋_GB2312" w:eastAsia="仿宋_GB2312" w:cs="仿宋_GB2312"/>
          <w:color w:val="auto"/>
          <w:sz w:val="32"/>
          <w:szCs w:val="32"/>
          <w:lang w:eastAsia="zh-CN"/>
        </w:rPr>
        <w:t>城市基础设施</w:t>
      </w:r>
      <w:r>
        <w:rPr>
          <w:rFonts w:hint="eastAsia" w:ascii="仿宋_GB2312" w:hAnsi="仿宋_GB2312" w:eastAsia="仿宋_GB2312" w:cs="仿宋_GB2312"/>
          <w:color w:val="auto"/>
          <w:sz w:val="32"/>
          <w:szCs w:val="32"/>
        </w:rPr>
        <w:t>配套费减免政策的建设项目,改变原批准用途的,按现行标准补缴</w:t>
      </w:r>
      <w:r>
        <w:rPr>
          <w:rFonts w:hint="eastAsia" w:ascii="仿宋_GB2312" w:hAnsi="仿宋_GB2312" w:eastAsia="仿宋_GB2312" w:cs="仿宋_GB2312"/>
          <w:color w:val="auto"/>
          <w:sz w:val="32"/>
          <w:szCs w:val="32"/>
          <w:lang w:eastAsia="zh-CN"/>
        </w:rPr>
        <w:t>城市基础设施</w:t>
      </w:r>
      <w:r>
        <w:rPr>
          <w:rFonts w:hint="eastAsia" w:ascii="仿宋_GB2312" w:hAnsi="仿宋_GB2312" w:eastAsia="仿宋_GB2312" w:cs="仿宋_GB2312"/>
          <w:color w:val="auto"/>
          <w:sz w:val="32"/>
          <w:szCs w:val="32"/>
        </w:rPr>
        <w:t>配套费。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具体减免政策的</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程序和操作办法由各地征收</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制定。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、预算管理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城市基础设施</w:t>
      </w:r>
      <w:r>
        <w:rPr>
          <w:rFonts w:hint="eastAsia" w:ascii="仿宋_GB2312" w:hAnsi="仿宋_GB2312" w:eastAsia="仿宋_GB2312" w:cs="仿宋_GB2312"/>
          <w:color w:val="auto"/>
          <w:sz w:val="32"/>
          <w:szCs w:val="32"/>
        </w:rPr>
        <w:t>配套费要严格按照“收支两条线”纳入政府性基金预算管理,实行专</w:t>
      </w:r>
      <w:r>
        <w:rPr>
          <w:rFonts w:hint="eastAsia" w:ascii="仿宋_GB2312" w:hAnsi="仿宋_GB2312" w:eastAsia="仿宋_GB2312" w:cs="仿宋_GB2312"/>
          <w:color w:val="auto"/>
          <w:sz w:val="32"/>
          <w:szCs w:val="32"/>
          <w:highlight w:val="none"/>
        </w:rPr>
        <w:t>款专用。</w:t>
      </w:r>
      <w:r>
        <w:rPr>
          <w:rFonts w:hint="eastAsia" w:ascii="仿宋_GB2312" w:hAnsi="仿宋_GB2312" w:eastAsia="仿宋_GB2312" w:cs="仿宋_GB2312"/>
          <w:color w:val="auto"/>
          <w:sz w:val="32"/>
          <w:szCs w:val="32"/>
        </w:rPr>
        <w:t>各地征收部门按照浙江省政府非税收入收缴有关规定及时足额上缴同级国库，填列政府收支分类科目第103类01款56项“城市基础设施配套费收入”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不得与土地成交价款混库。</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、票据</w:t>
      </w:r>
      <w:r>
        <w:rPr>
          <w:rFonts w:hint="eastAsia" w:ascii="黑体" w:hAnsi="黑体" w:eastAsia="黑体" w:cs="黑体"/>
          <w:b w:val="0"/>
          <w:bCs w:val="0"/>
          <w:color w:val="auto"/>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征收部门在征收</w:t>
      </w:r>
      <w:r>
        <w:rPr>
          <w:rFonts w:hint="eastAsia" w:ascii="仿宋_GB2312" w:hAnsi="仿宋_GB2312" w:eastAsia="仿宋_GB2312" w:cs="仿宋_GB2312"/>
          <w:color w:val="auto"/>
          <w:sz w:val="32"/>
          <w:szCs w:val="32"/>
          <w:lang w:eastAsia="zh-CN"/>
        </w:rPr>
        <w:t>城市基础设施</w:t>
      </w:r>
      <w:r>
        <w:rPr>
          <w:rFonts w:hint="eastAsia" w:ascii="仿宋_GB2312" w:hAnsi="仿宋_GB2312" w:eastAsia="仿宋_GB2312" w:cs="仿宋_GB2312"/>
          <w:color w:val="auto"/>
          <w:sz w:val="32"/>
          <w:szCs w:val="32"/>
        </w:rPr>
        <w:t>配套费时，应当按照规定开具</w:t>
      </w:r>
      <w:r>
        <w:rPr>
          <w:rFonts w:hint="eastAsia" w:ascii="仿宋_GB2312" w:hAnsi="仿宋_GB2312" w:eastAsia="仿宋_GB2312" w:cs="仿宋_GB2312"/>
          <w:color w:val="auto"/>
          <w:sz w:val="32"/>
          <w:szCs w:val="32"/>
          <w:lang w:eastAsia="zh-CN"/>
        </w:rPr>
        <w:t>财政票据</w:t>
      </w:r>
      <w:r>
        <w:rPr>
          <w:rFonts w:hint="eastAsia" w:ascii="仿宋_GB2312" w:hAnsi="仿宋_GB2312" w:eastAsia="仿宋_GB2312" w:cs="仿宋_GB2312"/>
          <w:color w:val="auto"/>
          <w:sz w:val="32"/>
          <w:szCs w:val="32"/>
        </w:rPr>
        <w:t>；不按规定开具财政票据的，公民、法人和其他组织有权拒绝缴纳。</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、资金用途</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财政部《政府收支分类科目》规定，城市基础设施配套费主要用于城市道路、桥涵、公共交通、道路照明、供排水、燃气、供热等公共设施维护、建设和管理，道路清扫、垃圾清运与处理、污水处理、园林绿化、城市公有房屋维修改造、城市防洪设施建设和维护等支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支出时填列政府收支分类科目第212类13款“城市基础设施配套费支出”所对应的支出科目。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十、信息共享</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各级有关部门应建立信息共享机制，加强城市基础设施配套费征收管理数字化改革，在职能范围内向征收部门共享</w:t>
      </w:r>
      <w:r>
        <w:rPr>
          <w:rFonts w:hint="eastAsia" w:ascii="仿宋_GB2312" w:hAnsi="仿宋_GB2312" w:eastAsia="仿宋_GB2312" w:cs="仿宋_GB2312"/>
          <w:color w:val="auto"/>
          <w:sz w:val="32"/>
          <w:szCs w:val="32"/>
          <w:lang w:eastAsia="zh-CN"/>
        </w:rPr>
        <w:t>城市基础设施</w:t>
      </w:r>
      <w:r>
        <w:rPr>
          <w:rFonts w:hint="eastAsia" w:ascii="仿宋_GB2312" w:hAnsi="仿宋_GB2312" w:eastAsia="仿宋_GB2312" w:cs="仿宋_GB2312"/>
          <w:color w:val="auto"/>
          <w:sz w:val="32"/>
          <w:szCs w:val="32"/>
        </w:rPr>
        <w:t>配套费征收和减免的有关信息，共同做好城市基础设施配套费征缴业务衔接。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各级相关监管部门应加强对城市基础设施配套费收支情况的监督检查，对未及时足额缴纳城市基础设施配套费和擅自设立收费项目、提高收费标准、扩大收费范围，擅自减免、截留、挤占、挪用城市基础设施配套费的，按《中华人民共和国预算法》《财政违法行为处罚处分条例》《政府性基金管理暂行办法》《浙江省政府非税收入管理条例》等规定予以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其他规定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本通知自</w:t>
      </w: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024年6月12日起</w:t>
      </w:r>
      <w:r>
        <w:rPr>
          <w:rFonts w:hint="eastAsia" w:ascii="仿宋_GB2312" w:hAnsi="仿宋_GB2312" w:eastAsia="仿宋_GB2312" w:cs="仿宋_GB2312"/>
          <w:color w:val="auto"/>
          <w:sz w:val="32"/>
          <w:szCs w:val="32"/>
        </w:rPr>
        <w:t>实施(以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规划许可</w:t>
      </w:r>
      <w:r>
        <w:rPr>
          <w:rFonts w:hint="eastAsia" w:ascii="仿宋_GB2312" w:hAnsi="仿宋_GB2312" w:eastAsia="仿宋_GB2312" w:cs="仿宋_GB2312"/>
          <w:color w:val="auto"/>
          <w:sz w:val="32"/>
          <w:szCs w:val="32"/>
          <w:lang w:eastAsia="zh-CN"/>
        </w:rPr>
        <w:t>证》核发</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为界限)。</w:t>
      </w:r>
      <w:r>
        <w:rPr>
          <w:rFonts w:hint="eastAsia" w:ascii="仿宋_GB2312" w:hAnsi="仿宋_GB2312" w:eastAsia="仿宋_GB2312" w:cs="仿宋_GB2312"/>
          <w:color w:val="auto"/>
          <w:sz w:val="32"/>
          <w:szCs w:val="32"/>
          <w:lang w:eastAsia="zh-CN"/>
        </w:rPr>
        <w:t>各地可根据本通知有关规定制定本地区的实施细则。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浙江</w:t>
      </w:r>
      <w:r>
        <w:rPr>
          <w:rFonts w:hint="eastAsia" w:ascii="仿宋_GB2312" w:hAnsi="仿宋_GB2312" w:eastAsia="仿宋_GB2312" w:cs="仿宋_GB2312"/>
          <w:color w:val="auto"/>
          <w:sz w:val="32"/>
          <w:szCs w:val="32"/>
        </w:rPr>
        <w:t>省物价局</w:t>
      </w:r>
      <w:r>
        <w:rPr>
          <w:rFonts w:hint="eastAsia" w:ascii="仿宋_GB2312" w:hAnsi="仿宋_GB2312" w:eastAsia="仿宋_GB2312" w:cs="仿宋_GB2312"/>
          <w:color w:val="auto"/>
          <w:sz w:val="32"/>
          <w:szCs w:val="32"/>
          <w:lang w:eastAsia="zh-CN"/>
        </w:rPr>
        <w:t>浙江</w:t>
      </w:r>
      <w:r>
        <w:rPr>
          <w:rFonts w:hint="eastAsia" w:ascii="仿宋_GB2312" w:hAnsi="仿宋_GB2312" w:eastAsia="仿宋_GB2312" w:cs="仿宋_GB2312"/>
          <w:color w:val="auto"/>
          <w:sz w:val="32"/>
          <w:szCs w:val="32"/>
        </w:rPr>
        <w:t>省财政厅关于规范城市市政基础设施配套费收费标准的通知》（浙价房〔1997〕209号、财</w:t>
      </w:r>
      <w:r>
        <w:rPr>
          <w:rFonts w:hint="eastAsia" w:ascii="仿宋_GB2312" w:hAnsi="仿宋_GB2312" w:eastAsia="仿宋_GB2312" w:cs="仿宋_GB2312"/>
          <w:color w:val="auto"/>
          <w:sz w:val="32"/>
          <w:szCs w:val="32"/>
          <w:lang w:eastAsia="zh-CN"/>
        </w:rPr>
        <w:t>综</w:t>
      </w:r>
      <w:r>
        <w:rPr>
          <w:rFonts w:hint="eastAsia" w:ascii="仿宋_GB2312" w:hAnsi="仿宋_GB2312" w:eastAsia="仿宋_GB2312" w:cs="仿宋_GB2312"/>
          <w:color w:val="auto"/>
          <w:sz w:val="32"/>
          <w:szCs w:val="32"/>
        </w:rPr>
        <w:t>〔1997〕66号）等</w:t>
      </w:r>
      <w:r>
        <w:rPr>
          <w:rFonts w:hint="eastAsia" w:ascii="仿宋_GB2312" w:hAnsi="仿宋_GB2312" w:eastAsia="仿宋_GB2312" w:cs="仿宋_GB2312"/>
          <w:color w:val="auto"/>
          <w:sz w:val="32"/>
          <w:szCs w:val="32"/>
          <w:lang w:eastAsia="zh-CN"/>
        </w:rPr>
        <w:t>文件同步废止。</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国家另有规定或新出相关规定的，从其规定。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浙江省城市基础设施配套费指导标准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2.国家规定的城市基础设施配套费减免政策</w:t>
      </w:r>
    </w:p>
    <w:p>
      <w:pPr>
        <w:keepNext w:val="0"/>
        <w:keepLines w:val="0"/>
        <w:pageBreakBefore w:val="0"/>
        <w:widowControl w:val="0"/>
        <w:kinsoku/>
        <w:wordWrap/>
        <w:overflowPunct/>
        <w:topLinePunct w:val="0"/>
        <w:autoSpaceDE/>
        <w:autoSpaceDN/>
        <w:bidi w:val="0"/>
        <w:adjustRightInd/>
        <w:spacing w:beforeLines="0" w:afterLines="0"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beforeLines="0" w:afterLines="0"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beforeLines="0" w:afterLines="0" w:line="600" w:lineRule="exact"/>
        <w:textAlignment w:val="auto"/>
        <w:rPr>
          <w:rFonts w:hint="eastAsia" w:ascii="仿宋_GB2312" w:eastAsia="仿宋_GB2312"/>
          <w:sz w:val="32"/>
          <w:szCs w:val="32"/>
        </w:rPr>
      </w:pPr>
    </w:p>
    <w:p>
      <w:pPr>
        <w:keepNext w:val="0"/>
        <w:keepLines w:val="0"/>
        <w:pageBreakBefore w:val="0"/>
        <w:widowControl w:val="0"/>
        <w:tabs>
          <w:tab w:val="left" w:pos="4554"/>
        </w:tabs>
        <w:kinsoku/>
        <w:wordWrap/>
        <w:overflowPunct/>
        <w:topLinePunct w:val="0"/>
        <w:autoSpaceDE/>
        <w:autoSpaceDN/>
        <w:bidi w:val="0"/>
        <w:adjustRightInd/>
        <w:spacing w:beforeLines="0" w:afterLines="0"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 xml:space="preserve">浙江省财政厅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浙江省住房和城乡建设厅</w:t>
      </w:r>
    </w:p>
    <w:p>
      <w:pPr>
        <w:keepNext w:val="0"/>
        <w:keepLines w:val="0"/>
        <w:pageBreakBefore w:val="0"/>
        <w:widowControl w:val="0"/>
        <w:kinsoku/>
        <w:wordWrap/>
        <w:overflowPunct/>
        <w:topLinePunct w:val="0"/>
        <w:autoSpaceDE/>
        <w:autoSpaceDN/>
        <w:bidi w:val="0"/>
        <w:adjustRightInd/>
        <w:spacing w:beforeLines="0" w:afterLines="0" w:line="600" w:lineRule="exact"/>
        <w:ind w:left="3150" w:leftChars="1500"/>
        <w:jc w:val="center"/>
        <w:textAlignment w:val="auto"/>
        <w:rPr>
          <w:rFonts w:hint="eastAsia" w:ascii="仿宋_GB2312" w:eastAsia="仿宋_GB2312"/>
          <w:sz w:val="30"/>
        </w:rPr>
      </w:pPr>
      <w:r>
        <w:rPr>
          <w:rFonts w:hint="eastAsia"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beforeLines="0" w:afterLines="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spacing w:line="560" w:lineRule="exact"/>
        <w:rPr>
          <w:rFonts w:hint="eastAsia" w:ascii="仿宋_GB2312" w:eastAsia="仿宋_GB2312"/>
          <w:sz w:val="30"/>
          <w:lang w:val="en-US" w:eastAsia="zh-CN"/>
        </w:rPr>
      </w:pPr>
    </w:p>
    <w:p>
      <w:pPr>
        <w:spacing w:line="560" w:lineRule="exact"/>
        <w:rPr>
          <w:rFonts w:hint="eastAsia" w:ascii="仿宋_GB2312" w:eastAsia="仿宋_GB2312"/>
          <w:sz w:val="30"/>
          <w:lang w:val="en-US" w:eastAsia="zh-CN"/>
        </w:rPr>
      </w:pPr>
    </w:p>
    <w:p>
      <w:pPr>
        <w:spacing w:line="560" w:lineRule="exact"/>
        <w:rPr>
          <w:rFonts w:hint="eastAsia" w:ascii="仿宋_GB2312" w:eastAsia="仿宋_GB2312"/>
          <w:sz w:val="30"/>
          <w:lang w:val="en-US" w:eastAsia="zh-CN"/>
        </w:rPr>
      </w:pPr>
    </w:p>
    <w:p>
      <w:pPr>
        <w:spacing w:line="560" w:lineRule="exact"/>
        <w:rPr>
          <w:rFonts w:hint="eastAsia" w:ascii="仿宋_GB2312" w:eastAsia="仿宋_GB2312"/>
          <w:sz w:val="30"/>
          <w:lang w:val="en-US" w:eastAsia="zh-CN"/>
        </w:rPr>
      </w:pPr>
    </w:p>
    <w:p>
      <w:pPr>
        <w:spacing w:line="560" w:lineRule="exact"/>
        <w:rPr>
          <w:rFonts w:hint="eastAsia" w:ascii="仿宋_GB2312" w:eastAsia="仿宋_GB2312"/>
          <w:sz w:val="30"/>
          <w:lang w:val="en-US" w:eastAsia="zh-CN"/>
        </w:rPr>
      </w:pPr>
    </w:p>
    <w:p>
      <w:pPr>
        <w:spacing w:line="560" w:lineRule="exact"/>
        <w:rPr>
          <w:rFonts w:hint="eastAsia" w:ascii="仿宋_GB2312" w:eastAsia="仿宋_GB2312"/>
          <w:sz w:val="30"/>
          <w:lang w:val="en-US" w:eastAsia="zh-CN"/>
        </w:rPr>
      </w:pPr>
    </w:p>
    <w:p>
      <w:pPr>
        <w:spacing w:line="560" w:lineRule="exact"/>
        <w:rPr>
          <w:rFonts w:hint="eastAsia" w:ascii="仿宋_GB2312" w:eastAsia="仿宋_GB2312"/>
          <w:sz w:val="30"/>
          <w:lang w:val="en-US" w:eastAsia="zh-CN"/>
        </w:rPr>
      </w:pPr>
    </w:p>
    <w:p>
      <w:pPr>
        <w:spacing w:line="560" w:lineRule="exact"/>
        <w:rPr>
          <w:rFonts w:hint="eastAsia" w:ascii="仿宋_GB2312" w:eastAsia="仿宋_GB2312"/>
          <w:sz w:val="30"/>
          <w:lang w:val="en-US" w:eastAsia="zh-CN"/>
        </w:rPr>
      </w:pPr>
    </w:p>
    <w:p>
      <w:pPr>
        <w:spacing w:line="560" w:lineRule="exact"/>
        <w:rPr>
          <w:rFonts w:hint="eastAsia" w:ascii="仿宋_GB2312" w:eastAsia="仿宋_GB2312"/>
          <w:sz w:val="30"/>
          <w:lang w:val="en-US" w:eastAsia="zh-CN"/>
        </w:rPr>
      </w:pPr>
    </w:p>
    <w:tbl>
      <w:tblPr>
        <w:tblStyle w:val="6"/>
        <w:tblW w:w="8844" w:type="dxa"/>
        <w:tblInd w:w="13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1077"/>
        <w:gridCol w:w="7767"/>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80" w:hRule="atLeast"/>
        </w:trPr>
        <w:tc>
          <w:tcPr>
            <w:tcW w:w="1077" w:type="dxa"/>
            <w:tcBorders>
              <w:tl2br w:val="nil"/>
              <w:tr2bl w:val="nil"/>
            </w:tcBorders>
            <w:noWrap w:val="0"/>
            <w:tcMar>
              <w:top w:w="0" w:type="dxa"/>
              <w:left w:w="108" w:type="dxa"/>
              <w:bottom w:w="0" w:type="dxa"/>
              <w:right w:w="0" w:type="dxa"/>
            </w:tcMar>
            <w:tcFitText/>
            <w:vAlign w:val="top"/>
          </w:tcPr>
          <w:p>
            <w:pPr>
              <w:spacing w:line="560" w:lineRule="exact"/>
              <w:rPr>
                <w:rFonts w:hint="eastAsia" w:ascii="仿宋_GB2312" w:eastAsia="仿宋_GB2312"/>
                <w:spacing w:val="0"/>
                <w:sz w:val="30"/>
                <w:vertAlign w:val="baseline"/>
                <w:lang w:val="en-US" w:eastAsia="zh-CN"/>
              </w:rPr>
            </w:pPr>
            <w:r>
              <w:rPr>
                <w:rFonts w:hint="eastAsia" w:ascii="仿宋_GB2312" w:eastAsia="仿宋_GB2312"/>
                <w:w w:val="84"/>
                <w:sz w:val="28"/>
                <w:szCs w:val="28"/>
                <w:vertAlign w:val="baseline"/>
                <w:lang w:val="en-US" w:eastAsia="zh-CN"/>
              </w:rPr>
              <w:t xml:space="preserve">  抄送：</w:t>
            </w:r>
          </w:p>
        </w:tc>
        <w:tc>
          <w:tcPr>
            <w:tcW w:w="7767" w:type="dxa"/>
            <w:tcBorders>
              <w:tl2br w:val="nil"/>
              <w:tr2bl w:val="nil"/>
            </w:tcBorders>
            <w:noWrap w:val="0"/>
            <w:tcMar>
              <w:top w:w="0" w:type="dxa"/>
              <w:left w:w="28" w:type="dxa"/>
              <w:bottom w:w="0" w:type="dxa"/>
              <w:right w:w="108" w:type="dxa"/>
            </w:tcMar>
            <w:tcFitText/>
            <w:vAlign w:val="top"/>
          </w:tcPr>
          <w:p>
            <w:pPr>
              <w:spacing w:line="560" w:lineRule="exact"/>
              <w:rPr>
                <w:rFonts w:hint="eastAsia" w:ascii="仿宋_GB2312" w:eastAsia="仿宋_GB2312"/>
                <w:sz w:val="28"/>
                <w:szCs w:val="28"/>
                <w:vertAlign w:val="baseline"/>
                <w:lang w:eastAsia="zh-CN"/>
              </w:rPr>
            </w:pPr>
            <w:bookmarkStart w:id="4" w:name="hallSendFileCopySend"/>
            <w:r>
              <w:rPr>
                <w:rFonts w:hint="eastAsia" w:ascii="仿宋_GB2312" w:eastAsia="仿宋_GB2312"/>
                <w:sz w:val="28"/>
                <w:szCs w:val="28"/>
                <w:vertAlign w:val="baseline"/>
                <w:lang w:eastAsia="zh-CN"/>
              </w:rPr>
              <w:t>财政部，省自然资源厅，省审计厅。</w:t>
            </w:r>
            <w:bookmarkEnd w:id="4"/>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80" w:hRule="atLeast"/>
        </w:trPr>
        <w:tc>
          <w:tcPr>
            <w:tcW w:w="8844" w:type="dxa"/>
            <w:gridSpan w:val="2"/>
            <w:tcBorders>
              <w:tl2br w:val="nil"/>
              <w:tr2bl w:val="nil"/>
            </w:tcBorders>
            <w:noWrap w:val="0"/>
            <w:tcFitText/>
            <w:vAlign w:val="top"/>
          </w:tcPr>
          <w:p>
            <w:pPr>
              <w:spacing w:line="560" w:lineRule="exact"/>
              <w:rPr>
                <w:rFonts w:hint="eastAsia" w:ascii="仿宋_GB2312" w:eastAsia="仿宋_GB2312"/>
                <w:sz w:val="30"/>
                <w:vertAlign w:val="baseline"/>
              </w:rPr>
            </w:pPr>
            <w:r>
              <w:rPr>
                <w:rFonts w:hint="eastAsia" w:ascii="仿宋_GB2312" w:eastAsia="仿宋_GB2312"/>
                <w:sz w:val="28"/>
                <w:szCs w:val="28"/>
                <w:lang w:val="en-US" w:eastAsia="zh-CN"/>
              </w:rPr>
              <w:t xml:space="preserve"> </w:t>
            </w:r>
            <w:r>
              <w:rPr>
                <w:rFonts w:hint="eastAsia" w:ascii="仿宋_GB2312" w:eastAsia="仿宋_GB2312"/>
                <w:sz w:val="28"/>
                <w:szCs w:val="28"/>
                <w:vertAlign w:val="baseline"/>
                <w:lang w:val="en-US" w:eastAsia="zh-CN"/>
              </w:rPr>
              <w:t xml:space="preserve"> </w:t>
            </w:r>
            <w:bookmarkStart w:id="5" w:name="printUnit"/>
            <w:r>
              <w:rPr>
                <w:rFonts w:hint="eastAsia" w:ascii="仿宋_GB2312" w:eastAsia="仿宋_GB2312"/>
                <w:sz w:val="28"/>
                <w:szCs w:val="28"/>
              </w:rPr>
              <w:t>浙江省财政厅办公室</w:t>
            </w:r>
            <w:bookmarkEnd w:id="5"/>
            <w:r>
              <w:rPr>
                <w:rFonts w:hint="eastAsia" w:ascii="仿宋_GB2312" w:eastAsia="仿宋_GB2312"/>
                <w:sz w:val="28"/>
                <w:szCs w:val="28"/>
              </w:rPr>
              <w:t xml:space="preserve">                       </w:t>
            </w:r>
            <w:r>
              <w:rPr>
                <w:rFonts w:hint="eastAsia" w:ascii="仿宋_GB2312" w:eastAsia="仿宋_GB2312"/>
                <w:sz w:val="28"/>
                <w:szCs w:val="28"/>
                <w:lang w:val="en-US" w:eastAsia="zh-CN"/>
              </w:rPr>
              <w:t>2024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日印</w:t>
            </w:r>
            <w:r>
              <w:rPr>
                <w:rFonts w:hint="eastAsia" w:ascii="仿宋_GB2312" w:eastAsia="仿宋_GB2312"/>
                <w:sz w:val="28"/>
                <w:szCs w:val="28"/>
                <w:lang w:val="en-US" w:eastAsia="zh-CN"/>
              </w:rPr>
              <w:t>发</w:t>
            </w:r>
          </w:p>
        </w:tc>
      </w:tr>
    </w:tbl>
    <w:p>
      <w:pPr>
        <w:snapToGrid/>
        <w:spacing w:beforeLines="0" w:afterLines="0" w:line="20" w:lineRule="exact"/>
        <w:jc w:val="left"/>
        <w:rPr>
          <w:rFonts w:hint="eastAsia"/>
          <w:kern w:val="2"/>
          <w:sz w:val="21"/>
          <w:szCs w:val="24"/>
          <w:lang w:val="en-US" w:eastAsia="zh-CN" w:bidi="ar-SA"/>
        </w:rPr>
      </w:pPr>
    </w:p>
    <w:p>
      <w:pPr>
        <w:snapToGrid/>
        <w:spacing w:beforeLines="0" w:afterLines="0" w:line="240" w:lineRule="auto"/>
        <w:ind w:firstLine="468"/>
        <w:jc w:val="left"/>
        <w:rPr>
          <w:rFonts w:hint="eastAsia"/>
          <w:kern w:val="2"/>
          <w:sz w:val="21"/>
          <w:szCs w:val="24"/>
          <w:lang w:val="en-US" w:eastAsia="zh-CN" w:bidi="ar-SA"/>
        </w:rPr>
      </w:pPr>
    </w:p>
    <w:p>
      <w:pPr>
        <w:spacing w:beforeLines="0" w:afterLines="0"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spacing w:beforeLines="0" w:afterLines="0" w:line="600" w:lineRule="exact"/>
        <w:rPr>
          <w:rFonts w:hint="eastAsia" w:ascii="方正黑体_GBK" w:hAnsi="方正黑体_GBK" w:eastAsia="方正黑体_GBK" w:cs="方正黑体_GBK"/>
          <w:color w:val="auto"/>
          <w:sz w:val="32"/>
          <w:szCs w:val="32"/>
          <w:highlight w:val="none"/>
        </w:rPr>
      </w:pPr>
    </w:p>
    <w:p>
      <w:pPr>
        <w:spacing w:beforeLines="0" w:afterLines="0"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浙江省城市基础设施配套费指导标准</w:t>
      </w:r>
    </w:p>
    <w:p>
      <w:pPr>
        <w:jc w:val="righ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单位：（元／㎡）</w:t>
      </w:r>
    </w:p>
    <w:tbl>
      <w:tblPr>
        <w:tblStyle w:val="6"/>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823"/>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41" w:type="dxa"/>
            <w:tcBorders>
              <w:top w:val="single" w:color="auto" w:sz="4" w:space="0"/>
              <w:left w:val="single" w:color="auto" w:sz="4" w:space="0"/>
              <w:bottom w:val="single" w:color="auto" w:sz="4" w:space="0"/>
              <w:right w:val="single" w:color="auto" w:sz="4" w:space="0"/>
            </w:tcBorders>
            <w:noWrap w:val="0"/>
            <w:tcFitText/>
            <w:vAlign w:val="top"/>
          </w:tcPr>
          <w:p>
            <w:pPr>
              <w:spacing w:line="42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地区</w:t>
            </w:r>
          </w:p>
        </w:tc>
        <w:tc>
          <w:tcPr>
            <w:tcW w:w="2823" w:type="dxa"/>
            <w:tcBorders>
              <w:top w:val="single" w:color="auto" w:sz="4" w:space="0"/>
              <w:left w:val="single" w:color="auto" w:sz="4" w:space="0"/>
              <w:bottom w:val="single" w:color="auto" w:sz="4" w:space="0"/>
              <w:right w:val="single" w:color="auto" w:sz="4" w:space="0"/>
            </w:tcBorders>
            <w:noWrap w:val="0"/>
            <w:tcFitText/>
            <w:vAlign w:val="top"/>
          </w:tcPr>
          <w:p>
            <w:pPr>
              <w:spacing w:line="42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住宅项目</w:t>
            </w:r>
          </w:p>
        </w:tc>
        <w:tc>
          <w:tcPr>
            <w:tcW w:w="3442" w:type="dxa"/>
            <w:tcBorders>
              <w:top w:val="single" w:color="auto" w:sz="4" w:space="0"/>
              <w:left w:val="single" w:color="auto" w:sz="4" w:space="0"/>
              <w:bottom w:val="single" w:color="auto" w:sz="4" w:space="0"/>
              <w:right w:val="single" w:color="auto" w:sz="4" w:space="0"/>
            </w:tcBorders>
            <w:noWrap w:val="0"/>
            <w:tcFitText/>
            <w:vAlign w:val="top"/>
          </w:tcPr>
          <w:p>
            <w:pPr>
              <w:spacing w:line="42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非住宅项目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41" w:type="dxa"/>
            <w:tcBorders>
              <w:top w:val="single" w:color="auto" w:sz="4" w:space="0"/>
              <w:left w:val="single" w:color="auto" w:sz="4" w:space="0"/>
              <w:bottom w:val="single" w:color="auto" w:sz="4" w:space="0"/>
              <w:right w:val="single" w:color="auto" w:sz="4" w:space="0"/>
            </w:tcBorders>
            <w:noWrap w:val="0"/>
            <w:tcFitText/>
            <w:vAlign w:val="top"/>
          </w:tcPr>
          <w:p>
            <w:pPr>
              <w:spacing w:line="42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杭州</w:t>
            </w:r>
          </w:p>
        </w:tc>
        <w:tc>
          <w:tcPr>
            <w:tcW w:w="2823" w:type="dxa"/>
            <w:vMerge w:val="restart"/>
            <w:tcBorders>
              <w:top w:val="single" w:color="auto" w:sz="4" w:space="0"/>
              <w:left w:val="single" w:color="auto" w:sz="4" w:space="0"/>
              <w:right w:val="single" w:color="auto" w:sz="4" w:space="0"/>
            </w:tcBorders>
            <w:noWrap w:val="0"/>
            <w:tcFitText/>
            <w:vAlign w:val="center"/>
          </w:tcPr>
          <w:p>
            <w:pPr>
              <w:spacing w:line="42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lang w:val="en-US" w:eastAsia="zh-CN"/>
              </w:rPr>
              <w:t>90</w:t>
            </w:r>
          </w:p>
        </w:tc>
        <w:tc>
          <w:tcPr>
            <w:tcW w:w="3442" w:type="dxa"/>
            <w:vMerge w:val="restart"/>
            <w:tcBorders>
              <w:top w:val="single" w:color="auto" w:sz="4" w:space="0"/>
              <w:left w:val="single" w:color="auto" w:sz="4" w:space="0"/>
              <w:bottom w:val="single" w:color="auto" w:sz="4" w:space="0"/>
              <w:right w:val="single" w:color="auto" w:sz="4" w:space="0"/>
            </w:tcBorders>
            <w:noWrap w:val="0"/>
            <w:tcFitText/>
            <w:vAlign w:val="center"/>
          </w:tcPr>
          <w:p>
            <w:pPr>
              <w:spacing w:line="42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41" w:type="dxa"/>
            <w:tcBorders>
              <w:top w:val="single" w:color="auto" w:sz="4" w:space="0"/>
              <w:left w:val="single" w:color="auto" w:sz="4" w:space="0"/>
              <w:bottom w:val="single" w:color="auto" w:sz="4" w:space="0"/>
              <w:right w:val="single" w:color="auto" w:sz="4" w:space="0"/>
            </w:tcBorders>
            <w:noWrap w:val="0"/>
            <w:tcFitText/>
            <w:vAlign w:val="top"/>
          </w:tcPr>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宁波</w:t>
            </w:r>
          </w:p>
        </w:tc>
        <w:tc>
          <w:tcPr>
            <w:tcW w:w="2823" w:type="dxa"/>
            <w:vMerge w:val="continue"/>
            <w:tcBorders>
              <w:left w:val="single" w:color="auto" w:sz="4" w:space="0"/>
              <w:right w:val="single" w:color="auto" w:sz="4" w:space="0"/>
            </w:tcBorders>
            <w:noWrap w:val="0"/>
            <w:tcFitText/>
            <w:vAlign w:val="center"/>
          </w:tcPr>
          <w:p>
            <w:pPr>
              <w:spacing w:line="560" w:lineRule="exact"/>
              <w:jc w:val="center"/>
              <w:rPr>
                <w:rFonts w:hint="eastAsia" w:ascii="仿宋_GB2312" w:hAnsi="仿宋_GB2312" w:eastAsia="仿宋_GB2312" w:cs="仿宋_GB2312"/>
                <w:color w:val="auto"/>
                <w:sz w:val="32"/>
                <w:szCs w:val="32"/>
                <w:highlight w:val="none"/>
              </w:rPr>
            </w:pPr>
          </w:p>
        </w:tc>
        <w:tc>
          <w:tcPr>
            <w:tcW w:w="3442" w:type="dxa"/>
            <w:vMerge w:val="continue"/>
            <w:tcBorders>
              <w:left w:val="single" w:color="auto" w:sz="4" w:space="0"/>
              <w:right w:val="single" w:color="auto" w:sz="4" w:space="0"/>
            </w:tcBorders>
            <w:noWrap w:val="0"/>
            <w:tcFitText/>
            <w:vAlign w:val="center"/>
          </w:tcPr>
          <w:p>
            <w:pPr>
              <w:spacing w:line="560" w:lineRule="exact"/>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1" w:type="dxa"/>
            <w:tcBorders>
              <w:top w:val="single" w:color="auto" w:sz="4" w:space="0"/>
              <w:left w:val="single" w:color="auto" w:sz="4" w:space="0"/>
              <w:bottom w:val="single" w:color="auto" w:sz="4" w:space="0"/>
              <w:right w:val="single" w:color="auto" w:sz="4" w:space="0"/>
            </w:tcBorders>
            <w:noWrap w:val="0"/>
            <w:tcFitText/>
            <w:vAlign w:val="top"/>
          </w:tcPr>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温州</w:t>
            </w:r>
          </w:p>
        </w:tc>
        <w:tc>
          <w:tcPr>
            <w:tcW w:w="2823" w:type="dxa"/>
            <w:vMerge w:val="continue"/>
            <w:tcBorders>
              <w:left w:val="single" w:color="auto" w:sz="4" w:space="0"/>
              <w:bottom w:val="single" w:color="auto" w:sz="4" w:space="0"/>
              <w:right w:val="single" w:color="auto" w:sz="4" w:space="0"/>
            </w:tcBorders>
            <w:noWrap w:val="0"/>
            <w:tcFitText/>
            <w:vAlign w:val="center"/>
          </w:tcPr>
          <w:p>
            <w:pPr>
              <w:widowControl/>
              <w:jc w:val="left"/>
              <w:rPr>
                <w:rFonts w:hint="eastAsia" w:ascii="仿宋_GB2312" w:hAnsi="仿宋_GB2312" w:eastAsia="仿宋_GB2312" w:cs="仿宋_GB2312"/>
                <w:color w:val="auto"/>
                <w:sz w:val="32"/>
                <w:szCs w:val="32"/>
                <w:highlight w:val="none"/>
              </w:rPr>
            </w:pPr>
          </w:p>
        </w:tc>
        <w:tc>
          <w:tcPr>
            <w:tcW w:w="3442" w:type="dxa"/>
            <w:vMerge w:val="continue"/>
            <w:tcBorders>
              <w:left w:val="single" w:color="auto" w:sz="4" w:space="0"/>
              <w:bottom w:val="single" w:color="auto" w:sz="4" w:space="0"/>
              <w:right w:val="single" w:color="auto" w:sz="4" w:space="0"/>
            </w:tcBorders>
            <w:noWrap w:val="0"/>
            <w:tcFitText/>
            <w:vAlign w:val="center"/>
          </w:tcPr>
          <w:p>
            <w:pPr>
              <w:widowControl/>
              <w:jc w:val="left"/>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2041" w:type="dxa"/>
            <w:tcBorders>
              <w:top w:val="single" w:color="auto" w:sz="4" w:space="0"/>
              <w:left w:val="single" w:color="auto" w:sz="4" w:space="0"/>
              <w:bottom w:val="single" w:color="auto" w:sz="4" w:space="0"/>
              <w:right w:val="single" w:color="auto" w:sz="4" w:space="0"/>
            </w:tcBorders>
            <w:noWrap w:val="0"/>
            <w:tcFitText/>
            <w:vAlign w:val="top"/>
          </w:tcPr>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湖州</w:t>
            </w:r>
          </w:p>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嘉兴</w:t>
            </w:r>
          </w:p>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绍兴</w:t>
            </w:r>
          </w:p>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金华</w:t>
            </w:r>
          </w:p>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衢州</w:t>
            </w:r>
          </w:p>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舟山</w:t>
            </w:r>
          </w:p>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台州</w:t>
            </w:r>
          </w:p>
          <w:p>
            <w:pPr>
              <w:spacing w:line="560" w:lineRule="exact"/>
              <w:jc w:val="center"/>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丽水</w:t>
            </w:r>
          </w:p>
        </w:tc>
        <w:tc>
          <w:tcPr>
            <w:tcW w:w="2823" w:type="dxa"/>
            <w:tcBorders>
              <w:top w:val="single" w:color="auto" w:sz="4" w:space="0"/>
              <w:left w:val="single" w:color="auto" w:sz="4" w:space="0"/>
              <w:bottom w:val="single" w:color="auto" w:sz="4" w:space="0"/>
              <w:right w:val="single" w:color="auto" w:sz="4" w:space="0"/>
            </w:tcBorders>
            <w:noWrap w:val="0"/>
            <w:tcFitText/>
            <w:vAlign w:val="center"/>
          </w:tcPr>
          <w:p>
            <w:pPr>
              <w:spacing w:line="56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30-60</w:t>
            </w:r>
          </w:p>
        </w:tc>
        <w:tc>
          <w:tcPr>
            <w:tcW w:w="3442" w:type="dxa"/>
            <w:tcBorders>
              <w:top w:val="single" w:color="auto" w:sz="4" w:space="0"/>
              <w:left w:val="single" w:color="auto" w:sz="4" w:space="0"/>
              <w:bottom w:val="single" w:color="auto" w:sz="4" w:space="0"/>
              <w:right w:val="single" w:color="auto" w:sz="4" w:space="0"/>
            </w:tcBorders>
            <w:noWrap w:val="0"/>
            <w:tcFitText/>
            <w:vAlign w:val="center"/>
          </w:tcPr>
          <w:p>
            <w:pPr>
              <w:spacing w:line="56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80-110</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备注：报经本级人民政府同意后</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lang w:eastAsia="zh-CN"/>
        </w:rPr>
        <w:t>杭州市城市规划区内（不含余杭、萧山、富阳、临安、临平）的征收标准，可继续参照浙价费</w:t>
      </w:r>
      <w:r>
        <w:rPr>
          <w:rFonts w:hint="eastAsia" w:ascii="仿宋_GB2312" w:hAnsi="仿宋_GB2312" w:eastAsia="仿宋_GB2312" w:cs="仿宋_GB2312"/>
          <w:color w:val="auto"/>
          <w:kern w:val="0"/>
          <w:sz w:val="24"/>
          <w:szCs w:val="24"/>
          <w:highlight w:val="none"/>
        </w:rPr>
        <w:t>〔20</w:t>
      </w:r>
      <w:r>
        <w:rPr>
          <w:rFonts w:hint="eastAsia" w:ascii="仿宋_GB2312" w:hAnsi="仿宋_GB2312" w:eastAsia="仿宋_GB2312" w:cs="仿宋_GB2312"/>
          <w:color w:val="auto"/>
          <w:kern w:val="0"/>
          <w:sz w:val="24"/>
          <w:szCs w:val="24"/>
          <w:highlight w:val="none"/>
          <w:lang w:eastAsia="zh-CN"/>
        </w:rPr>
        <w:t>1</w:t>
      </w:r>
      <w:r>
        <w:rPr>
          <w:rFonts w:hint="eastAsia" w:ascii="仿宋_GB2312" w:hAnsi="仿宋_GB2312" w:eastAsia="仿宋_GB2312" w:cs="仿宋_GB2312"/>
          <w:color w:val="auto"/>
          <w:kern w:val="0"/>
          <w:sz w:val="24"/>
          <w:szCs w:val="24"/>
          <w:highlight w:val="none"/>
          <w:lang w:val="en-US" w:eastAsia="zh-CN"/>
        </w:rPr>
        <w:t>4</w:t>
      </w:r>
      <w:r>
        <w:rPr>
          <w:rFonts w:hint="eastAsia" w:ascii="仿宋_GB2312" w:hAnsi="仿宋_GB2312" w:eastAsia="仿宋_GB2312" w:cs="仿宋_GB2312"/>
          <w:color w:val="auto"/>
          <w:kern w:val="0"/>
          <w:sz w:val="24"/>
          <w:szCs w:val="24"/>
          <w:highlight w:val="none"/>
        </w:rPr>
        <w:t>〕2</w:t>
      </w:r>
      <w:r>
        <w:rPr>
          <w:rFonts w:hint="eastAsia" w:ascii="仿宋_GB2312" w:hAnsi="仿宋_GB2312" w:eastAsia="仿宋_GB2312" w:cs="仿宋_GB2312"/>
          <w:color w:val="auto"/>
          <w:kern w:val="0"/>
          <w:sz w:val="24"/>
          <w:szCs w:val="24"/>
          <w:highlight w:val="none"/>
          <w:lang w:eastAsia="zh-CN"/>
        </w:rPr>
        <w:t>2</w:t>
      </w:r>
      <w:r>
        <w:rPr>
          <w:rFonts w:hint="eastAsia" w:ascii="仿宋_GB2312" w:hAnsi="仿宋_GB2312" w:eastAsia="仿宋_GB2312" w:cs="仿宋_GB2312"/>
          <w:color w:val="auto"/>
          <w:kern w:val="0"/>
          <w:sz w:val="24"/>
          <w:szCs w:val="24"/>
          <w:highlight w:val="none"/>
        </w:rPr>
        <w:t>号</w:t>
      </w:r>
      <w:r>
        <w:rPr>
          <w:rFonts w:hint="eastAsia" w:ascii="仿宋_GB2312" w:hAnsi="仿宋_GB2312" w:eastAsia="仿宋_GB2312" w:cs="仿宋_GB2312"/>
          <w:color w:val="auto"/>
          <w:kern w:val="0"/>
          <w:sz w:val="24"/>
          <w:szCs w:val="24"/>
          <w:highlight w:val="none"/>
          <w:lang w:eastAsia="zh-CN"/>
        </w:rPr>
        <w:t>文件；建德市、淳安县的征收标准可继续参照浙价房</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1997</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414</w:t>
      </w:r>
      <w:r>
        <w:rPr>
          <w:rFonts w:hint="eastAsia" w:ascii="仿宋_GB2312" w:hAnsi="仿宋_GB2312" w:eastAsia="仿宋_GB2312" w:cs="仿宋_GB2312"/>
          <w:color w:val="auto"/>
          <w:kern w:val="0"/>
          <w:sz w:val="24"/>
          <w:szCs w:val="24"/>
          <w:highlight w:val="none"/>
        </w:rPr>
        <w:t>号</w:t>
      </w:r>
      <w:r>
        <w:rPr>
          <w:rFonts w:hint="eastAsia" w:ascii="仿宋_GB2312" w:hAnsi="仿宋_GB2312" w:eastAsia="仿宋_GB2312" w:cs="仿宋_GB2312"/>
          <w:color w:val="auto"/>
          <w:kern w:val="0"/>
          <w:sz w:val="24"/>
          <w:szCs w:val="24"/>
          <w:highlight w:val="none"/>
          <w:lang w:eastAsia="zh-CN"/>
        </w:rPr>
        <w:t>文件。</w:t>
      </w:r>
    </w:p>
    <w:p>
      <w:pPr>
        <w:widowControl/>
        <w:spacing w:line="368" w:lineRule="atLeast"/>
        <w:jc w:val="left"/>
        <w:rPr>
          <w:rFonts w:hint="eastAsia" w:ascii="方正黑体_GBK" w:hAnsi="方正黑体_GBK" w:eastAsia="方正黑体_GBK" w:cs="方正黑体_GBK"/>
          <w:color w:val="auto"/>
          <w:kern w:val="0"/>
          <w:sz w:val="32"/>
          <w:szCs w:val="32"/>
          <w:highlight w:val="none"/>
        </w:rPr>
      </w:pPr>
    </w:p>
    <w:p>
      <w:pPr>
        <w:widowControl/>
        <w:spacing w:line="368" w:lineRule="atLeast"/>
        <w:jc w:val="left"/>
        <w:rPr>
          <w:rFonts w:hint="eastAsia" w:ascii="方正黑体_GBK" w:hAnsi="方正黑体_GBK" w:eastAsia="方正黑体_GBK" w:cs="方正黑体_GBK"/>
          <w:color w:val="auto"/>
          <w:kern w:val="0"/>
          <w:sz w:val="32"/>
          <w:szCs w:val="32"/>
        </w:rPr>
      </w:pPr>
    </w:p>
    <w:p>
      <w:pPr>
        <w:widowControl/>
        <w:spacing w:line="368" w:lineRule="atLeast"/>
        <w:jc w:val="left"/>
        <w:rPr>
          <w:rFonts w:hint="eastAsia" w:ascii="方正黑体_GBK" w:hAnsi="方正黑体_GBK" w:eastAsia="方正黑体_GBK" w:cs="方正黑体_GBK"/>
          <w:color w:val="auto"/>
          <w:kern w:val="0"/>
          <w:sz w:val="32"/>
          <w:szCs w:val="32"/>
        </w:rPr>
      </w:pPr>
    </w:p>
    <w:p>
      <w:pPr>
        <w:widowControl/>
        <w:spacing w:line="368" w:lineRule="atLeast"/>
        <w:jc w:val="left"/>
        <w:rPr>
          <w:rFonts w:hint="eastAsia" w:ascii="方正黑体_GBK" w:hAnsi="方正黑体_GBK" w:eastAsia="方正黑体_GBK" w:cs="方正黑体_GBK"/>
          <w:color w:val="auto"/>
          <w:kern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方正黑体_GBK" w:hAnsi="方正黑体_GBK" w:eastAsia="方正黑体_GBK" w:cs="方正黑体_GBK"/>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left="0" w:right="0"/>
        <w:jc w:val="center"/>
        <w:rPr>
          <w:rStyle w:val="9"/>
          <w:rFonts w:hint="eastAsia" w:ascii="方正小标宋简体" w:hAnsi="方正小标宋简体" w:eastAsia="方正小标宋简体" w:cs="方正小标宋简体"/>
          <w:b w:val="0"/>
          <w:bCs/>
          <w:color w:val="auto"/>
          <w:sz w:val="44"/>
          <w:szCs w:val="44"/>
          <w:lang w:eastAsia="zh-CN"/>
        </w:rPr>
      </w:pPr>
      <w:r>
        <w:rPr>
          <w:rStyle w:val="9"/>
          <w:rFonts w:hint="eastAsia" w:ascii="方正小标宋简体" w:hAnsi="方正小标宋简体" w:eastAsia="方正小标宋简体" w:cs="方正小标宋简体"/>
          <w:b w:val="0"/>
          <w:bCs/>
          <w:color w:val="auto"/>
          <w:sz w:val="44"/>
          <w:szCs w:val="44"/>
          <w:lang w:eastAsia="zh-CN"/>
        </w:rPr>
        <w:t>国家规定的</w:t>
      </w:r>
      <w:r>
        <w:rPr>
          <w:rStyle w:val="9"/>
          <w:rFonts w:hint="eastAsia" w:ascii="方正小标宋简体" w:hAnsi="方正小标宋简体" w:eastAsia="方正小标宋简体" w:cs="方正小标宋简体"/>
          <w:b w:val="0"/>
          <w:bCs/>
          <w:color w:val="auto"/>
          <w:sz w:val="44"/>
          <w:szCs w:val="44"/>
        </w:rPr>
        <w:t>城市基础设施配套费减免</w:t>
      </w:r>
      <w:r>
        <w:rPr>
          <w:rStyle w:val="9"/>
          <w:rFonts w:hint="eastAsia" w:ascii="方正小标宋简体" w:hAnsi="方正小标宋简体" w:eastAsia="方正小标宋简体" w:cs="方正小标宋简体"/>
          <w:b w:val="0"/>
          <w:bCs/>
          <w:color w:val="auto"/>
          <w:sz w:val="44"/>
          <w:szCs w:val="44"/>
          <w:lang w:eastAsia="zh-CN"/>
        </w:rPr>
        <w:t>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left="0" w:right="0"/>
        <w:jc w:val="center"/>
        <w:rPr>
          <w:rStyle w:val="9"/>
          <w:rFonts w:ascii="方正小标宋简体" w:hAnsi="方正小标宋简体" w:eastAsia="方正小标宋简体" w:cs="方正小标宋简体"/>
        </w:rPr>
      </w:pPr>
    </w:p>
    <w:tbl>
      <w:tblPr>
        <w:tblStyle w:val="6"/>
        <w:tblW w:w="830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36"/>
        <w:gridCol w:w="1078"/>
        <w:gridCol w:w="1996"/>
        <w:gridCol w:w="33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94" w:hRule="atLeast"/>
          <w:tblHeader/>
          <w:jc w:val="center"/>
        </w:trPr>
        <w:tc>
          <w:tcPr>
            <w:tcW w:w="183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黑体" w:hAnsi="黑体" w:eastAsia="黑体" w:cs="黑体"/>
                <w:color w:val="auto"/>
                <w:sz w:val="21"/>
                <w:szCs w:val="21"/>
              </w:rPr>
            </w:pPr>
            <w:r>
              <w:rPr>
                <w:rFonts w:hint="eastAsia" w:ascii="黑体" w:hAnsi="黑体" w:eastAsia="黑体" w:cs="黑体"/>
                <w:color w:val="auto"/>
                <w:sz w:val="24"/>
                <w:szCs w:val="24"/>
              </w:rPr>
              <w:t>项目名称</w:t>
            </w:r>
          </w:p>
        </w:tc>
        <w:tc>
          <w:tcPr>
            <w:tcW w:w="1078" w:type="dxa"/>
            <w:tcBorders>
              <w:top w:val="single" w:color="auto" w:sz="6" w:space="0"/>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黑体" w:hAnsi="黑体" w:eastAsia="黑体" w:cs="黑体"/>
                <w:color w:val="auto"/>
                <w:sz w:val="21"/>
                <w:szCs w:val="21"/>
              </w:rPr>
            </w:pPr>
            <w:r>
              <w:rPr>
                <w:rFonts w:hint="eastAsia" w:ascii="黑体" w:hAnsi="黑体" w:eastAsia="黑体" w:cs="黑体"/>
                <w:color w:val="auto"/>
                <w:sz w:val="24"/>
                <w:szCs w:val="24"/>
              </w:rPr>
              <w:t>减免方式</w:t>
            </w:r>
          </w:p>
        </w:tc>
        <w:tc>
          <w:tcPr>
            <w:tcW w:w="1996" w:type="dxa"/>
            <w:tcBorders>
              <w:top w:val="single" w:color="auto" w:sz="6" w:space="0"/>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黑体" w:hAnsi="黑体" w:eastAsia="黑体" w:cs="黑体"/>
                <w:color w:val="auto"/>
                <w:sz w:val="21"/>
                <w:szCs w:val="21"/>
              </w:rPr>
            </w:pPr>
            <w:r>
              <w:rPr>
                <w:rFonts w:hint="eastAsia" w:ascii="黑体" w:hAnsi="黑体" w:eastAsia="黑体" w:cs="黑体"/>
                <w:color w:val="auto"/>
                <w:sz w:val="24"/>
                <w:szCs w:val="24"/>
              </w:rPr>
              <w:t>文件依据</w:t>
            </w:r>
          </w:p>
        </w:tc>
        <w:tc>
          <w:tcPr>
            <w:tcW w:w="3396" w:type="dxa"/>
            <w:tcBorders>
              <w:top w:val="single" w:color="auto" w:sz="6" w:space="0"/>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80" w:hRule="atLeast"/>
          <w:jc w:val="center"/>
        </w:trPr>
        <w:tc>
          <w:tcPr>
            <w:tcW w:w="183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廉租住房</w:t>
            </w:r>
            <w:r>
              <w:rPr>
                <w:rFonts w:hint="eastAsia" w:ascii="仿宋_GB2312" w:hAnsi="仿宋_GB2312" w:eastAsia="仿宋_GB2312" w:cs="仿宋_GB2312"/>
                <w:color w:val="auto"/>
                <w:sz w:val="24"/>
                <w:szCs w:val="24"/>
                <w:lang w:eastAsia="zh-CN"/>
              </w:rPr>
              <w:t>和经济适用房建设</w:t>
            </w:r>
            <w:r>
              <w:rPr>
                <w:rFonts w:hint="eastAsia" w:ascii="仿宋_GB2312" w:hAnsi="仿宋_GB2312" w:eastAsia="仿宋_GB2312" w:cs="仿宋_GB2312"/>
                <w:color w:val="auto"/>
                <w:sz w:val="24"/>
                <w:szCs w:val="24"/>
              </w:rPr>
              <w:t>、棚户区改造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旧住宅区整治项目</w:t>
            </w:r>
          </w:p>
        </w:tc>
        <w:tc>
          <w:tcPr>
            <w:tcW w:w="1078"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19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国发〔2007〕24号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十六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一是廉租住房和经济适用住房建设、棚户区改造、旧住宅区整治一律免收城市基础设施配套费等各种行政事业性收费和政府性基金。</w:t>
            </w:r>
            <w:r>
              <w:rPr>
                <w:rFonts w:hint="eastAsia" w:ascii="仿宋_GB2312" w:hAnsi="仿宋_GB2312" w:eastAsia="仿宋_GB2312" w:cs="仿宋_GB2312"/>
                <w:color w:val="auto"/>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41" w:hRule="atLeast"/>
          <w:jc w:val="center"/>
        </w:trPr>
        <w:tc>
          <w:tcPr>
            <w:tcW w:w="183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廉租住房、公共租赁住房、经济适用房住房和棚户区改造安置住房</w:t>
            </w:r>
          </w:p>
        </w:tc>
        <w:tc>
          <w:tcPr>
            <w:tcW w:w="1078"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免征</w:t>
            </w:r>
          </w:p>
        </w:tc>
        <w:tc>
          <w:tcPr>
            <w:tcW w:w="19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国办发〔2011〕45号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五）落实税费减免政策。对廉租住房、公共租赁住房、经济适用住房和棚户区改造安置住房，要切实落实现行建设、买卖、经营等环节税收优惠政策，免收城市基础设施配套费等各种行政事业性收费和政府性基金。</w:t>
            </w:r>
            <w:r>
              <w:rPr>
                <w:rFonts w:hint="eastAsia" w:ascii="仿宋_GB2312" w:hAnsi="仿宋_GB2312" w:eastAsia="仿宋_GB2312" w:cs="仿宋_GB2312"/>
                <w:color w:val="auto"/>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04" w:hRule="atLeast"/>
          <w:jc w:val="center"/>
        </w:trPr>
        <w:tc>
          <w:tcPr>
            <w:tcW w:w="183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军队后勤保障社会化</w:t>
            </w:r>
            <w:r>
              <w:rPr>
                <w:rFonts w:hint="eastAsia" w:ascii="仿宋_GB2312" w:hAnsi="仿宋_GB2312" w:eastAsia="仿宋_GB2312" w:cs="仿宋_GB2312"/>
                <w:color w:val="auto"/>
                <w:sz w:val="24"/>
                <w:szCs w:val="24"/>
                <w:lang w:eastAsia="zh-CN"/>
              </w:rPr>
              <w:t>需要配套</w:t>
            </w:r>
            <w:r>
              <w:rPr>
                <w:rFonts w:hint="eastAsia" w:ascii="仿宋_GB2312" w:hAnsi="仿宋_GB2312" w:eastAsia="仿宋_GB2312" w:cs="仿宋_GB2312"/>
                <w:color w:val="auto"/>
                <w:sz w:val="24"/>
                <w:szCs w:val="24"/>
              </w:rPr>
              <w:t>改造</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项目</w:t>
            </w:r>
          </w:p>
        </w:tc>
        <w:tc>
          <w:tcPr>
            <w:tcW w:w="1078"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19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国发〔2002〕20号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一、关于营房保障（二）对军队后勤保障社会化需要配套改造的项目，免征城市基础设施配套费。</w:t>
            </w:r>
            <w:r>
              <w:rPr>
                <w:rFonts w:hint="eastAsia" w:ascii="仿宋_GB2312" w:hAnsi="仿宋_GB2312" w:eastAsia="仿宋_GB2312" w:cs="仿宋_GB2312"/>
                <w:color w:val="auto"/>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78" w:hRule="atLeast"/>
          <w:jc w:val="center"/>
        </w:trPr>
        <w:tc>
          <w:tcPr>
            <w:tcW w:w="183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rPr>
              <w:t>城镇和农村、公立和民办、教育系统和非教育系统的所有中小学校 (含幼儿园) 校舍建设项目</w:t>
            </w:r>
          </w:p>
        </w:tc>
        <w:tc>
          <w:tcPr>
            <w:tcW w:w="1078"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19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国办发〔2013〕103号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二、(一)覆盖范围：全国城镇和农村、公立和民办、教育系统和非教育系统的所有中小学（含幼儿园）”“（三）落实扶持鼓励政策。校舍建设项目涉及的行政事业性收费和政府性基金，应予以免收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74" w:hRule="atLeast"/>
          <w:jc w:val="center"/>
        </w:trPr>
        <w:tc>
          <w:tcPr>
            <w:tcW w:w="183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8" w:lineRule="atLeast"/>
              <w:ind w:left="0" w:right="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4"/>
                <w:szCs w:val="24"/>
              </w:rPr>
              <w:t>易地扶贫搬迁项目</w:t>
            </w:r>
          </w:p>
        </w:tc>
        <w:tc>
          <w:tcPr>
            <w:tcW w:w="1078"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19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财税〔2019〕53号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rPr>
              <w:t>一、对易地扶贫搬迁项目免征城市基础设施配套费、不动产登记费。</w:t>
            </w:r>
            <w:r>
              <w:rPr>
                <w:rFonts w:hint="eastAsia" w:ascii="仿宋_GB2312" w:hAnsi="仿宋_GB2312" w:eastAsia="仿宋_GB2312" w:cs="仿宋_GB2312"/>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77" w:hRule="atLeast"/>
          <w:jc w:val="center"/>
        </w:trPr>
        <w:tc>
          <w:tcPr>
            <w:tcW w:w="183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105"/>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4"/>
                <w:szCs w:val="24"/>
              </w:rPr>
              <w:t>用于提供社区养老、托育、家政服务的建设项目</w:t>
            </w:r>
          </w:p>
        </w:tc>
        <w:tc>
          <w:tcPr>
            <w:tcW w:w="1078"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19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财政部等6部门2019年第76号公告</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用于提供社区养老、托育、家政服务的建设项目，免征城市基础设施配套费（自2019年6月1日起执行至2025年12月31日）</w:t>
            </w:r>
            <w:r>
              <w:rPr>
                <w:rFonts w:hint="eastAsia" w:ascii="仿宋_GB2312" w:hAnsi="仿宋_GB2312" w:eastAsia="仿宋_GB2312" w:cs="仿宋_GB2312"/>
                <w:color w:val="auto"/>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99" w:hRule="atLeast"/>
          <w:jc w:val="center"/>
        </w:trPr>
        <w:tc>
          <w:tcPr>
            <w:tcW w:w="183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105"/>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4"/>
                <w:szCs w:val="24"/>
              </w:rPr>
              <w:t>保障性租赁住房项目</w:t>
            </w:r>
          </w:p>
        </w:tc>
        <w:tc>
          <w:tcPr>
            <w:tcW w:w="1078"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19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国办发〔2021〕22号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rPr>
              <w:t>（四）降低税费负担。对保障性租赁住房项目免收城市基础设施配套费。</w:t>
            </w:r>
            <w:r>
              <w:rPr>
                <w:rFonts w:hint="eastAsia" w:ascii="仿宋_GB2312" w:hAnsi="仿宋_GB2312" w:eastAsia="仿宋_GB2312" w:cs="仿宋_GB2312"/>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04" w:hRule="atLeast"/>
          <w:jc w:val="center"/>
        </w:trPr>
        <w:tc>
          <w:tcPr>
            <w:tcW w:w="183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10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保障性住房</w:t>
            </w:r>
          </w:p>
        </w:tc>
        <w:tc>
          <w:tcPr>
            <w:tcW w:w="1078"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免征</w:t>
            </w:r>
          </w:p>
        </w:tc>
        <w:tc>
          <w:tcPr>
            <w:tcW w:w="199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国发〔2023〕14号</w:t>
            </w:r>
          </w:p>
        </w:tc>
        <w:tc>
          <w:tcPr>
            <w:tcW w:w="339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“三、支持政策。符合条件的保障性住房项目适用经济适用住房有关税费支持政策。”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39" w:hRule="atLeast"/>
          <w:jc w:val="center"/>
        </w:trPr>
        <w:tc>
          <w:tcPr>
            <w:tcW w:w="183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105"/>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城中村改造项目</w:t>
            </w:r>
          </w:p>
        </w:tc>
        <w:tc>
          <w:tcPr>
            <w:tcW w:w="1078"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免征</w:t>
            </w:r>
          </w:p>
        </w:tc>
        <w:tc>
          <w:tcPr>
            <w:tcW w:w="199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国办发</w:t>
            </w:r>
            <w:r>
              <w:rPr>
                <w:rFonts w:hint="eastAsia" w:ascii="仿宋_GB2312" w:hAnsi="仿宋_GB2312" w:eastAsia="仿宋_GB2312" w:cs="仿宋_GB2312"/>
                <w:color w:val="auto"/>
                <w:sz w:val="24"/>
                <w:szCs w:val="24"/>
              </w:rPr>
              <w:t>〔2023〕</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号</w:t>
            </w:r>
          </w:p>
        </w:tc>
        <w:tc>
          <w:tcPr>
            <w:tcW w:w="339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“三、支持政策。符合条件的城中村改造项目适用现行棚户区改造有关税费支持政策。”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6" w:hRule="atLeast"/>
          <w:jc w:val="center"/>
        </w:trPr>
        <w:tc>
          <w:tcPr>
            <w:tcW w:w="8306"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国家对减免城市基础设施配套费</w:t>
            </w:r>
            <w:r>
              <w:rPr>
                <w:rFonts w:hint="eastAsia" w:ascii="仿宋_GB2312" w:hAnsi="仿宋_GB2312" w:eastAsia="仿宋_GB2312" w:cs="仿宋_GB2312"/>
                <w:color w:val="auto"/>
                <w:sz w:val="24"/>
                <w:szCs w:val="24"/>
                <w:lang w:eastAsia="zh-CN"/>
              </w:rPr>
              <w:t>的其他规定或</w:t>
            </w:r>
            <w:r>
              <w:rPr>
                <w:rFonts w:hint="eastAsia" w:ascii="仿宋_GB2312" w:hAnsi="仿宋_GB2312" w:eastAsia="仿宋_GB2312" w:cs="仿宋_GB2312"/>
                <w:color w:val="auto"/>
                <w:sz w:val="24"/>
                <w:szCs w:val="24"/>
              </w:rPr>
              <w:t>有新规定的，从其规定。</w:t>
            </w:r>
          </w:p>
        </w:tc>
      </w:tr>
    </w:tbl>
    <w:p>
      <w:pPr>
        <w:spacing w:before="0" w:beforeAutospacing="0" w:after="0" w:afterAutospacing="0" w:line="368" w:lineRule="exact"/>
        <w:rPr>
          <w:rFonts w:hint="eastAsia" w:ascii="方正黑体_GBK" w:hAnsi="方正黑体_GBK" w:eastAsia="方正黑体_GBK" w:cs="方正黑体_GBK"/>
          <w:color w:val="auto"/>
          <w:sz w:val="32"/>
          <w:szCs w:val="32"/>
        </w:rPr>
      </w:pPr>
      <w:r>
        <w:rPr>
          <w:rFonts w:hint="eastAsia" w:ascii="仿宋_GB2312" w:hAnsi="仿宋_GB2312" w:eastAsia="仿宋_GB2312" w:cs="仿宋_GB2312"/>
          <w:color w:val="auto"/>
          <w:kern w:val="0"/>
          <w:sz w:val="24"/>
          <w:szCs w:val="24"/>
          <w:lang w:eastAsia="zh-CN"/>
        </w:rPr>
        <w:t>备注：此表仅是对国家相关文件规定的摘录。国家出台的减免政策最终解释权，由中央相关职能部门负责解释。</w:t>
      </w:r>
    </w:p>
    <w:p>
      <w:pPr>
        <w:pStyle w:val="2"/>
        <w:ind w:left="0" w:leftChars="0" w:firstLine="0" w:firstLineChars="0"/>
        <w:rPr>
          <w:rFonts w:hint="default" w:ascii="方正小标宋_GBK" w:hAnsi="方正小标宋_GBK" w:eastAsia="方正小标宋_GBK" w:cs="方正小标宋_GBK"/>
          <w:b w:val="0"/>
          <w:bCs w:val="0"/>
          <w:kern w:val="2"/>
          <w:sz w:val="28"/>
          <w:szCs w:val="28"/>
          <w:lang w:val="en-US" w:eastAsia="zh-CN" w:bidi="ar-SA"/>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eastAsia" w:ascii="方正小标宋_GBK" w:hAnsi="方正小标宋_GBK" w:eastAsia="方正小标宋_GBK" w:cs="方正小标宋_GBK"/>
          <w:b w:val="0"/>
          <w:bCs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eastAsia" w:ascii="方正小标宋_GBK" w:hAnsi="方正小标宋_GBK" w:eastAsia="方正小标宋_GBK" w:cs="方正小标宋_GBK"/>
          <w:b w:val="0"/>
          <w:bCs w:val="0"/>
          <w:sz w:val="28"/>
          <w:szCs w:val="28"/>
          <w:lang w:eastAsia="zh-CN"/>
        </w:rPr>
      </w:pPr>
    </w:p>
    <w:p>
      <w:pPr>
        <w:pStyle w:val="2"/>
        <w:rPr>
          <w:rFonts w:hint="default"/>
          <w:lang w:val="en-US"/>
        </w:rPr>
      </w:pPr>
      <w:bookmarkStart w:id="6" w:name="_GoBack"/>
      <w:bookmarkEnd w:id="6"/>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703B1"/>
    <w:rsid w:val="00F429B3"/>
    <w:rsid w:val="15BC0A99"/>
    <w:rsid w:val="16A91EF8"/>
    <w:rsid w:val="17B45267"/>
    <w:rsid w:val="2F270D46"/>
    <w:rsid w:val="33032E07"/>
    <w:rsid w:val="35944C23"/>
    <w:rsid w:val="3AB703B1"/>
    <w:rsid w:val="3BB25BF2"/>
    <w:rsid w:val="3FC165DA"/>
    <w:rsid w:val="409E17CC"/>
    <w:rsid w:val="48226458"/>
    <w:rsid w:val="50085D38"/>
    <w:rsid w:val="51F64399"/>
    <w:rsid w:val="5D933443"/>
    <w:rsid w:val="5F953BAA"/>
    <w:rsid w:val="6B041DB7"/>
    <w:rsid w:val="6EFB3121"/>
    <w:rsid w:val="6FAE6693"/>
    <w:rsid w:val="73581BB2"/>
    <w:rsid w:val="7DEB5F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缩进 21"/>
    <w:basedOn w:val="1"/>
    <w:qFormat/>
    <w:uiPriority w:val="99"/>
    <w:pPr>
      <w:spacing w:after="120" w:line="480" w:lineRule="auto"/>
      <w:ind w:left="200" w:leftChars="200"/>
    </w:pPr>
    <w:rPr>
      <w:rFonts w:ascii="Times New Roman" w:hAnsi="Times New Roman" w:eastAsia="宋体"/>
    </w:rPr>
  </w:style>
  <w:style w:type="paragraph" w:styleId="3">
    <w:name w:val="Body Text"/>
    <w:basedOn w:val="1"/>
    <w:next w:val="4"/>
    <w:qFormat/>
    <w:uiPriority w:val="0"/>
    <w:pPr>
      <w:snapToGrid w:val="0"/>
      <w:spacing w:line="600" w:lineRule="atLeast"/>
      <w:ind w:firstLine="0" w:firstLineChars="0"/>
      <w:jc w:val="center"/>
    </w:pPr>
    <w:rPr>
      <w:rFonts w:eastAsia="创艺简标宋"/>
      <w:sz w:val="44"/>
    </w:rPr>
  </w:style>
  <w:style w:type="paragraph" w:styleId="4">
    <w:name w:val="Body Text First Indent"/>
    <w:basedOn w:val="3"/>
    <w:next w:val="1"/>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 w:type="paragraph" w:styleId="5">
    <w:name w:val="Normal (Web)"/>
    <w:basedOn w:val="1"/>
    <w:unhideWhenUsed/>
    <w:qFormat/>
    <w:uiPriority w:val="99"/>
    <w:pPr>
      <w:spacing w:before="100" w:beforeAutospacing="1" w:after="100" w:afterAutospacing="1" w:line="240" w:lineRule="auto"/>
      <w:jc w:val="left"/>
    </w:pPr>
    <w:rPr>
      <w:rFonts w:ascii="宋体" w:hAnsi="宋体" w:eastAsia="宋体" w:cs="宋体"/>
      <w:snapToGrid/>
      <w:kern w:val="0"/>
      <w:sz w:val="24"/>
      <w:szCs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2024-08-15T14:46:00Z</dcterms:created>
  <dc:creator>Administrator</dc:creator>
  <cp:lastModifiedBy>景宁县财政局文书</cp:lastModifiedBy>
  <dcterms:modified xsi:type="dcterms:W3CDTF">2024-08-19T02:05:50Z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DBE74E1D2D2B4765B8766A08551E2D19</vt:lpwstr>
  </property>
</Properties>
</file>