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w:t>
      </w: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lang w:val="en-US" w:eastAsia="zh-CN"/>
        </w:rPr>
        <w:t>莲都区</w:t>
      </w:r>
      <w:r>
        <w:rPr>
          <w:rFonts w:hint="eastAsia" w:ascii="方正小标宋简体" w:hAnsi="方正小标宋简体" w:eastAsia="方正小标宋简体" w:cs="方正小标宋简体"/>
          <w:sz w:val="44"/>
          <w:szCs w:val="44"/>
          <w:highlight w:val="none"/>
        </w:rPr>
        <w:t>公共数据授权运营管理实施细则（试行）（征求意见稿）</w:t>
      </w: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rPr>
        <w:t>的起草说明</w:t>
      </w:r>
    </w:p>
    <w:p>
      <w:pPr>
        <w:spacing w:line="560" w:lineRule="exact"/>
        <w:ind w:firstLine="640" w:firstLineChars="200"/>
        <w:rPr>
          <w:rFonts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outlineLvl w:val="0"/>
        <w:rPr>
          <w:rFonts w:hint="eastAsia" w:ascii="黑体" w:hAnsi="黑体" w:eastAsia="黑体" w:cs="Times New Roman"/>
          <w:spacing w:val="-6"/>
          <w:kern w:val="2"/>
          <w:sz w:val="32"/>
          <w:szCs w:val="24"/>
          <w:lang w:val="en-US" w:eastAsia="zh-CN" w:bidi="ar-SA"/>
        </w:rPr>
      </w:pPr>
      <w:r>
        <w:rPr>
          <w:rFonts w:hint="eastAsia" w:ascii="黑体" w:hAnsi="黑体" w:eastAsia="黑体" w:cs="Times New Roman"/>
          <w:spacing w:val="-6"/>
          <w:kern w:val="2"/>
          <w:sz w:val="32"/>
          <w:szCs w:val="24"/>
          <w:lang w:val="en-US" w:eastAsia="zh-CN" w:bidi="ar-SA"/>
        </w:rPr>
        <w:t>一、制定文件的</w:t>
      </w:r>
      <w:r>
        <w:rPr>
          <w:rFonts w:hint="eastAsia" w:ascii="黑体" w:hAnsi="黑体" w:eastAsia="黑体" w:cs="黑体"/>
          <w:sz w:val="32"/>
          <w:szCs w:val="32"/>
          <w:highlight w:val="none"/>
          <w:lang w:val="en-US" w:eastAsia="zh-CN"/>
        </w:rPr>
        <w:t>必要性</w:t>
      </w:r>
      <w:r>
        <w:rPr>
          <w:rFonts w:hint="eastAsia" w:ascii="黑体" w:hAnsi="黑体" w:eastAsia="黑体" w:cs="Times New Roman"/>
          <w:spacing w:val="-6"/>
          <w:kern w:val="2"/>
          <w:sz w:val="32"/>
          <w:szCs w:val="24"/>
          <w:lang w:val="en-US" w:eastAsia="zh-CN" w:bidi="ar-SA"/>
        </w:rPr>
        <w:t>和可行性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为规范全</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公共数据授权运营行为，加快公共数据有序开发利用，培育数据要素市场，根据《浙江省公共数据条例》《浙江省人民政府办公厅关于印发浙江省公共数据授权运营管理办法（试行）的通知》（浙政办发〔2023〕44号）《丽水市公共数据授权运营管理实施细则（试行）》等文件精神，结合本</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实际，制定《</w:t>
      </w:r>
      <w:r>
        <w:rPr>
          <w:rFonts w:hint="eastAsia" w:ascii="仿宋_GB2312" w:eastAsia="仿宋_GB2312"/>
          <w:sz w:val="32"/>
          <w:szCs w:val="32"/>
          <w:highlight w:val="none"/>
          <w:lang w:val="en-US" w:eastAsia="zh-CN"/>
        </w:rPr>
        <w:t>莲都区</w:t>
      </w:r>
      <w:r>
        <w:rPr>
          <w:rFonts w:hint="eastAsia" w:ascii="仿宋_GB2312" w:eastAsia="仿宋_GB2312"/>
          <w:sz w:val="32"/>
          <w:szCs w:val="32"/>
          <w:highlight w:val="none"/>
        </w:rPr>
        <w:t>公共数据授权运营管理实施细则（试行）》（征求意见稿）</w:t>
      </w:r>
      <w:r>
        <w:rPr>
          <w:rFonts w:hint="eastAsia" w:ascii="仿宋_GB2312" w:eastAsia="仿宋_GB2312"/>
          <w:sz w:val="32"/>
          <w:szCs w:val="32"/>
          <w:highlight w:val="none"/>
          <w:lang w:eastAsia="zh-CN"/>
        </w:rPr>
        <w:t>（以下简称《细则》）。</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outlineLvl w:val="0"/>
        <w:rPr>
          <w:rFonts w:ascii="黑体" w:hAnsi="黑体" w:eastAsia="黑体" w:cs="黑体"/>
          <w:sz w:val="32"/>
          <w:szCs w:val="32"/>
          <w:highlight w:val="none"/>
        </w:rPr>
      </w:pPr>
      <w:r>
        <w:rPr>
          <w:rFonts w:hint="eastAsia" w:ascii="黑体" w:hAnsi="黑体" w:eastAsia="黑体" w:cs="黑体"/>
          <w:sz w:val="32"/>
          <w:szCs w:val="32"/>
          <w:highlight w:val="none"/>
        </w:rPr>
        <w:t>二、主要内容</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《细则》主要对公共数据授权运营管理机制、授权</w:t>
      </w:r>
      <w:r>
        <w:rPr>
          <w:rFonts w:hint="eastAsia" w:ascii="仿宋_GB2312" w:eastAsia="仿宋_GB2312"/>
          <w:sz w:val="32"/>
          <w:szCs w:val="32"/>
          <w:highlight w:val="none"/>
          <w:lang w:eastAsia="zh-CN"/>
        </w:rPr>
        <w:t>与授权终止</w:t>
      </w:r>
      <w:r>
        <w:rPr>
          <w:rFonts w:hint="eastAsia" w:ascii="仿宋_GB2312" w:eastAsia="仿宋_GB2312"/>
          <w:sz w:val="32"/>
          <w:szCs w:val="32"/>
          <w:highlight w:val="none"/>
        </w:rPr>
        <w:t>、授权运营</w:t>
      </w:r>
      <w:r>
        <w:rPr>
          <w:rFonts w:hint="eastAsia" w:ascii="仿宋_GB2312" w:eastAsia="仿宋_GB2312"/>
          <w:sz w:val="32"/>
          <w:szCs w:val="32"/>
          <w:highlight w:val="none"/>
          <w:lang w:eastAsia="zh-CN"/>
        </w:rPr>
        <w:t>权利与</w:t>
      </w:r>
      <w:r>
        <w:rPr>
          <w:rFonts w:hint="eastAsia" w:ascii="仿宋_GB2312" w:eastAsia="仿宋_GB2312"/>
          <w:sz w:val="32"/>
          <w:szCs w:val="32"/>
          <w:highlight w:val="none"/>
        </w:rPr>
        <w:t>行为规范、授权运营域</w:t>
      </w:r>
      <w:r>
        <w:rPr>
          <w:rFonts w:hint="eastAsia" w:ascii="仿宋_GB2312" w:eastAsia="仿宋_GB2312"/>
          <w:sz w:val="32"/>
          <w:szCs w:val="32"/>
          <w:highlight w:val="none"/>
          <w:lang w:eastAsia="zh-CN"/>
        </w:rPr>
        <w:t>使用</w:t>
      </w:r>
      <w:r>
        <w:rPr>
          <w:rFonts w:hint="eastAsia" w:ascii="仿宋_GB2312" w:eastAsia="仿宋_GB2312"/>
          <w:sz w:val="32"/>
          <w:szCs w:val="32"/>
          <w:highlight w:val="none"/>
        </w:rPr>
        <w:t>、数据安全与监督管理等方面进行统一规范。</w:t>
      </w:r>
    </w:p>
    <w:p>
      <w:pPr>
        <w:keepNext w:val="0"/>
        <w:keepLines w:val="0"/>
        <w:pageBreakBefore w:val="0"/>
        <w:widowControl w:val="0"/>
        <w:kinsoku/>
        <w:wordWrap/>
        <w:overflowPunct/>
        <w:topLinePunct w:val="0"/>
        <w:autoSpaceDN/>
        <w:bidi w:val="0"/>
        <w:adjustRightInd/>
        <w:snapToGrid/>
        <w:spacing w:line="600" w:lineRule="exact"/>
        <w:ind w:firstLine="642" w:firstLineChars="200"/>
        <w:textAlignment w:val="auto"/>
        <w:rPr>
          <w:rFonts w:hint="eastAsia" w:ascii="仿宋_GB2312" w:eastAsia="仿宋_GB2312"/>
          <w:sz w:val="32"/>
          <w:szCs w:val="32"/>
          <w:highlight w:val="none"/>
          <w:u w:val="none"/>
          <w:lang w:eastAsia="zh-CN"/>
        </w:rPr>
      </w:pPr>
      <w:r>
        <w:rPr>
          <w:rFonts w:hint="eastAsia" w:ascii="仿宋_GB2312" w:eastAsia="仿宋_GB2312"/>
          <w:b/>
          <w:bCs/>
          <w:sz w:val="32"/>
          <w:szCs w:val="32"/>
          <w:highlight w:val="none"/>
        </w:rPr>
        <w:t>第一</w:t>
      </w:r>
      <w:r>
        <w:rPr>
          <w:rFonts w:hint="eastAsia" w:ascii="仿宋_GB2312" w:eastAsia="仿宋_GB2312"/>
          <w:b/>
          <w:bCs/>
          <w:sz w:val="32"/>
          <w:szCs w:val="32"/>
          <w:highlight w:val="none"/>
          <w:lang w:eastAsia="zh-CN"/>
        </w:rPr>
        <w:t>点</w:t>
      </w:r>
      <w:r>
        <w:rPr>
          <w:rFonts w:hint="eastAsia" w:ascii="仿宋_GB2312" w:eastAsia="仿宋_GB2312"/>
          <w:b/>
          <w:bCs/>
          <w:sz w:val="32"/>
          <w:szCs w:val="32"/>
          <w:highlight w:val="none"/>
        </w:rPr>
        <w:t>：总则。</w:t>
      </w:r>
      <w:r>
        <w:rPr>
          <w:rFonts w:hint="eastAsia" w:ascii="仿宋_GB2312" w:eastAsia="仿宋_GB2312"/>
          <w:sz w:val="32"/>
          <w:szCs w:val="32"/>
          <w:highlight w:val="none"/>
        </w:rPr>
        <w:t>主要包括编制的目的依据、基本原则、适用范围、术语定义、授权主体、授权</w:t>
      </w:r>
      <w:r>
        <w:rPr>
          <w:rFonts w:hint="eastAsia" w:ascii="仿宋_GB2312" w:eastAsia="仿宋_GB2312"/>
          <w:sz w:val="32"/>
          <w:szCs w:val="32"/>
          <w:highlight w:val="none"/>
          <w:lang w:eastAsia="zh-CN"/>
        </w:rPr>
        <w:t>范围</w:t>
      </w:r>
      <w:r>
        <w:rPr>
          <w:rFonts w:hint="eastAsia" w:ascii="仿宋_GB2312" w:eastAsia="仿宋_GB2312"/>
          <w:sz w:val="32"/>
          <w:szCs w:val="32"/>
          <w:highlight w:val="none"/>
        </w:rPr>
        <w:t>、授权</w:t>
      </w:r>
      <w:r>
        <w:rPr>
          <w:rFonts w:hint="eastAsia" w:ascii="仿宋_GB2312" w:eastAsia="仿宋_GB2312"/>
          <w:sz w:val="32"/>
          <w:szCs w:val="32"/>
          <w:highlight w:val="none"/>
          <w:lang w:eastAsia="zh-CN"/>
        </w:rPr>
        <w:t>应用场景要求</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定价方式、</w:t>
      </w:r>
      <w:r>
        <w:rPr>
          <w:rFonts w:hint="eastAsia" w:ascii="仿宋_GB2312" w:eastAsia="仿宋_GB2312"/>
          <w:sz w:val="32"/>
          <w:szCs w:val="32"/>
          <w:highlight w:val="none"/>
        </w:rPr>
        <w:t>收益机制等。《细则》明确了“无场景不授权”，应按照场景申请授权运营公共数据</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N/>
        <w:bidi w:val="0"/>
        <w:adjustRightInd/>
        <w:snapToGrid/>
        <w:spacing w:line="600" w:lineRule="exact"/>
        <w:ind w:firstLine="642" w:firstLineChars="200"/>
        <w:textAlignment w:val="auto"/>
        <w:rPr>
          <w:rFonts w:hint="default"/>
          <w:lang w:val="en-US"/>
        </w:rPr>
      </w:pPr>
      <w:r>
        <w:rPr>
          <w:rFonts w:hint="eastAsia" w:ascii="仿宋_GB2312" w:eastAsia="仿宋_GB2312"/>
          <w:b/>
          <w:bCs/>
          <w:sz w:val="32"/>
          <w:szCs w:val="32"/>
          <w:highlight w:val="none"/>
          <w:lang w:val="en-US" w:eastAsia="zh-CN"/>
        </w:rPr>
        <w:t>第二点：职责分工</w:t>
      </w:r>
      <w:r>
        <w:rPr>
          <w:rFonts w:hint="eastAsia" w:ascii="Times New Roman" w:hAnsi="Times New Roman" w:eastAsia="黑体" w:cs="Times New Roman"/>
          <w:b w:val="0"/>
          <w:i w:val="0"/>
          <w:caps w:val="0"/>
          <w:color w:val="auto"/>
          <w:spacing w:val="0"/>
          <w:kern w:val="2"/>
          <w:sz w:val="32"/>
          <w:szCs w:val="32"/>
          <w:lang w:val="en-US" w:eastAsia="zh-CN"/>
        </w:rPr>
        <w:t>。</w:t>
      </w:r>
      <w:r>
        <w:rPr>
          <w:rFonts w:hint="eastAsia" w:ascii="仿宋_GB2312" w:hAnsi="Times New Roman" w:eastAsia="仿宋_GB2312" w:cs="Times New Roman"/>
          <w:b w:val="0"/>
          <w:bCs w:val="0"/>
          <w:kern w:val="2"/>
          <w:sz w:val="32"/>
          <w:szCs w:val="32"/>
          <w:highlight w:val="none"/>
          <w:lang w:val="en-US" w:eastAsia="zh-CN" w:bidi="ar-SA"/>
        </w:rPr>
        <w:t>《细则》</w:t>
      </w:r>
      <w:r>
        <w:rPr>
          <w:rFonts w:hint="eastAsia" w:ascii="仿宋_GB2312" w:eastAsia="仿宋_GB2312"/>
          <w:sz w:val="32"/>
          <w:szCs w:val="32"/>
          <w:highlight w:val="none"/>
        </w:rPr>
        <w:t>明确了建立公共数据授权运营</w:t>
      </w:r>
      <w:r>
        <w:rPr>
          <w:rFonts w:hint="eastAsia" w:ascii="仿宋_GB2312" w:eastAsia="仿宋_GB2312"/>
          <w:sz w:val="32"/>
          <w:szCs w:val="32"/>
          <w:highlight w:val="none"/>
          <w:lang w:eastAsia="zh-CN"/>
        </w:rPr>
        <w:t>管理</w:t>
      </w:r>
      <w:r>
        <w:rPr>
          <w:rFonts w:hint="eastAsia" w:ascii="仿宋_GB2312" w:eastAsia="仿宋_GB2312"/>
          <w:sz w:val="32"/>
          <w:szCs w:val="32"/>
          <w:highlight w:val="none"/>
        </w:rPr>
        <w:t>协调</w:t>
      </w:r>
      <w:r>
        <w:rPr>
          <w:rFonts w:hint="eastAsia" w:ascii="仿宋_GB2312" w:eastAsia="仿宋_GB2312"/>
          <w:sz w:val="32"/>
          <w:szCs w:val="32"/>
          <w:highlight w:val="none"/>
          <w:lang w:val="en-US" w:eastAsia="zh-CN"/>
        </w:rPr>
        <w:t>小组、</w:t>
      </w:r>
      <w:r>
        <w:rPr>
          <w:rFonts w:hint="eastAsia" w:ascii="仿宋_GB2312" w:hAnsi="Times New Roman" w:eastAsia="仿宋_GB2312" w:cs="Times New Roman"/>
          <w:b w:val="0"/>
          <w:bCs w:val="0"/>
          <w:kern w:val="2"/>
          <w:sz w:val="32"/>
          <w:szCs w:val="32"/>
          <w:highlight w:val="none"/>
          <w:lang w:val="en-US" w:eastAsia="zh-CN" w:bidi="ar-SA"/>
        </w:rPr>
        <w:t>部门职责分工</w:t>
      </w:r>
      <w:r>
        <w:rPr>
          <w:rFonts w:hint="eastAsia" w:ascii="仿宋_GB2312" w:eastAsia="仿宋_GB2312"/>
          <w:sz w:val="32"/>
          <w:szCs w:val="32"/>
          <w:highlight w:val="none"/>
          <w:u w:val="none"/>
          <w:lang w:eastAsia="zh-CN"/>
        </w:rPr>
        <w:t>。</w:t>
      </w:r>
    </w:p>
    <w:p>
      <w:pPr>
        <w:keepNext w:val="0"/>
        <w:keepLines w:val="0"/>
        <w:pageBreakBefore w:val="0"/>
        <w:widowControl w:val="0"/>
        <w:kinsoku/>
        <w:wordWrap/>
        <w:overflowPunct/>
        <w:topLinePunct w:val="0"/>
        <w:autoSpaceDN/>
        <w:bidi w:val="0"/>
        <w:adjustRightInd/>
        <w:snapToGrid/>
        <w:spacing w:line="600" w:lineRule="exact"/>
        <w:ind w:firstLine="642" w:firstLineChars="200"/>
        <w:textAlignment w:val="auto"/>
        <w:rPr>
          <w:rFonts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val="en-US" w:eastAsia="zh-CN"/>
        </w:rPr>
        <w:t>三</w:t>
      </w:r>
      <w:r>
        <w:rPr>
          <w:rFonts w:hint="eastAsia" w:ascii="仿宋_GB2312" w:eastAsia="仿宋_GB2312"/>
          <w:b/>
          <w:bCs/>
          <w:sz w:val="32"/>
          <w:szCs w:val="32"/>
          <w:highlight w:val="none"/>
          <w:lang w:eastAsia="zh-CN"/>
        </w:rPr>
        <w:t>点</w:t>
      </w:r>
      <w:r>
        <w:rPr>
          <w:rFonts w:hint="eastAsia" w:ascii="仿宋_GB2312" w:eastAsia="仿宋_GB2312"/>
          <w:b/>
          <w:bCs/>
          <w:sz w:val="32"/>
          <w:szCs w:val="32"/>
          <w:highlight w:val="none"/>
        </w:rPr>
        <w:t>：授权</w:t>
      </w:r>
      <w:r>
        <w:rPr>
          <w:rFonts w:hint="eastAsia" w:ascii="仿宋_GB2312" w:eastAsia="仿宋_GB2312"/>
          <w:b/>
          <w:bCs/>
          <w:sz w:val="32"/>
          <w:szCs w:val="32"/>
          <w:highlight w:val="none"/>
          <w:lang w:val="en-US" w:eastAsia="zh-CN"/>
        </w:rPr>
        <w:t>程序</w:t>
      </w:r>
      <w:r>
        <w:rPr>
          <w:rFonts w:hint="eastAsia" w:ascii="仿宋_GB2312" w:eastAsia="仿宋_GB2312"/>
          <w:sz w:val="32"/>
          <w:szCs w:val="32"/>
          <w:highlight w:val="none"/>
        </w:rPr>
        <w:t>。</w:t>
      </w:r>
      <w:r>
        <w:rPr>
          <w:rFonts w:hint="default" w:ascii="仿宋_GB2312" w:eastAsia="仿宋_GB2312"/>
          <w:sz w:val="32"/>
          <w:szCs w:val="32"/>
          <w:highlight w:val="none"/>
          <w:lang w:val="en"/>
        </w:rPr>
        <w:t>《细则》</w:t>
      </w:r>
      <w:r>
        <w:rPr>
          <w:rFonts w:hint="eastAsia" w:ascii="仿宋_GB2312" w:eastAsia="仿宋_GB2312"/>
          <w:sz w:val="32"/>
          <w:szCs w:val="32"/>
          <w:highlight w:val="none"/>
        </w:rPr>
        <w:t>明确了公共数据授权运营工作流程包括发布公告、提交申请、材料预审</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场景</w:t>
      </w:r>
      <w:r>
        <w:rPr>
          <w:rFonts w:hint="eastAsia" w:ascii="仿宋_GB2312" w:eastAsia="仿宋_GB2312"/>
          <w:sz w:val="32"/>
          <w:szCs w:val="32"/>
          <w:highlight w:val="none"/>
          <w:lang w:val="en-US" w:eastAsia="zh-CN"/>
        </w:rPr>
        <w:t>审查、综合评审、</w:t>
      </w:r>
      <w:r>
        <w:rPr>
          <w:rFonts w:hint="eastAsia" w:ascii="仿宋_GB2312" w:eastAsia="仿宋_GB2312"/>
          <w:sz w:val="32"/>
          <w:szCs w:val="32"/>
          <w:highlight w:val="none"/>
        </w:rPr>
        <w:t>终审</w:t>
      </w:r>
      <w:r>
        <w:rPr>
          <w:rFonts w:hint="eastAsia" w:ascii="仿宋_GB2312" w:eastAsia="仿宋_GB2312"/>
          <w:sz w:val="32"/>
          <w:szCs w:val="32"/>
          <w:highlight w:val="none"/>
          <w:lang w:val="en-US" w:eastAsia="zh-CN"/>
        </w:rPr>
        <w:t>核定、</w:t>
      </w:r>
      <w:r>
        <w:rPr>
          <w:rFonts w:hint="eastAsia" w:ascii="仿宋_GB2312" w:eastAsia="仿宋_GB2312"/>
          <w:sz w:val="32"/>
          <w:szCs w:val="32"/>
          <w:highlight w:val="none"/>
        </w:rPr>
        <w:t>社会公开</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授权备案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签订协议等</w:t>
      </w:r>
      <w:r>
        <w:rPr>
          <w:rFonts w:hint="default" w:ascii="仿宋_GB2312" w:eastAsia="仿宋_GB2312"/>
          <w:sz w:val="32"/>
          <w:szCs w:val="32"/>
          <w:highlight w:val="none"/>
        </w:rPr>
        <w:t>。明确了授权终止的要求。</w:t>
      </w:r>
    </w:p>
    <w:p>
      <w:pPr>
        <w:keepNext w:val="0"/>
        <w:keepLines w:val="0"/>
        <w:pageBreakBefore w:val="0"/>
        <w:widowControl w:val="0"/>
        <w:kinsoku/>
        <w:wordWrap/>
        <w:overflowPunct/>
        <w:topLinePunct w:val="0"/>
        <w:autoSpaceDN/>
        <w:bidi w:val="0"/>
        <w:adjustRightInd/>
        <w:snapToGrid/>
        <w:spacing w:line="600" w:lineRule="exact"/>
        <w:ind w:firstLine="642" w:firstLineChars="200"/>
        <w:textAlignment w:val="auto"/>
        <w:rPr>
          <w:rFonts w:hint="eastAsia" w:ascii="仿宋_GB2312" w:eastAsia="仿宋_GB2312"/>
          <w:sz w:val="32"/>
          <w:szCs w:val="32"/>
          <w:highlight w:val="none"/>
          <w:lang w:eastAsia="zh-CN"/>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val="en-US" w:eastAsia="zh-CN"/>
        </w:rPr>
        <w:t>四</w:t>
      </w:r>
      <w:r>
        <w:rPr>
          <w:rFonts w:hint="eastAsia" w:ascii="仿宋_GB2312" w:eastAsia="仿宋_GB2312"/>
          <w:b/>
          <w:bCs/>
          <w:sz w:val="32"/>
          <w:szCs w:val="32"/>
          <w:highlight w:val="none"/>
          <w:lang w:eastAsia="zh-CN"/>
        </w:rPr>
        <w:t>点</w:t>
      </w:r>
      <w:r>
        <w:rPr>
          <w:rFonts w:hint="eastAsia" w:ascii="仿宋_GB2312" w:eastAsia="仿宋_GB2312"/>
          <w:b/>
          <w:bCs/>
          <w:sz w:val="32"/>
          <w:szCs w:val="32"/>
          <w:highlight w:val="none"/>
        </w:rPr>
        <w:t>：授权运营单位权利与行为规范。</w:t>
      </w:r>
      <w:r>
        <w:rPr>
          <w:rFonts w:hint="eastAsia" w:ascii="仿宋_GB2312" w:eastAsia="仿宋_GB2312"/>
          <w:sz w:val="32"/>
          <w:szCs w:val="32"/>
          <w:highlight w:val="none"/>
        </w:rPr>
        <w:t>主要从</w:t>
      </w:r>
      <w:r>
        <w:rPr>
          <w:rFonts w:hint="eastAsia" w:ascii="仿宋_GB2312" w:eastAsia="仿宋_GB2312"/>
          <w:sz w:val="32"/>
          <w:szCs w:val="32"/>
          <w:highlight w:val="none"/>
          <w:lang w:eastAsia="zh-CN"/>
        </w:rPr>
        <w:t>授权</w:t>
      </w:r>
      <w:r>
        <w:rPr>
          <w:rFonts w:hint="eastAsia" w:ascii="仿宋_GB2312" w:eastAsia="仿宋_GB2312"/>
          <w:sz w:val="32"/>
          <w:szCs w:val="32"/>
          <w:highlight w:val="none"/>
        </w:rPr>
        <w:t>数据获取、数据加工和处理、数据</w:t>
      </w:r>
      <w:r>
        <w:rPr>
          <w:rFonts w:hint="eastAsia" w:ascii="仿宋_GB2312" w:eastAsia="仿宋_GB2312"/>
          <w:sz w:val="32"/>
          <w:szCs w:val="32"/>
          <w:highlight w:val="none"/>
          <w:lang w:eastAsia="zh-CN"/>
        </w:rPr>
        <w:t>产品、数据治理、规范管理</w:t>
      </w:r>
      <w:r>
        <w:rPr>
          <w:rFonts w:hint="eastAsia" w:ascii="仿宋_GB2312" w:eastAsia="仿宋_GB2312"/>
          <w:sz w:val="32"/>
          <w:szCs w:val="32"/>
          <w:highlight w:val="none"/>
        </w:rPr>
        <w:t>等方面对授权运营单位提出了相关要求</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授权运营单位在授权运营期限内，应当向</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公共数据主管部门提交授权运营年度运营报告。</w:t>
      </w:r>
      <w:r>
        <w:rPr>
          <w:rFonts w:hint="eastAsia" w:ascii="仿宋_GB2312" w:eastAsia="仿宋_GB2312"/>
          <w:sz w:val="32"/>
          <w:szCs w:val="32"/>
          <w:highlight w:val="none"/>
          <w:lang w:eastAsia="zh-CN"/>
        </w:rPr>
        <w:t>保障授权运营单位提出数据治理权利，促进公共数据高质量供给。</w:t>
      </w:r>
    </w:p>
    <w:p>
      <w:pPr>
        <w:keepNext w:val="0"/>
        <w:keepLines w:val="0"/>
        <w:widowControl/>
        <w:suppressLineNumbers w:val="0"/>
        <w:ind w:firstLine="642" w:firstLineChars="200"/>
        <w:jc w:val="left"/>
        <w:rPr>
          <w:rFonts w:hint="eastAsia"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val="en-US" w:eastAsia="zh-CN"/>
        </w:rPr>
        <w:t>五</w:t>
      </w:r>
      <w:r>
        <w:rPr>
          <w:rFonts w:hint="eastAsia" w:ascii="仿宋_GB2312" w:eastAsia="仿宋_GB2312"/>
          <w:b/>
          <w:bCs/>
          <w:sz w:val="32"/>
          <w:szCs w:val="32"/>
          <w:highlight w:val="none"/>
          <w:lang w:eastAsia="zh-CN"/>
        </w:rPr>
        <w:t>点</w:t>
      </w:r>
      <w:r>
        <w:rPr>
          <w:rFonts w:hint="eastAsia" w:ascii="仿宋_GB2312" w:eastAsia="仿宋_GB2312"/>
          <w:b/>
          <w:bCs/>
          <w:sz w:val="32"/>
          <w:szCs w:val="32"/>
          <w:highlight w:val="none"/>
        </w:rPr>
        <w:t>：授权运营域。</w:t>
      </w:r>
      <w:r>
        <w:rPr>
          <w:rFonts w:hint="default" w:ascii="仿宋_GB2312" w:eastAsia="仿宋_GB2312"/>
          <w:sz w:val="32"/>
          <w:szCs w:val="32"/>
          <w:highlight w:val="none"/>
          <w:lang w:val="en"/>
        </w:rPr>
        <w:t>《细则》</w:t>
      </w:r>
      <w:r>
        <w:rPr>
          <w:rFonts w:hint="eastAsia" w:ascii="仿宋_GB2312" w:eastAsia="仿宋_GB2312"/>
          <w:sz w:val="32"/>
          <w:szCs w:val="32"/>
          <w:highlight w:val="none"/>
          <w:lang w:val="en" w:eastAsia="zh-CN"/>
        </w:rPr>
        <w:t>明确</w:t>
      </w:r>
      <w:r>
        <w:rPr>
          <w:rFonts w:hint="eastAsia" w:ascii="仿宋_GB2312" w:hAnsi="仿宋_GB2312" w:eastAsia="仿宋_GB2312" w:cs="仿宋_GB2312"/>
          <w:color w:val="000000"/>
          <w:kern w:val="0"/>
          <w:sz w:val="31"/>
          <w:szCs w:val="31"/>
          <w:lang w:eastAsia="zh-CN" w:bidi="ar"/>
        </w:rPr>
        <w:t>区</w:t>
      </w:r>
      <w:r>
        <w:rPr>
          <w:rFonts w:ascii="仿宋_GB2312" w:hAnsi="仿宋_GB2312" w:eastAsia="仿宋_GB2312" w:cs="仿宋_GB2312"/>
          <w:color w:val="000000"/>
          <w:kern w:val="0"/>
          <w:sz w:val="31"/>
          <w:szCs w:val="31"/>
          <w:lang w:eastAsia="zh-CN" w:bidi="ar"/>
        </w:rPr>
        <w:t>级</w:t>
      </w:r>
      <w:r>
        <w:rPr>
          <w:rFonts w:ascii="仿宋_GB2312" w:hAnsi="仿宋_GB2312" w:eastAsia="仿宋_GB2312" w:cs="仿宋_GB2312"/>
          <w:color w:val="000000"/>
          <w:kern w:val="0"/>
          <w:sz w:val="31"/>
          <w:szCs w:val="31"/>
          <w:lang w:val="en-US" w:eastAsia="zh-CN" w:bidi="ar"/>
        </w:rPr>
        <w:t>依托市级授权运营域开展工作，不</w:t>
      </w:r>
      <w:r>
        <w:rPr>
          <w:rFonts w:ascii="仿宋_GB2312" w:hAnsi="仿宋_GB2312" w:eastAsia="仿宋_GB2312" w:cs="仿宋_GB2312"/>
          <w:color w:val="000000"/>
          <w:kern w:val="0"/>
          <w:sz w:val="31"/>
          <w:szCs w:val="31"/>
          <w:lang w:eastAsia="zh-CN" w:bidi="ar"/>
        </w:rPr>
        <w:t>再</w:t>
      </w:r>
      <w:r>
        <w:rPr>
          <w:rFonts w:ascii="仿宋_GB2312" w:hAnsi="仿宋_GB2312" w:eastAsia="仿宋_GB2312" w:cs="仿宋_GB2312"/>
          <w:color w:val="000000"/>
          <w:kern w:val="0"/>
          <w:sz w:val="31"/>
          <w:szCs w:val="31"/>
          <w:lang w:val="en-US" w:eastAsia="zh-CN" w:bidi="ar"/>
        </w:rPr>
        <w:t>单独建设授权运营域。</w:t>
      </w:r>
    </w:p>
    <w:p>
      <w:pPr>
        <w:keepNext w:val="0"/>
        <w:keepLines w:val="0"/>
        <w:pageBreakBefore w:val="0"/>
        <w:widowControl w:val="0"/>
        <w:kinsoku/>
        <w:wordWrap/>
        <w:overflowPunct/>
        <w:topLinePunct w:val="0"/>
        <w:autoSpaceDN/>
        <w:bidi w:val="0"/>
        <w:adjustRightInd/>
        <w:snapToGrid/>
        <w:spacing w:line="600" w:lineRule="exact"/>
        <w:ind w:firstLine="642" w:firstLineChars="200"/>
        <w:textAlignment w:val="auto"/>
        <w:rPr>
          <w:rFonts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val="en-US" w:eastAsia="zh-CN"/>
        </w:rPr>
        <w:t>六</w:t>
      </w:r>
      <w:r>
        <w:rPr>
          <w:rFonts w:hint="eastAsia" w:ascii="仿宋_GB2312" w:eastAsia="仿宋_GB2312"/>
          <w:b/>
          <w:bCs/>
          <w:sz w:val="32"/>
          <w:szCs w:val="32"/>
          <w:highlight w:val="none"/>
          <w:lang w:eastAsia="zh-CN"/>
        </w:rPr>
        <w:t>点</w:t>
      </w:r>
      <w:r>
        <w:rPr>
          <w:rFonts w:hint="eastAsia" w:ascii="仿宋_GB2312" w:eastAsia="仿宋_GB2312"/>
          <w:b/>
          <w:bCs/>
          <w:sz w:val="32"/>
          <w:szCs w:val="32"/>
          <w:highlight w:val="none"/>
        </w:rPr>
        <w:t>：数据安全与监督管理。</w:t>
      </w:r>
      <w:r>
        <w:rPr>
          <w:rFonts w:hint="eastAsia" w:ascii="仿宋_GB2312" w:eastAsia="仿宋_GB2312"/>
          <w:sz w:val="32"/>
          <w:szCs w:val="32"/>
          <w:highlight w:val="none"/>
        </w:rPr>
        <w:t>主要从授权运营单位数据安全工作要求</w:t>
      </w:r>
      <w:r>
        <w:rPr>
          <w:rFonts w:hint="eastAsia" w:ascii="仿宋_GB2312" w:eastAsia="仿宋_GB2312"/>
          <w:sz w:val="32"/>
          <w:szCs w:val="32"/>
          <w:highlight w:val="none"/>
          <w:lang w:eastAsia="zh-CN"/>
        </w:rPr>
        <w:t>、区公共数据主管部门数据安全工作要求、运营监督管理、年度运营评估、违反协议整改</w:t>
      </w:r>
      <w:r>
        <w:rPr>
          <w:rFonts w:hint="eastAsia" w:ascii="仿宋_GB2312" w:eastAsia="仿宋_GB2312"/>
          <w:sz w:val="32"/>
          <w:szCs w:val="32"/>
          <w:highlight w:val="none"/>
        </w:rPr>
        <w:t>等方面细化了相关要求，</w:t>
      </w:r>
      <w:r>
        <w:rPr>
          <w:rFonts w:hint="default" w:ascii="仿宋_GB2312" w:eastAsia="仿宋_GB2312"/>
          <w:sz w:val="32"/>
          <w:szCs w:val="32"/>
          <w:highlight w:val="none"/>
          <w:lang w:val="en"/>
        </w:rPr>
        <w:t>《细则》</w:t>
      </w:r>
      <w:r>
        <w:rPr>
          <w:rFonts w:hint="eastAsia" w:ascii="仿宋_GB2312" w:eastAsia="仿宋_GB2312"/>
          <w:sz w:val="32"/>
          <w:szCs w:val="32"/>
          <w:highlight w:val="none"/>
        </w:rPr>
        <w:t>明确</w:t>
      </w:r>
      <w:r>
        <w:rPr>
          <w:rFonts w:hint="eastAsia" w:ascii="仿宋_GB2312" w:eastAsia="仿宋_GB2312"/>
          <w:sz w:val="32"/>
          <w:szCs w:val="32"/>
          <w:highlight w:val="none"/>
          <w:lang w:eastAsia="zh-CN"/>
        </w:rPr>
        <w:t>了</w:t>
      </w:r>
      <w:r>
        <w:rPr>
          <w:rFonts w:hint="eastAsia" w:ascii="仿宋_GB2312" w:eastAsia="仿宋_GB2312"/>
          <w:sz w:val="32"/>
          <w:szCs w:val="32"/>
          <w:highlight w:val="none"/>
        </w:rPr>
        <w:t>授权运营单位主要负责人是运营公共数据安全的第一责任人</w:t>
      </w:r>
      <w:r>
        <w:rPr>
          <w:rFonts w:hint="eastAsia" w:ascii="仿宋_GB2312" w:eastAsia="仿宋_GB2312"/>
          <w:sz w:val="32"/>
          <w:szCs w:val="32"/>
          <w:highlight w:val="none"/>
          <w:lang w:eastAsia="zh-CN"/>
        </w:rPr>
        <w:t>；</w:t>
      </w:r>
      <w:r>
        <w:rPr>
          <w:rFonts w:hint="default" w:ascii="仿宋_GB2312" w:eastAsia="仿宋_GB2312"/>
          <w:sz w:val="32"/>
          <w:szCs w:val="32"/>
          <w:highlight w:val="none"/>
          <w:lang w:eastAsia="zh-CN"/>
        </w:rPr>
        <w:t>明确各</w:t>
      </w:r>
      <w:r>
        <w:rPr>
          <w:rFonts w:hint="eastAsia" w:ascii="仿宋_GB2312" w:eastAsia="仿宋_GB2312"/>
          <w:sz w:val="32"/>
          <w:szCs w:val="32"/>
          <w:highlight w:val="none"/>
          <w:lang w:eastAsia="zh-CN"/>
        </w:rPr>
        <w:t>相关部门</w:t>
      </w:r>
      <w:r>
        <w:rPr>
          <w:rFonts w:hint="default" w:ascii="仿宋_GB2312" w:eastAsia="仿宋_GB2312"/>
          <w:sz w:val="32"/>
          <w:szCs w:val="32"/>
          <w:highlight w:val="none"/>
          <w:lang w:eastAsia="zh-CN"/>
        </w:rPr>
        <w:t>应</w:t>
      </w:r>
      <w:r>
        <w:rPr>
          <w:rFonts w:hint="eastAsia" w:ascii="仿宋_GB2312" w:eastAsia="仿宋_GB2312"/>
          <w:sz w:val="32"/>
          <w:szCs w:val="32"/>
          <w:highlight w:val="none"/>
          <w:lang w:eastAsia="zh-CN"/>
        </w:rPr>
        <w:t>按照职责做好监督检查工作</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N/>
        <w:bidi w:val="0"/>
        <w:adjustRightInd/>
        <w:snapToGrid/>
        <w:spacing w:line="600" w:lineRule="exact"/>
        <w:ind w:firstLine="642" w:firstLineChars="200"/>
        <w:textAlignment w:val="auto"/>
        <w:rPr>
          <w:rFonts w:hint="eastAsia"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val="en-US" w:eastAsia="zh-CN"/>
        </w:rPr>
        <w:t>七</w:t>
      </w:r>
      <w:r>
        <w:rPr>
          <w:rFonts w:hint="eastAsia" w:ascii="仿宋_GB2312" w:eastAsia="仿宋_GB2312"/>
          <w:b/>
          <w:bCs/>
          <w:sz w:val="32"/>
          <w:szCs w:val="32"/>
          <w:highlight w:val="none"/>
          <w:lang w:eastAsia="zh-CN"/>
        </w:rPr>
        <w:t>点</w:t>
      </w:r>
      <w:r>
        <w:rPr>
          <w:rFonts w:hint="eastAsia" w:ascii="仿宋_GB2312" w:eastAsia="仿宋_GB2312"/>
          <w:b/>
          <w:bCs/>
          <w:sz w:val="32"/>
          <w:szCs w:val="32"/>
          <w:highlight w:val="none"/>
        </w:rPr>
        <w:t>：附则。</w:t>
      </w:r>
      <w:r>
        <w:rPr>
          <w:rFonts w:hint="eastAsia" w:ascii="仿宋_GB2312" w:eastAsia="仿宋_GB2312"/>
          <w:sz w:val="32"/>
          <w:szCs w:val="32"/>
          <w:highlight w:val="none"/>
        </w:rPr>
        <w:t>主要规定了发文解释单位、实施时间。</w:t>
      </w:r>
    </w:p>
    <w:p>
      <w:pPr>
        <w:keepNext w:val="0"/>
        <w:keepLines w:val="0"/>
        <w:pageBreakBefore w:val="0"/>
        <w:widowControl w:val="0"/>
        <w:kinsoku/>
        <w:wordWrap/>
        <w:overflowPunct/>
        <w:topLinePunct w:val="0"/>
        <w:autoSpaceDE w:val="0"/>
        <w:autoSpaceDN/>
        <w:bidi w:val="0"/>
        <w:adjustRightInd/>
        <w:snapToGrid/>
        <w:spacing w:line="600" w:lineRule="exact"/>
        <w:jc w:val="righ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600" w:lineRule="exact"/>
        <w:jc w:val="right"/>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莲都区大数据发展中心</w:t>
      </w:r>
    </w:p>
    <w:p>
      <w:pPr>
        <w:pStyle w:val="4"/>
        <w:keepNext w:val="0"/>
        <w:keepLines w:val="0"/>
        <w:pageBreakBefore w:val="0"/>
        <w:widowControl w:val="0"/>
        <w:kinsoku/>
        <w:wordWrap/>
        <w:overflowPunct/>
        <w:topLinePunct w:val="0"/>
        <w:autoSpaceDN/>
        <w:bidi w:val="0"/>
        <w:adjustRightInd/>
        <w:snapToGrid/>
        <w:spacing w:line="600" w:lineRule="exact"/>
        <w:jc w:val="right"/>
        <w:textAlignment w:val="auto"/>
        <w:rPr>
          <w:rFonts w:hint="eastAsia"/>
        </w:rPr>
      </w:pPr>
      <w:r>
        <w:rPr>
          <w:rFonts w:hint="eastAsia"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CN"/>
        </w:rPr>
        <w:t>年</w:t>
      </w:r>
      <w:r>
        <w:rPr>
          <w:rFonts w:hint="eastAsia"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月</w:t>
      </w:r>
      <w:r>
        <w:rPr>
          <w:rFonts w:hint="eastAsia" w:eastAsia="仿宋_GB2312" w:cs="Times New Roman"/>
          <w:color w:val="000000"/>
          <w:sz w:val="32"/>
          <w:szCs w:val="32"/>
          <w:lang w:val="en-US" w:eastAsia="zh-CN"/>
        </w:rPr>
        <w:t>13</w:t>
      </w:r>
      <w:bookmarkStart w:id="0" w:name="_GoBack"/>
      <w:bookmarkEnd w:id="0"/>
      <w:r>
        <w:rPr>
          <w:rFonts w:hint="eastAsia" w:ascii="Times New Roman" w:hAnsi="Times New Roman" w:eastAsia="仿宋_GB2312" w:cs="Times New Roman"/>
          <w:color w:val="000000"/>
          <w:sz w:val="32"/>
          <w:szCs w:val="32"/>
          <w:lang w:val="en-US" w:eastAsia="zh-CN"/>
        </w:rPr>
        <w:t>日</w:t>
      </w:r>
    </w:p>
    <w:sectPr>
      <w:footerReference r:id="rId3" w:type="default"/>
      <w:pgSz w:w="11907" w:h="16840"/>
      <w:pgMar w:top="2154" w:right="1531" w:bottom="2041" w:left="1531"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15" w:leftChars="150" w:right="315" w:rightChars="150"/>
      <w:rPr>
        <w:rStyle w:val="9"/>
        <w:sz w:val="28"/>
      </w:rPr>
    </w:pPr>
    <w:r>
      <w:rPr>
        <w:rStyle w:val="9"/>
        <w:rFonts w:hint="eastAsia"/>
        <w:sz w:val="28"/>
      </w:rPr>
      <w:t xml:space="preserve">— </w:t>
    </w:r>
    <w:r>
      <w:rPr>
        <w:rFonts w:ascii="宋体" w:hAnsi="宋体"/>
        <w:sz w:val="28"/>
      </w:rPr>
      <w:fldChar w:fldCharType="begin"/>
    </w:r>
    <w:r>
      <w:rPr>
        <w:rStyle w:val="9"/>
        <w:rFonts w:ascii="宋体" w:hAnsi="宋体"/>
        <w:sz w:val="28"/>
      </w:rPr>
      <w:instrText xml:space="preserve">PAGE  </w:instrText>
    </w:r>
    <w:r>
      <w:rPr>
        <w:rFonts w:ascii="宋体" w:hAnsi="宋体"/>
        <w:sz w:val="28"/>
      </w:rPr>
      <w:fldChar w:fldCharType="separate"/>
    </w:r>
    <w:r>
      <w:rPr>
        <w:rStyle w:val="9"/>
        <w:rFonts w:ascii="宋体" w:hAnsi="宋体"/>
        <w:sz w:val="28"/>
      </w:rPr>
      <w:t>21</w:t>
    </w:r>
    <w:r>
      <w:rPr>
        <w:rFonts w:ascii="宋体" w:hAnsi="宋体"/>
        <w:sz w:val="28"/>
      </w:rPr>
      <w:fldChar w:fldCharType="end"/>
    </w:r>
    <w:r>
      <w:rPr>
        <w:rStyle w:val="9"/>
        <w:rFonts w:hint="eastAsia" w:ascii="宋体" w:hAnsi="宋体"/>
        <w:sz w:val="28"/>
      </w:rPr>
      <w:t xml:space="preserve"> </w:t>
    </w:r>
    <w:r>
      <w:rPr>
        <w:rStyle w:val="9"/>
        <w:rFonts w:hint="eastAsia"/>
        <w:sz w:val="28"/>
      </w:rPr>
      <w:t>—</w: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C2B326"/>
    <w:multiLevelType w:val="singleLevel"/>
    <w:tmpl w:val="F7C2B326"/>
    <w:lvl w:ilvl="0" w:tentative="0">
      <w:start w:val="1"/>
      <w:numFmt w:val="chineseCounting"/>
      <w:pStyle w:val="3"/>
      <w:suff w:val="nothing"/>
      <w:lvlText w:val="（%1）"/>
      <w:lvlJc w:val="left"/>
      <w:pPr>
        <w:ind w:left="0" w:firstLine="39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YzNiNDY5YzllYjAzZGIxMjJmYjIwOTk4NTc2YjgifQ=="/>
  </w:docVars>
  <w:rsids>
    <w:rsidRoot w:val="00000000"/>
    <w:rsid w:val="00CA64C3"/>
    <w:rsid w:val="09FE1779"/>
    <w:rsid w:val="107B4DB3"/>
    <w:rsid w:val="124A5DED"/>
    <w:rsid w:val="15AF0B44"/>
    <w:rsid w:val="1BE851A8"/>
    <w:rsid w:val="1D3D34AC"/>
    <w:rsid w:val="20192310"/>
    <w:rsid w:val="23652A64"/>
    <w:rsid w:val="2FFFD2DD"/>
    <w:rsid w:val="30404715"/>
    <w:rsid w:val="31FF48B6"/>
    <w:rsid w:val="368A2007"/>
    <w:rsid w:val="37F267B0"/>
    <w:rsid w:val="38824AD5"/>
    <w:rsid w:val="3DB9D7ED"/>
    <w:rsid w:val="3E5B2C54"/>
    <w:rsid w:val="3F5F958B"/>
    <w:rsid w:val="3FBFB77C"/>
    <w:rsid w:val="3FCE9885"/>
    <w:rsid w:val="3FF3D979"/>
    <w:rsid w:val="43321B1A"/>
    <w:rsid w:val="45EFB574"/>
    <w:rsid w:val="470224B7"/>
    <w:rsid w:val="47EF98E6"/>
    <w:rsid w:val="4EDDEDDA"/>
    <w:rsid w:val="4FD86AF0"/>
    <w:rsid w:val="51A02F70"/>
    <w:rsid w:val="557C6550"/>
    <w:rsid w:val="55AF976E"/>
    <w:rsid w:val="569C1A55"/>
    <w:rsid w:val="56E7A17B"/>
    <w:rsid w:val="5BB0EBF2"/>
    <w:rsid w:val="5D0F454A"/>
    <w:rsid w:val="5EB7142A"/>
    <w:rsid w:val="5F7C3DE1"/>
    <w:rsid w:val="5FBF8ED1"/>
    <w:rsid w:val="672FA5E7"/>
    <w:rsid w:val="67FFDBD9"/>
    <w:rsid w:val="6AFACC60"/>
    <w:rsid w:val="6BCFC5AD"/>
    <w:rsid w:val="6F66BE1A"/>
    <w:rsid w:val="6F7E73B5"/>
    <w:rsid w:val="6FDB90B5"/>
    <w:rsid w:val="6FEB7849"/>
    <w:rsid w:val="73299202"/>
    <w:rsid w:val="74FE0DFF"/>
    <w:rsid w:val="7639BCC9"/>
    <w:rsid w:val="766BBFD7"/>
    <w:rsid w:val="76E4512E"/>
    <w:rsid w:val="77736D9B"/>
    <w:rsid w:val="7778ABC9"/>
    <w:rsid w:val="77FA2CC0"/>
    <w:rsid w:val="78E73A19"/>
    <w:rsid w:val="79EB047D"/>
    <w:rsid w:val="7BF9F691"/>
    <w:rsid w:val="7CFE56C8"/>
    <w:rsid w:val="7DEF63D3"/>
    <w:rsid w:val="7DFED29D"/>
    <w:rsid w:val="7E57A7D0"/>
    <w:rsid w:val="7E965545"/>
    <w:rsid w:val="7ECFF2C8"/>
    <w:rsid w:val="7EFF4E42"/>
    <w:rsid w:val="7F5F158D"/>
    <w:rsid w:val="7F5F56D4"/>
    <w:rsid w:val="7F79B164"/>
    <w:rsid w:val="7F9F5B26"/>
    <w:rsid w:val="7FB46C09"/>
    <w:rsid w:val="7FB76F02"/>
    <w:rsid w:val="7FB79F58"/>
    <w:rsid w:val="7FBEC01B"/>
    <w:rsid w:val="7FD5C787"/>
    <w:rsid w:val="7FDE3C26"/>
    <w:rsid w:val="7FDFE42A"/>
    <w:rsid w:val="7FED7863"/>
    <w:rsid w:val="7FF36C2F"/>
    <w:rsid w:val="7FF79971"/>
    <w:rsid w:val="7FFB7888"/>
    <w:rsid w:val="7FFDFA1B"/>
    <w:rsid w:val="7FFF6F19"/>
    <w:rsid w:val="8B7F4E95"/>
    <w:rsid w:val="8C7D3117"/>
    <w:rsid w:val="8EEEFC6F"/>
    <w:rsid w:val="92BD4C55"/>
    <w:rsid w:val="97975424"/>
    <w:rsid w:val="9EFF136F"/>
    <w:rsid w:val="9F374D8E"/>
    <w:rsid w:val="9FF36352"/>
    <w:rsid w:val="AB738C25"/>
    <w:rsid w:val="AEDD6977"/>
    <w:rsid w:val="B9DE77BD"/>
    <w:rsid w:val="BAEFED95"/>
    <w:rsid w:val="BB374412"/>
    <w:rsid w:val="BC7337A8"/>
    <w:rsid w:val="BEFFB394"/>
    <w:rsid w:val="BFEFF6EA"/>
    <w:rsid w:val="BFFF96B1"/>
    <w:rsid w:val="C6FF29F3"/>
    <w:rsid w:val="C75FE0D4"/>
    <w:rsid w:val="D7E78480"/>
    <w:rsid w:val="DADD447F"/>
    <w:rsid w:val="DB9FA274"/>
    <w:rsid w:val="DDDFE4D9"/>
    <w:rsid w:val="DFDF076F"/>
    <w:rsid w:val="E5FD43F7"/>
    <w:rsid w:val="E64D2F03"/>
    <w:rsid w:val="E7FB3A56"/>
    <w:rsid w:val="E7FE8A3B"/>
    <w:rsid w:val="EB3D9502"/>
    <w:rsid w:val="ECDFE149"/>
    <w:rsid w:val="EF66FAFF"/>
    <w:rsid w:val="EFFB305C"/>
    <w:rsid w:val="EFFEDE75"/>
    <w:rsid w:val="F3ABE491"/>
    <w:rsid w:val="F4EDB386"/>
    <w:rsid w:val="F65B5603"/>
    <w:rsid w:val="F6B6C19A"/>
    <w:rsid w:val="F6FDAE42"/>
    <w:rsid w:val="F733FC87"/>
    <w:rsid w:val="F7974B57"/>
    <w:rsid w:val="F79F3DE0"/>
    <w:rsid w:val="F7D841D9"/>
    <w:rsid w:val="F7E51C95"/>
    <w:rsid w:val="F7F6C357"/>
    <w:rsid w:val="F9FE56A8"/>
    <w:rsid w:val="FB577546"/>
    <w:rsid w:val="FB5EE22F"/>
    <w:rsid w:val="FB7754A2"/>
    <w:rsid w:val="FB7D99F3"/>
    <w:rsid w:val="FB9FE12F"/>
    <w:rsid w:val="FBDF545F"/>
    <w:rsid w:val="FBFDAB9D"/>
    <w:rsid w:val="FC9EBFCD"/>
    <w:rsid w:val="FCBD9D03"/>
    <w:rsid w:val="FCEEBB2A"/>
    <w:rsid w:val="FDFAF708"/>
    <w:rsid w:val="FDFFDC3B"/>
    <w:rsid w:val="FE3F31A2"/>
    <w:rsid w:val="FEB7F8AA"/>
    <w:rsid w:val="FEE6117B"/>
    <w:rsid w:val="FEF73F1C"/>
    <w:rsid w:val="FF1FF3E2"/>
    <w:rsid w:val="FF2BE83D"/>
    <w:rsid w:val="FFBD3026"/>
    <w:rsid w:val="FFBFD3B2"/>
    <w:rsid w:val="FFEBEDB5"/>
    <w:rsid w:val="FFF1B201"/>
    <w:rsid w:val="FFF2E0E8"/>
    <w:rsid w:val="FFFB8A27"/>
    <w:rsid w:val="FFFDA849"/>
    <w:rsid w:val="FFFFFB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numPr>
        <w:ilvl w:val="0"/>
        <w:numId w:val="1"/>
      </w:numPr>
      <w:ind w:firstLine="0" w:firstLineChars="0"/>
      <w:jc w:val="left"/>
      <w:outlineLvl w:val="1"/>
    </w:pPr>
    <w:rPr>
      <w:rFonts w:hint="eastAsia" w:eastAsia="楷体_GB2312" w:cs="Times New Roman"/>
      <w:b/>
      <w:bCs/>
      <w:kern w:val="0"/>
      <w:szCs w:val="36"/>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ascii="Calibri" w:hAnsi="Calibri"/>
    </w:rPr>
  </w:style>
  <w:style w:type="paragraph" w:styleId="4">
    <w:name w:val="Body Text"/>
    <w:basedOn w:val="1"/>
    <w:unhideWhenUsed/>
    <w:qFormat/>
    <w:uiPriority w:val="99"/>
    <w:pPr>
      <w:spacing w:after="120"/>
    </w:pPr>
  </w:style>
  <w:style w:type="paragraph" w:styleId="5">
    <w:name w:val="endnote text"/>
    <w:basedOn w:val="1"/>
    <w:semiHidden/>
    <w:qFormat/>
    <w:uiPriority w:val="99"/>
  </w:style>
  <w:style w:type="paragraph" w:styleId="6">
    <w:name w:val="footer"/>
    <w:basedOn w:val="1"/>
    <w:qFormat/>
    <w:uiPriority w:val="0"/>
    <w:pPr>
      <w:tabs>
        <w:tab w:val="center" w:pos="4153"/>
        <w:tab w:val="right" w:pos="8306"/>
      </w:tabs>
      <w:snapToGrid w:val="0"/>
      <w:jc w:val="left"/>
    </w:pPr>
    <w:rPr>
      <w:sz w:val="18"/>
      <w:szCs w:val="20"/>
    </w:rPr>
  </w:style>
  <w:style w:type="character" w:styleId="9">
    <w:name w:val="page number"/>
    <w:basedOn w:val="8"/>
    <w:qFormat/>
    <w:uiPriority w:val="0"/>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1202</Words>
  <Characters>1210</Characters>
  <Paragraphs>17</Paragraphs>
  <TotalTime>0</TotalTime>
  <ScaleCrop>false</ScaleCrop>
  <LinksUpToDate>false</LinksUpToDate>
  <CharactersWithSpaces>1211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2023-08-03T03:28:00Z</dcterms:created>
  <dc:creator>林培炯</dc:creator>
  <cp:lastModifiedBy>刘慧婷</cp:lastModifiedBy>
  <dcterms:modified xsi:type="dcterms:W3CDTF">2024-03-13T16:39:19Z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6b44d2c74fad4171837f95fb92db1d39</vt:lpwstr>
  </property>
</Properties>
</file>