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绍兴市上虞区人民政府关于调整城区货运车辆禁行区域的通告</w:t>
      </w:r>
    </w:p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cs="仿宋_GB2312"/>
          <w:color w:val="000000" w:themeColor="text1"/>
          <w:kern w:val="0"/>
        </w:rPr>
      </w:pPr>
      <w:r>
        <w:rPr>
          <w:rFonts w:hint="eastAsia" w:ascii="仿宋_GB2312" w:hAnsi="仿宋_GB2312" w:cs="仿宋_GB2312"/>
          <w:color w:val="000000" w:themeColor="text1"/>
          <w:kern w:val="0"/>
        </w:rPr>
        <w:t>（征求意见稿）</w:t>
      </w:r>
    </w:p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color w:val="000000" w:themeColor="text1"/>
          <w:kern w:val="0"/>
        </w:rPr>
      </w:pPr>
      <w:r>
        <w:rPr>
          <w:rFonts w:hint="eastAsia" w:ascii="仿宋_GB2312" w:hAnsi="仿宋_GB2312" w:cs="仿宋_GB2312"/>
          <w:color w:val="000000" w:themeColor="text1"/>
          <w:kern w:val="0"/>
        </w:rPr>
        <w:t>为进一步加强城区交通秩序管理，营造良好道路交通环境，推进“青春之城”建设，根据《中华人民共和国道路交通安全法》等有关法律、法规规定，拟调整城区货运车辆禁行区域。</w:t>
      </w:r>
    </w:p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0"/>
        </w:rPr>
      </w:pPr>
      <w:r>
        <w:rPr>
          <w:rFonts w:hint="eastAsia" w:ascii="黑体" w:hAnsi="黑体" w:eastAsia="黑体" w:cs="黑体"/>
          <w:color w:val="000000" w:themeColor="text1"/>
          <w:kern w:val="0"/>
        </w:rPr>
        <w:t>一、实施时间</w:t>
      </w:r>
    </w:p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color w:val="000000" w:themeColor="text1"/>
          <w:kern w:val="0"/>
        </w:rPr>
      </w:pPr>
      <w:r>
        <w:rPr>
          <w:rFonts w:hint="eastAsia" w:ascii="仿宋_GB2312" w:hAnsi="仿宋_GB2312" w:cs="仿宋_GB2312"/>
          <w:color w:val="000000" w:themeColor="text1"/>
          <w:kern w:val="0"/>
        </w:rPr>
        <w:t>从2024年12月1日起（具体以政府发文为准）。</w:t>
      </w:r>
    </w:p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0"/>
        </w:rPr>
      </w:pPr>
      <w:r>
        <w:rPr>
          <w:rFonts w:hint="eastAsia" w:ascii="黑体" w:hAnsi="黑体" w:eastAsia="黑体" w:cs="黑体"/>
          <w:color w:val="000000" w:themeColor="text1"/>
          <w:kern w:val="0"/>
        </w:rPr>
        <w:t>二、禁行范围</w:t>
      </w:r>
    </w:p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color w:val="000000" w:themeColor="text1"/>
          <w:kern w:val="0"/>
        </w:rPr>
      </w:pPr>
      <w:r>
        <w:rPr>
          <w:rFonts w:hint="eastAsia" w:ascii="仿宋_GB2312" w:hAnsi="仿宋_GB2312" w:cs="仿宋_GB2312"/>
          <w:color w:val="000000" w:themeColor="text1"/>
          <w:kern w:val="0"/>
        </w:rPr>
        <w:t>迎宾大道（虞舜大道—梁祝大道）、梁祝大道东段（迎宾大道—人民大道东段）、人民大道东段(百谢路—梁祝大道东段)、百谢路（人民大道东段—梁祝大道东段）、舜耕大道（百谢路—百岭路）、百岭路（舜耕大道--博学路）、博学路（百岭路--江东南路）、江东南路（博学路--舜耕大道）、舜耕大道（江东南路--春晖工业大道）、春晖工业大道（舜耕大道--亚厦大道）、亚厦大道（春晖工业大道—东三路）、东三路、兴业路（人民大道西段—江西路）、江西路（兴业路—e游小镇）、江东路（虞舜大道—曙兴路）、曙兴路（江东北路—称山北路）、称山北路（曙兴路—康良路）、康良路、康居路（康良路—虞舜大道）、峰山路（虞舜大道—越国路）、江环路（峰山路—凤鸣路）、凤鸣路（江环路—虞舜大道）、虞舜大道（凤鸣路—迎宾大道）等道路合围区域内禁止所有货车通行，上述道路不含虞舜大道、迎宾大道（虞舜大道—梁祝大道）、亚厦大道（东山路—东三路）、东三路。梁祝大道东段（迎宾大道—百谢路）、百谢路（人民大道东段—梁祝大道东段）、舜耕大道（百谢路—春晖工业大道）、春晖工业大道（舜耕大道--亚厦大道）、亚厦大道（春晖工业大道—东山路）、兴业路（人民大道西段—五星路）、百丰公路（舜耕大道--梁湖大道）、峰山路（虞大道—江环路）上午7:00—8:30,下午16:30—18:00交通高峰时段禁止所有货车通行。</w:t>
      </w:r>
    </w:p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0"/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kern w:val="0"/>
        </w:rPr>
        <w:t>三、其他规定</w:t>
      </w:r>
    </w:p>
    <w:bookmarkEnd w:id="0"/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color w:val="000000" w:themeColor="text1"/>
          <w:kern w:val="0"/>
        </w:rPr>
      </w:pPr>
      <w:r>
        <w:rPr>
          <w:rFonts w:hint="eastAsia" w:ascii="仿宋_GB2312" w:hAnsi="仿宋_GB2312" w:cs="仿宋_GB2312"/>
          <w:color w:val="000000" w:themeColor="text1"/>
          <w:kern w:val="0"/>
        </w:rPr>
        <w:t>1.车型为轻、微型多用途货车的不受城区货车禁行区域限制。</w:t>
      </w:r>
    </w:p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color w:val="000000" w:themeColor="text1"/>
          <w:kern w:val="0"/>
        </w:rPr>
      </w:pPr>
      <w:r>
        <w:rPr>
          <w:rFonts w:hint="eastAsia" w:ascii="仿宋_GB2312" w:hAnsi="仿宋_GB2312" w:cs="仿宋_GB2312"/>
          <w:color w:val="000000" w:themeColor="text1"/>
          <w:kern w:val="0"/>
        </w:rPr>
        <w:t>2.新能源四类货车（轻型厢式货车、轻型封闭式货车、微型厢式货车、微型封闭式货车）和轻型及以下厢式、封闭式货车，以及整车长度不超过6米、宽度不超过2.2米、高度不超过2.8米的中型厢式货车，非高峰时段（8：30—16：30，18：30—次日7：00）不受城区货车禁行区域限制。</w:t>
      </w:r>
    </w:p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color w:val="000000" w:themeColor="text1"/>
          <w:kern w:val="0"/>
        </w:rPr>
      </w:pPr>
      <w:r>
        <w:rPr>
          <w:rFonts w:hint="eastAsia" w:ascii="仿宋_GB2312" w:hAnsi="仿宋_GB2312" w:cs="仿宋_GB2312"/>
          <w:color w:val="000000" w:themeColor="text1"/>
          <w:kern w:val="0"/>
        </w:rPr>
        <w:t>3.货车驾驶人违反本通告规定驶入禁行区域，按照《中华人民共和国道路交通安全法》等相关法律、法规规定予以处罚。</w:t>
      </w:r>
    </w:p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000000" w:themeColor="text1"/>
          <w:kern w:val="0"/>
        </w:rPr>
      </w:pPr>
      <w:r>
        <w:rPr>
          <w:rFonts w:hint="eastAsia" w:ascii="仿宋_GB2312" w:hAnsi="仿宋_GB2312" w:cs="仿宋_GB2312"/>
          <w:color w:val="000000" w:themeColor="text1"/>
          <w:kern w:val="0"/>
        </w:rPr>
        <w:t>4.2021年2月9日发布的《绍兴市上虞区人民政府关于调整城区货运车辆禁行区域的通告》（虞政发[2021]2号）同时废止。</w:t>
      </w:r>
    </w:p>
    <w:p>
      <w:pPr>
        <w:pStyle w:val="37"/>
        <w:spacing w:line="560" w:lineRule="exact"/>
        <w:ind w:firstLine="640"/>
        <w:rPr>
          <w:rFonts w:hint="eastAsia" w:ascii="仿宋_GB2312" w:hAnsi="仿宋_GB2312" w:cs="仿宋_GB2312"/>
          <w:color w:val="000000" w:themeColor="text1"/>
          <w:kern w:val="0"/>
        </w:rPr>
      </w:pPr>
    </w:p>
    <w:p>
      <w:pPr>
        <w:pStyle w:val="37"/>
        <w:spacing w:line="560" w:lineRule="exact"/>
        <w:ind w:firstLine="640"/>
        <w:rPr>
          <w:rFonts w:hint="default" w:ascii="仿宋_GB2312" w:hAnsi="仿宋_GB2312" w:cs="仿宋_GB2312"/>
          <w:color w:val="000000" w:themeColor="text1"/>
          <w:kern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813"/>
    <w:rsid w:val="00027058"/>
    <w:rsid w:val="000804F7"/>
    <w:rsid w:val="000929FC"/>
    <w:rsid w:val="00094A7A"/>
    <w:rsid w:val="000F2DF0"/>
    <w:rsid w:val="001545C8"/>
    <w:rsid w:val="00160CF0"/>
    <w:rsid w:val="001C2CE3"/>
    <w:rsid w:val="00294ADC"/>
    <w:rsid w:val="002A5834"/>
    <w:rsid w:val="002E7617"/>
    <w:rsid w:val="003A2091"/>
    <w:rsid w:val="0049265C"/>
    <w:rsid w:val="00544CDA"/>
    <w:rsid w:val="0063311A"/>
    <w:rsid w:val="00677F21"/>
    <w:rsid w:val="007C7040"/>
    <w:rsid w:val="007E2613"/>
    <w:rsid w:val="00857A88"/>
    <w:rsid w:val="00891D59"/>
    <w:rsid w:val="00966F46"/>
    <w:rsid w:val="009905BE"/>
    <w:rsid w:val="009F1158"/>
    <w:rsid w:val="00A24096"/>
    <w:rsid w:val="00A468E5"/>
    <w:rsid w:val="00A96898"/>
    <w:rsid w:val="00B04416"/>
    <w:rsid w:val="00BA34B8"/>
    <w:rsid w:val="00C0128F"/>
    <w:rsid w:val="00CB6EF3"/>
    <w:rsid w:val="00CC4AD4"/>
    <w:rsid w:val="00CF3813"/>
    <w:rsid w:val="00D64567"/>
    <w:rsid w:val="00D80BE5"/>
    <w:rsid w:val="00E175CE"/>
    <w:rsid w:val="00E334BF"/>
    <w:rsid w:val="00E663ED"/>
    <w:rsid w:val="00EB0A05"/>
    <w:rsid w:val="00EE3C81"/>
    <w:rsid w:val="1823185E"/>
    <w:rsid w:val="2A9D2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Char"/>
    <w:basedOn w:val="16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Char"/>
    <w:basedOn w:val="16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Char"/>
    <w:basedOn w:val="16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Char"/>
    <w:basedOn w:val="16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Char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Char"/>
    <w:basedOn w:val="16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Char"/>
    <w:basedOn w:val="16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5">
    <w:name w:val="标题 9 Char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Char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Char"/>
    <w:basedOn w:val="16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Char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Char"/>
    <w:basedOn w:val="16"/>
    <w:link w:val="32"/>
    <w:uiPriority w:val="30"/>
    <w:rPr>
      <w:i/>
      <w:iCs/>
      <w:color w:val="0F4761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Char"/>
    <w:basedOn w:val="16"/>
    <w:link w:val="12"/>
    <w:uiPriority w:val="99"/>
    <w:rPr>
      <w:sz w:val="18"/>
      <w:szCs w:val="18"/>
    </w:rPr>
  </w:style>
  <w:style w:type="character" w:customStyle="1" w:styleId="36">
    <w:name w:val="页脚 Char"/>
    <w:basedOn w:val="16"/>
    <w:link w:val="11"/>
    <w:uiPriority w:val="99"/>
    <w:rPr>
      <w:sz w:val="18"/>
      <w:szCs w:val="18"/>
    </w:rPr>
  </w:style>
  <w:style w:type="paragraph" w:customStyle="1" w:styleId="37">
    <w:name w:val="列出段落1"/>
    <w:basedOn w:val="1"/>
    <w:qFormat/>
    <w:uiPriority w:val="34"/>
    <w:pPr>
      <w:spacing w:after="160" w:line="278" w:lineRule="auto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879</Characters>
  <Lines>7</Lines>
  <Paragraphs>2</Paragraphs>
  <TotalTime>85</TotalTime>
  <ScaleCrop>false</ScaleCrop>
  <LinksUpToDate>false</LinksUpToDate>
  <CharactersWithSpaces>1031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2024-07-23T00:43:00Z</dcterms:created>
  <dc:creator>月 吕</dc:creator>
  <cp:lastModifiedBy>Administrator</cp:lastModifiedBy>
  <cp:lastPrinted>2024-07-11T03:59:00Z</cp:lastPrinted>
  <dcterms:modified xsi:type="dcterms:W3CDTF">2024-09-06T08:30:28Z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4132B24B1AB94FBABA43590546934251</vt:lpwstr>
  </property>
</Properties>
</file>