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6"/>
          <w:szCs w:val="36"/>
        </w:rPr>
      </w:pPr>
      <w:r>
        <w:rPr>
          <w:rFonts w:hint="eastAsia" w:ascii="黑体" w:hAnsi="黑体" w:eastAsia="黑体" w:cs="黑体"/>
          <w:sz w:val="36"/>
          <w:szCs w:val="36"/>
        </w:rPr>
        <w:t>关于</w:t>
      </w:r>
      <w:r>
        <w:rPr>
          <w:rFonts w:hint="eastAsia" w:ascii="黑体" w:hAnsi="黑体" w:eastAsia="黑体" w:cs="黑体"/>
          <w:sz w:val="36"/>
          <w:szCs w:val="36"/>
          <w:lang w:val="en-US" w:eastAsia="zh-CN"/>
        </w:rPr>
        <w:t>在二手房</w:t>
      </w:r>
      <w:r>
        <w:rPr>
          <w:rFonts w:hint="eastAsia" w:ascii="黑体" w:hAnsi="黑体" w:eastAsia="黑体" w:cs="黑体"/>
          <w:sz w:val="36"/>
          <w:szCs w:val="36"/>
        </w:rPr>
        <w:t xml:space="preserve"> “带押过户”</w:t>
      </w:r>
      <w:r>
        <w:rPr>
          <w:rFonts w:hint="eastAsia" w:ascii="黑体" w:hAnsi="黑体" w:eastAsia="黑体" w:cs="黑体"/>
          <w:sz w:val="36"/>
          <w:szCs w:val="36"/>
          <w:lang w:val="en-US" w:eastAsia="zh-CN"/>
        </w:rPr>
        <w:t>中引入公证服务</w:t>
      </w:r>
      <w:r>
        <w:rPr>
          <w:rFonts w:hint="eastAsia" w:ascii="黑体" w:hAnsi="黑体" w:eastAsia="黑体" w:cs="黑体"/>
          <w:sz w:val="36"/>
          <w:szCs w:val="36"/>
        </w:rPr>
        <w:t>的通知</w:t>
      </w:r>
    </w:p>
    <w:p>
      <w:pPr>
        <w:ind w:firstLine="560" w:firstLineChars="200"/>
        <w:jc w:val="center"/>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（征求意见稿）</w:t>
      </w:r>
    </w:p>
    <w:p>
      <w:pPr>
        <w:spacing w:line="360" w:lineRule="auto"/>
        <w:jc w:val="left"/>
        <w:rPr>
          <w:rFonts w:ascii="仿宋" w:hAnsi="仿宋" w:eastAsia="仿宋" w:cs="仿宋"/>
          <w:sz w:val="30"/>
          <w:szCs w:val="30"/>
        </w:rPr>
      </w:pPr>
    </w:p>
    <w:p>
      <w:pPr>
        <w:spacing w:line="56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为贯彻落实</w:t>
      </w:r>
      <w:r>
        <w:rPr>
          <w:rFonts w:hint="eastAsia" w:ascii="仿宋" w:hAnsi="仿宋" w:eastAsia="仿宋" w:cs="仿宋"/>
          <w:sz w:val="30"/>
          <w:szCs w:val="30"/>
        </w:rPr>
        <w:t>《关于深化多跨协同推进二手房“带押过户”登记服务新模式的通知》（浙自然资规</w:t>
      </w:r>
      <w:r>
        <w:rPr>
          <w:rFonts w:hint="eastAsia" w:ascii="微软雅黑" w:hAnsi="微软雅黑" w:eastAsia="微软雅黑" w:cs="微软雅黑"/>
          <w:sz w:val="30"/>
          <w:szCs w:val="30"/>
        </w:rPr>
        <w:t>〔</w:t>
      </w:r>
      <w:r>
        <w:rPr>
          <w:rFonts w:hint="eastAsia" w:ascii="微软雅黑" w:hAnsi="微软雅黑" w:eastAsia="微软雅黑" w:cs="微软雅黑"/>
          <w:sz w:val="30"/>
          <w:szCs w:val="30"/>
          <w:lang w:val="en-US" w:eastAsia="zh-CN"/>
        </w:rPr>
        <w:t>2023</w:t>
      </w:r>
      <w:r>
        <w:rPr>
          <w:rFonts w:hint="eastAsia" w:ascii="微软雅黑" w:hAnsi="微软雅黑" w:eastAsia="微软雅黑" w:cs="微软雅黑"/>
          <w:sz w:val="30"/>
          <w:szCs w:val="30"/>
        </w:rPr>
        <w:t>〕</w:t>
      </w:r>
      <w:r>
        <w:rPr>
          <w:rFonts w:hint="eastAsia" w:ascii="仿宋" w:hAnsi="仿宋" w:eastAsia="仿宋" w:cs="仿宋"/>
          <w:sz w:val="30"/>
          <w:szCs w:val="30"/>
        </w:rPr>
        <w:t>1号）</w:t>
      </w:r>
      <w:r>
        <w:rPr>
          <w:rFonts w:hint="eastAsia" w:ascii="仿宋" w:hAnsi="仿宋" w:eastAsia="仿宋" w:cs="仿宋"/>
          <w:sz w:val="30"/>
          <w:szCs w:val="30"/>
          <w:lang w:eastAsia="zh-CN"/>
        </w:rPr>
        <w:t>、</w:t>
      </w:r>
      <w:r>
        <w:rPr>
          <w:rFonts w:hint="eastAsia" w:ascii="仿宋" w:hAnsi="仿宋" w:eastAsia="仿宋" w:cs="仿宋"/>
          <w:sz w:val="30"/>
          <w:szCs w:val="30"/>
        </w:rPr>
        <w:t>《关于进一步推进二手房“带押过户”登记工作的通知》（嘉自然资规发</w:t>
      </w:r>
      <w:r>
        <w:rPr>
          <w:rFonts w:hint="eastAsia" w:ascii="微软雅黑" w:hAnsi="微软雅黑" w:eastAsia="微软雅黑" w:cs="微软雅黑"/>
          <w:sz w:val="30"/>
          <w:szCs w:val="30"/>
        </w:rPr>
        <w:t>〔</w:t>
      </w:r>
      <w:r>
        <w:rPr>
          <w:rFonts w:hint="eastAsia" w:ascii="微软雅黑" w:hAnsi="微软雅黑" w:eastAsia="微软雅黑" w:cs="微软雅黑"/>
          <w:sz w:val="30"/>
          <w:szCs w:val="30"/>
          <w:lang w:val="en-US" w:eastAsia="zh-CN"/>
        </w:rPr>
        <w:t>2023</w:t>
      </w:r>
      <w:r>
        <w:rPr>
          <w:rFonts w:hint="eastAsia" w:ascii="微软雅黑" w:hAnsi="微软雅黑" w:eastAsia="微软雅黑" w:cs="微软雅黑"/>
          <w:sz w:val="30"/>
          <w:szCs w:val="30"/>
        </w:rPr>
        <w:t>〕</w:t>
      </w:r>
      <w:r>
        <w:rPr>
          <w:rFonts w:hint="eastAsia" w:ascii="仿宋" w:hAnsi="仿宋" w:eastAsia="仿宋" w:cs="仿宋"/>
          <w:sz w:val="30"/>
          <w:szCs w:val="30"/>
        </w:rPr>
        <w:t>106号）</w:t>
      </w:r>
      <w:r>
        <w:rPr>
          <w:rFonts w:hint="eastAsia" w:ascii="仿宋" w:hAnsi="仿宋" w:eastAsia="仿宋" w:cs="仿宋"/>
          <w:sz w:val="30"/>
          <w:szCs w:val="30"/>
          <w:lang w:val="en-US" w:eastAsia="zh-CN"/>
        </w:rPr>
        <w:t>等文件精神</w:t>
      </w:r>
      <w:r>
        <w:rPr>
          <w:rFonts w:hint="eastAsia" w:ascii="仿宋" w:hAnsi="仿宋" w:eastAsia="仿宋" w:cs="仿宋"/>
          <w:sz w:val="30"/>
          <w:szCs w:val="30"/>
        </w:rPr>
        <w:t>，</w:t>
      </w:r>
      <w:r>
        <w:rPr>
          <w:rFonts w:hint="eastAsia" w:ascii="仿宋" w:hAnsi="仿宋" w:eastAsia="仿宋" w:cs="仿宋"/>
          <w:sz w:val="30"/>
          <w:szCs w:val="30"/>
          <w:shd w:val="clear" w:color="auto" w:fill="FFFFFF"/>
        </w:rPr>
        <w:t>进一步</w:t>
      </w:r>
      <w:r>
        <w:rPr>
          <w:rFonts w:hint="eastAsia" w:ascii="仿宋" w:hAnsi="仿宋" w:eastAsia="仿宋" w:cs="仿宋"/>
          <w:sz w:val="30"/>
          <w:szCs w:val="30"/>
          <w:shd w:val="clear" w:color="auto" w:fill="FFFFFF"/>
          <w:lang w:val="en-US" w:eastAsia="zh-CN"/>
        </w:rPr>
        <w:t>规范我市二手房“带押过户”工作，切实</w:t>
      </w:r>
      <w:r>
        <w:rPr>
          <w:rFonts w:hint="eastAsia" w:ascii="仿宋" w:hAnsi="仿宋" w:eastAsia="仿宋" w:cs="仿宋"/>
          <w:sz w:val="30"/>
          <w:szCs w:val="30"/>
          <w:shd w:val="clear" w:color="auto" w:fill="FFFFFF"/>
        </w:rPr>
        <w:t>发挥公证聚力优化法治化营商环境中的作用，</w:t>
      </w:r>
      <w:r>
        <w:rPr>
          <w:rFonts w:hint="eastAsia" w:ascii="仿宋" w:hAnsi="仿宋" w:eastAsia="仿宋" w:cs="仿宋"/>
          <w:sz w:val="30"/>
          <w:szCs w:val="30"/>
          <w:shd w:val="clear" w:color="auto" w:fill="FFFFFF"/>
          <w:lang w:val="en-US" w:eastAsia="zh-CN"/>
        </w:rPr>
        <w:t>提升我市</w:t>
      </w:r>
      <w:r>
        <w:rPr>
          <w:rFonts w:hint="eastAsia" w:ascii="仿宋" w:hAnsi="仿宋" w:eastAsia="仿宋" w:cs="仿宋"/>
          <w:sz w:val="30"/>
          <w:szCs w:val="30"/>
          <w:shd w:val="clear" w:color="auto" w:fill="FFFFFF"/>
        </w:rPr>
        <w:t>不动产交易</w:t>
      </w:r>
      <w:r>
        <w:rPr>
          <w:rFonts w:hint="eastAsia" w:ascii="仿宋" w:hAnsi="仿宋" w:eastAsia="仿宋" w:cs="仿宋"/>
          <w:sz w:val="30"/>
          <w:szCs w:val="30"/>
          <w:shd w:val="clear" w:color="auto" w:fill="FFFFFF"/>
          <w:lang w:val="en-US" w:eastAsia="zh-CN"/>
        </w:rPr>
        <w:t>安全性便捷度</w:t>
      </w:r>
      <w:r>
        <w:rPr>
          <w:rFonts w:hint="eastAsia" w:ascii="仿宋" w:hAnsi="仿宋" w:eastAsia="仿宋" w:cs="仿宋"/>
          <w:sz w:val="30"/>
          <w:szCs w:val="30"/>
          <w:shd w:val="clear" w:color="auto" w:fill="FFFFFF"/>
        </w:rPr>
        <w:t>，保障已抵押的不动产依法转移，</w:t>
      </w:r>
      <w:r>
        <w:rPr>
          <w:rFonts w:hint="eastAsia" w:ascii="仿宋" w:hAnsi="仿宋" w:eastAsia="仿宋" w:cs="仿宋"/>
          <w:sz w:val="30"/>
          <w:szCs w:val="30"/>
        </w:rPr>
        <w:t>现就</w:t>
      </w:r>
      <w:r>
        <w:rPr>
          <w:rFonts w:hint="eastAsia" w:ascii="仿宋" w:hAnsi="仿宋" w:eastAsia="仿宋" w:cs="仿宋"/>
          <w:sz w:val="30"/>
          <w:szCs w:val="30"/>
          <w:lang w:val="en-US" w:eastAsia="zh-CN"/>
        </w:rPr>
        <w:t>在二手房</w:t>
      </w:r>
      <w:r>
        <w:rPr>
          <w:rFonts w:hint="eastAsia" w:ascii="仿宋" w:hAnsi="仿宋" w:eastAsia="仿宋" w:cs="仿宋"/>
          <w:sz w:val="30"/>
          <w:szCs w:val="30"/>
        </w:rPr>
        <w:t>“带押过户”工作</w:t>
      </w:r>
      <w:r>
        <w:rPr>
          <w:rFonts w:hint="eastAsia" w:ascii="仿宋" w:hAnsi="仿宋" w:eastAsia="仿宋" w:cs="仿宋"/>
          <w:sz w:val="30"/>
          <w:szCs w:val="30"/>
          <w:lang w:val="en-US" w:eastAsia="zh-CN"/>
        </w:rPr>
        <w:t>中引入公证监管服务通知如下</w:t>
      </w:r>
      <w:r>
        <w:rPr>
          <w:rFonts w:hint="eastAsia" w:ascii="仿宋" w:hAnsi="仿宋" w:eastAsia="仿宋" w:cs="仿宋"/>
          <w:sz w:val="30"/>
          <w:szCs w:val="30"/>
          <w:lang w:eastAsia="zh-CN"/>
        </w:rPr>
        <w:t>：</w:t>
      </w:r>
    </w:p>
    <w:p>
      <w:pPr>
        <w:spacing w:before="156" w:beforeLines="50" w:line="560" w:lineRule="exact"/>
        <w:ind w:firstLine="602" w:firstLineChars="200"/>
        <w:jc w:val="left"/>
        <w:rPr>
          <w:rFonts w:ascii="黑体" w:hAnsi="黑体" w:eastAsia="黑体" w:cs="黑体"/>
          <w:b/>
          <w:bCs/>
          <w:sz w:val="30"/>
          <w:szCs w:val="30"/>
        </w:rPr>
      </w:pPr>
      <w:r>
        <w:rPr>
          <w:rFonts w:hint="eastAsia" w:ascii="黑体" w:hAnsi="黑体" w:eastAsia="黑体" w:cs="黑体"/>
          <w:b/>
          <w:bCs/>
          <w:sz w:val="30"/>
          <w:szCs w:val="30"/>
        </w:rPr>
        <w:t>一．指导思想和重要意义</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以习近平新时代中国特色社会主义思想为指导，全面贯彻党的二十大精神，坚持人民为中心的发展思想，</w:t>
      </w:r>
      <w:r>
        <w:rPr>
          <w:rFonts w:hint="eastAsia" w:ascii="仿宋" w:hAnsi="仿宋" w:eastAsia="仿宋" w:cs="仿宋"/>
          <w:sz w:val="30"/>
          <w:szCs w:val="30"/>
          <w:lang w:val="en-US" w:eastAsia="zh-CN"/>
        </w:rPr>
        <w:t>落实《中华人民共和国民法典》带押转让制度，</w:t>
      </w:r>
      <w:r>
        <w:rPr>
          <w:rFonts w:hint="eastAsia" w:ascii="仿宋" w:hAnsi="仿宋" w:eastAsia="仿宋" w:cs="仿宋"/>
          <w:sz w:val="30"/>
          <w:szCs w:val="30"/>
        </w:rPr>
        <w:t>深化不动产登记和</w:t>
      </w:r>
      <w:r>
        <w:rPr>
          <w:rFonts w:hint="eastAsia" w:ascii="仿宋" w:hAnsi="仿宋" w:eastAsia="仿宋" w:cs="仿宋"/>
          <w:sz w:val="30"/>
          <w:szCs w:val="30"/>
          <w:lang w:val="en-US" w:eastAsia="zh-CN"/>
        </w:rPr>
        <w:t>司法、</w:t>
      </w:r>
      <w:r>
        <w:rPr>
          <w:rFonts w:hint="eastAsia" w:ascii="仿宋" w:hAnsi="仿宋" w:eastAsia="仿宋" w:cs="仿宋"/>
          <w:sz w:val="30"/>
          <w:szCs w:val="30"/>
        </w:rPr>
        <w:t>金融便民利企合作，降低</w:t>
      </w:r>
      <w:r>
        <w:rPr>
          <w:rFonts w:hint="eastAsia" w:ascii="仿宋" w:hAnsi="仿宋" w:eastAsia="仿宋" w:cs="仿宋"/>
          <w:sz w:val="30"/>
          <w:szCs w:val="30"/>
          <w:lang w:val="en-US" w:eastAsia="zh-CN"/>
        </w:rPr>
        <w:t>二手房</w:t>
      </w:r>
      <w:r>
        <w:rPr>
          <w:rFonts w:hint="eastAsia" w:ascii="仿宋" w:hAnsi="仿宋" w:eastAsia="仿宋" w:cs="仿宋"/>
          <w:sz w:val="30"/>
          <w:szCs w:val="30"/>
        </w:rPr>
        <w:t>交易成本和风险，助力经济社会发展，不断提高企业和群众办事满意度和获得感。</w:t>
      </w:r>
    </w:p>
    <w:p>
      <w:pPr>
        <w:spacing w:before="156" w:beforeLines="50" w:line="560" w:lineRule="exact"/>
        <w:ind w:firstLine="602" w:firstLineChars="200"/>
        <w:jc w:val="left"/>
        <w:rPr>
          <w:rFonts w:ascii="黑体" w:hAnsi="黑体" w:eastAsia="黑体" w:cs="黑体"/>
          <w:b/>
          <w:bCs/>
          <w:sz w:val="30"/>
          <w:szCs w:val="30"/>
        </w:rPr>
      </w:pPr>
      <w:r>
        <w:rPr>
          <w:rFonts w:hint="eastAsia" w:ascii="黑体" w:hAnsi="黑体" w:eastAsia="黑体" w:cs="黑体"/>
          <w:b/>
          <w:bCs/>
          <w:sz w:val="30"/>
          <w:szCs w:val="30"/>
        </w:rPr>
        <w:t>二．工作目标</w:t>
      </w:r>
    </w:p>
    <w:p>
      <w:pPr>
        <w:spacing w:line="56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二手房</w:t>
      </w:r>
      <w:r>
        <w:rPr>
          <w:rFonts w:hint="eastAsia" w:ascii="仿宋" w:hAnsi="仿宋" w:eastAsia="仿宋" w:cs="仿宋"/>
          <w:sz w:val="30"/>
          <w:szCs w:val="30"/>
        </w:rPr>
        <w:t>“带押过户”</w:t>
      </w:r>
      <w:r>
        <w:rPr>
          <w:rFonts w:hint="eastAsia" w:ascii="仿宋" w:hAnsi="仿宋" w:eastAsia="仿宋" w:cs="仿宋"/>
          <w:sz w:val="30"/>
          <w:szCs w:val="30"/>
          <w:lang w:eastAsia="zh-CN"/>
        </w:rPr>
        <w:t>引入公证服务，实现带押不动产转移登记和抵押权登记同步办理，调整交易登记的事项环节、优化登记流程次序、健全资金监管机制、压缩办理整体时限，最大限度保障当事各方合法权益和交易登记安全，提供更顺畅、更便捷、更高效的不动产交易登记服务。</w:t>
      </w:r>
    </w:p>
    <w:p>
      <w:pPr>
        <w:spacing w:before="156" w:beforeLines="50" w:line="560" w:lineRule="exact"/>
        <w:ind w:firstLine="602" w:firstLineChars="200"/>
        <w:jc w:val="left"/>
        <w:rPr>
          <w:rFonts w:hint="eastAsia" w:ascii="华文楷体" w:hAnsi="华文楷体" w:eastAsia="华文楷体" w:cs="华文楷体"/>
          <w:b w:val="0"/>
          <w:bCs w:val="0"/>
          <w:sz w:val="30"/>
          <w:szCs w:val="30"/>
        </w:rPr>
      </w:pPr>
      <w:r>
        <w:rPr>
          <w:rFonts w:hint="eastAsia" w:ascii="黑体" w:hAnsi="黑体" w:eastAsia="黑体" w:cs="黑体"/>
          <w:b/>
          <w:bCs/>
          <w:sz w:val="30"/>
          <w:szCs w:val="30"/>
        </w:rPr>
        <w:t>三．适用范围</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在本市行政区域内国有土地上已取得不动产权证书（或房屋所有权证书和建设用地使用权证书）的二手房转让交易，适用本方案。</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工业、商业等类型的不动产转移、不良资产处置、房产司法拍卖等事项</w:t>
      </w:r>
      <w:r>
        <w:rPr>
          <w:rFonts w:hint="eastAsia" w:ascii="仿宋" w:hAnsi="仿宋" w:eastAsia="仿宋" w:cs="仿宋"/>
          <w:sz w:val="30"/>
          <w:szCs w:val="30"/>
          <w:lang w:val="en-US" w:eastAsia="zh-CN"/>
        </w:rPr>
        <w:t>可参照本通知执行</w:t>
      </w:r>
      <w:r>
        <w:rPr>
          <w:rFonts w:hint="eastAsia" w:ascii="仿宋" w:hAnsi="仿宋" w:eastAsia="仿宋" w:cs="仿宋"/>
          <w:sz w:val="30"/>
          <w:szCs w:val="30"/>
        </w:rPr>
        <w:t>。</w:t>
      </w:r>
    </w:p>
    <w:p>
      <w:pPr>
        <w:spacing w:before="156" w:beforeLines="50" w:line="560" w:lineRule="exact"/>
        <w:ind w:firstLine="602" w:firstLineChars="200"/>
        <w:jc w:val="left"/>
        <w:rPr>
          <w:rFonts w:ascii="黑体" w:hAnsi="黑体" w:eastAsia="黑体" w:cs="黑体"/>
          <w:b/>
          <w:bCs/>
          <w:sz w:val="30"/>
          <w:szCs w:val="30"/>
        </w:rPr>
      </w:pPr>
      <w:r>
        <w:rPr>
          <w:rFonts w:hint="eastAsia" w:ascii="黑体" w:hAnsi="黑体" w:eastAsia="黑体" w:cs="黑体"/>
          <w:b/>
          <w:bCs/>
          <w:sz w:val="30"/>
          <w:szCs w:val="30"/>
        </w:rPr>
        <w:t>四．工作流程</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不动产受让方需要通过贷款支付部分款项的，各方按照市场化、法治化，网办化的原则，在风险可控的前提下，主要按照以下程序办理：</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（1）转让方、受让方交易意向达成后网上签订《</w:t>
      </w:r>
      <w:r>
        <w:rPr>
          <w:rFonts w:hint="eastAsia" w:ascii="仿宋" w:hAnsi="仿宋" w:eastAsia="仿宋" w:cs="仿宋"/>
          <w:sz w:val="30"/>
          <w:szCs w:val="30"/>
          <w:lang w:val="en-US" w:eastAsia="zh-CN"/>
        </w:rPr>
        <w:t>浙江省存量</w:t>
      </w:r>
      <w:r>
        <w:rPr>
          <w:rFonts w:hint="eastAsia" w:ascii="仿宋" w:hAnsi="仿宋" w:eastAsia="仿宋" w:cs="仿宋"/>
          <w:sz w:val="30"/>
          <w:szCs w:val="30"/>
        </w:rPr>
        <w:t>房买卖合同》，同时转让方、受让方、双方贷款机构、公证处五方签订不动产“带押过户”协议书后，受让方将首付款存入公证处设立的监管</w:t>
      </w:r>
      <w:r>
        <w:rPr>
          <w:rFonts w:hint="eastAsia" w:ascii="仿宋" w:hAnsi="仿宋" w:eastAsia="仿宋" w:cs="仿宋"/>
          <w:sz w:val="30"/>
          <w:szCs w:val="30"/>
          <w:lang w:eastAsia="zh-CN"/>
        </w:rPr>
        <w:t>账</w:t>
      </w:r>
      <w:r>
        <w:rPr>
          <w:rFonts w:hint="eastAsia" w:ascii="仿宋" w:hAnsi="仿宋" w:eastAsia="仿宋" w:cs="仿宋"/>
          <w:sz w:val="30"/>
          <w:szCs w:val="30"/>
        </w:rPr>
        <w:t>户中。</w:t>
      </w:r>
      <w:r>
        <w:rPr>
          <w:rFonts w:hint="eastAsia" w:ascii="华文楷体" w:hAnsi="华文楷体" w:eastAsia="华文楷体" w:cs="华文楷体"/>
          <w:b w:val="0"/>
          <w:bCs w:val="0"/>
          <w:sz w:val="30"/>
          <w:szCs w:val="30"/>
        </w:rPr>
        <w:t>（</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责任</w:t>
      </w:r>
      <w:r>
        <w:rPr>
          <w:rFonts w:hint="eastAsia" w:ascii="华文楷体" w:hAnsi="华文楷体" w:eastAsia="华文楷体" w:cs="华文楷体"/>
          <w:b w:val="0"/>
          <w:bCs w:val="0"/>
          <w:color w:val="000000" w:themeColor="text1"/>
          <w:sz w:val="30"/>
          <w:szCs w:val="30"/>
          <w14:textFill>
            <w14:solidFill>
              <w14:schemeClr w14:val="tx1"/>
            </w14:solidFill>
          </w14:textFill>
        </w:rPr>
        <w:t>单位</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w:t>
      </w:r>
      <w:r>
        <w:rPr>
          <w:rFonts w:hint="eastAsia" w:ascii="华文楷体" w:hAnsi="华文楷体" w:eastAsia="华文楷体" w:cs="华文楷体"/>
          <w:b w:val="0"/>
          <w:bCs w:val="0"/>
          <w:color w:val="000000" w:themeColor="text1"/>
          <w:sz w:val="30"/>
          <w:szCs w:val="30"/>
          <w:lang w:val="en-US" w:eastAsia="zh-CN"/>
          <w14:textFill>
            <w14:solidFill>
              <w14:schemeClr w14:val="tx1"/>
            </w14:solidFill>
          </w14:textFill>
        </w:rPr>
        <w:t>住房公积金管理中心、</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各银行业金融机构、公证处</w:t>
      </w:r>
      <w:r>
        <w:rPr>
          <w:rFonts w:hint="eastAsia" w:ascii="华文楷体" w:hAnsi="华文楷体" w:eastAsia="华文楷体" w:cs="华文楷体"/>
          <w:b w:val="0"/>
          <w:bCs w:val="0"/>
          <w:sz w:val="30"/>
          <w:szCs w:val="30"/>
        </w:rPr>
        <w:t>）</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（2）待受让方贷款审批通过后，由公证处申请不动产转移登记+原抵押权变更登记+新设立抵押登记“三合一”组合登记合并办理。不动产登记机构记载登记簿后，向公证处推送不动产权证书和不动产登记证明。</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如发生违约、查封等原因导致不动产无法继</w:t>
      </w:r>
      <w:r>
        <w:rPr>
          <w:rFonts w:hint="eastAsia" w:ascii="仿宋" w:hAnsi="仿宋" w:eastAsia="仿宋" w:cs="仿宋"/>
          <w:sz w:val="30"/>
          <w:szCs w:val="30"/>
          <w:lang w:val="en-US" w:eastAsia="zh-CN"/>
        </w:rPr>
        <w:t>续</w:t>
      </w:r>
      <w:r>
        <w:rPr>
          <w:rFonts w:hint="eastAsia" w:ascii="仿宋" w:hAnsi="仿宋" w:eastAsia="仿宋" w:cs="仿宋"/>
          <w:sz w:val="30"/>
          <w:szCs w:val="30"/>
        </w:rPr>
        <w:t>交易的情形，公证处将监管</w:t>
      </w:r>
      <w:r>
        <w:rPr>
          <w:rFonts w:hint="eastAsia" w:ascii="仿宋" w:hAnsi="仿宋" w:eastAsia="仿宋" w:cs="仿宋"/>
          <w:sz w:val="30"/>
          <w:szCs w:val="30"/>
          <w:lang w:eastAsia="zh-CN"/>
        </w:rPr>
        <w:t>账</w:t>
      </w:r>
      <w:r>
        <w:rPr>
          <w:rFonts w:hint="eastAsia" w:ascii="仿宋" w:hAnsi="仿宋" w:eastAsia="仿宋" w:cs="仿宋"/>
          <w:sz w:val="30"/>
          <w:szCs w:val="30"/>
        </w:rPr>
        <w:t>户中的首付款原路返还至受让方</w:t>
      </w:r>
      <w:r>
        <w:rPr>
          <w:rFonts w:hint="eastAsia" w:ascii="仿宋" w:hAnsi="仿宋" w:eastAsia="仿宋" w:cs="仿宋"/>
          <w:sz w:val="30"/>
          <w:szCs w:val="30"/>
          <w:lang w:eastAsia="zh-CN"/>
        </w:rPr>
        <w:t>账</w:t>
      </w:r>
      <w:bookmarkStart w:id="0" w:name="_GoBack"/>
      <w:bookmarkEnd w:id="0"/>
      <w:r>
        <w:rPr>
          <w:rFonts w:hint="eastAsia" w:ascii="仿宋" w:hAnsi="仿宋" w:eastAsia="仿宋" w:cs="仿宋"/>
          <w:sz w:val="30"/>
          <w:szCs w:val="30"/>
        </w:rPr>
        <w:t>户。</w:t>
      </w:r>
      <w:r>
        <w:rPr>
          <w:rFonts w:hint="eastAsia" w:ascii="华文楷体" w:hAnsi="华文楷体" w:eastAsia="华文楷体" w:cs="华文楷体"/>
          <w:b w:val="0"/>
          <w:bCs w:val="0"/>
          <w:sz w:val="30"/>
          <w:szCs w:val="30"/>
        </w:rPr>
        <w:t>（</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责任</w:t>
      </w:r>
      <w:r>
        <w:rPr>
          <w:rFonts w:hint="eastAsia" w:ascii="华文楷体" w:hAnsi="华文楷体" w:eastAsia="华文楷体" w:cs="华文楷体"/>
          <w:b w:val="0"/>
          <w:bCs w:val="0"/>
          <w:color w:val="000000" w:themeColor="text1"/>
          <w:sz w:val="30"/>
          <w:szCs w:val="30"/>
          <w14:textFill>
            <w14:solidFill>
              <w14:schemeClr w14:val="tx1"/>
            </w14:solidFill>
          </w14:textFill>
        </w:rPr>
        <w:t>单位：</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资规局、公证处</w:t>
      </w:r>
      <w:r>
        <w:rPr>
          <w:rFonts w:hint="eastAsia" w:ascii="华文楷体" w:hAnsi="华文楷体" w:eastAsia="华文楷体" w:cs="华文楷体"/>
          <w:b w:val="0"/>
          <w:bCs w:val="0"/>
          <w:sz w:val="30"/>
          <w:szCs w:val="30"/>
        </w:rPr>
        <w:t>）</w:t>
      </w:r>
    </w:p>
    <w:p>
      <w:pPr>
        <w:spacing w:line="560" w:lineRule="exact"/>
        <w:ind w:firstLine="600" w:firstLineChars="200"/>
        <w:jc w:val="left"/>
        <w:rPr>
          <w:color w:val="auto"/>
        </w:rPr>
      </w:pPr>
      <w:r>
        <w:rPr>
          <w:rFonts w:hint="eastAsia" w:ascii="仿宋" w:hAnsi="仿宋" w:eastAsia="仿宋" w:cs="仿宋"/>
          <w:color w:val="auto"/>
          <w:sz w:val="30"/>
          <w:szCs w:val="30"/>
        </w:rPr>
        <w:t>（3）公证处通知受让方贷款机构已取得不动产登记证明后，受让方贷款机构将应发放贷款存入监管</w:t>
      </w:r>
      <w:r>
        <w:rPr>
          <w:rFonts w:hint="eastAsia" w:ascii="仿宋" w:hAnsi="仿宋" w:eastAsia="仿宋" w:cs="仿宋"/>
          <w:color w:val="auto"/>
          <w:sz w:val="30"/>
          <w:szCs w:val="30"/>
          <w:lang w:eastAsia="zh-CN"/>
        </w:rPr>
        <w:t>账</w:t>
      </w:r>
      <w:r>
        <w:rPr>
          <w:rFonts w:hint="eastAsia" w:ascii="仿宋" w:hAnsi="仿宋" w:eastAsia="仿宋" w:cs="仿宋"/>
          <w:color w:val="auto"/>
          <w:sz w:val="30"/>
          <w:szCs w:val="30"/>
        </w:rPr>
        <w:t>户中进行托管；公证处依据约定向转让方贷款机构结清原贷款剩余本息，同时向不动产登记机构申请注销原抵押权登记，剩余房款转付转让方。</w:t>
      </w:r>
      <w:r>
        <w:rPr>
          <w:rFonts w:hint="eastAsia" w:ascii="华文楷体" w:hAnsi="华文楷体" w:eastAsia="华文楷体" w:cs="华文楷体"/>
          <w:b w:val="0"/>
          <w:bCs w:val="0"/>
          <w:sz w:val="30"/>
          <w:szCs w:val="30"/>
        </w:rPr>
        <w:t>（</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责任</w:t>
      </w:r>
      <w:r>
        <w:rPr>
          <w:rFonts w:hint="eastAsia" w:ascii="华文楷体" w:hAnsi="华文楷体" w:eastAsia="华文楷体" w:cs="华文楷体"/>
          <w:b w:val="0"/>
          <w:bCs w:val="0"/>
          <w:color w:val="000000" w:themeColor="text1"/>
          <w:sz w:val="30"/>
          <w:szCs w:val="30"/>
          <w14:textFill>
            <w14:solidFill>
              <w14:schemeClr w14:val="tx1"/>
            </w14:solidFill>
          </w14:textFill>
        </w:rPr>
        <w:t>单位：</w:t>
      </w:r>
      <w:r>
        <w:rPr>
          <w:rFonts w:hint="eastAsia" w:ascii="华文楷体" w:hAnsi="华文楷体" w:eastAsia="华文楷体" w:cs="华文楷体"/>
          <w:b w:val="0"/>
          <w:bCs w:val="0"/>
          <w:color w:val="000000" w:themeColor="text1"/>
          <w:sz w:val="30"/>
          <w:szCs w:val="30"/>
          <w:lang w:val="en-US" w:eastAsia="zh-CN"/>
          <w14:textFill>
            <w14:solidFill>
              <w14:schemeClr w14:val="tx1"/>
            </w14:solidFill>
          </w14:textFill>
        </w:rPr>
        <w:t>住房公积金管理中心、</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各银行业金融机构、公证处</w:t>
      </w:r>
      <w:r>
        <w:rPr>
          <w:rFonts w:hint="eastAsia" w:ascii="华文楷体" w:hAnsi="华文楷体" w:eastAsia="华文楷体" w:cs="华文楷体"/>
          <w:b w:val="0"/>
          <w:bCs w:val="0"/>
          <w:sz w:val="30"/>
          <w:szCs w:val="30"/>
        </w:rPr>
        <w:t>）</w:t>
      </w:r>
    </w:p>
    <w:p>
      <w:pPr>
        <w:spacing w:line="560" w:lineRule="exact"/>
        <w:ind w:firstLine="602" w:firstLineChars="200"/>
        <w:jc w:val="left"/>
        <w:rPr>
          <w:rFonts w:hint="eastAsia" w:ascii="黑体" w:hAnsi="黑体" w:eastAsia="黑体" w:cs="黑体"/>
          <w:b/>
          <w:bCs/>
          <w:color w:val="auto"/>
          <w:sz w:val="30"/>
          <w:szCs w:val="30"/>
          <w:lang w:eastAsia="zh-CN"/>
        </w:rPr>
      </w:pPr>
      <w:r>
        <w:rPr>
          <w:rFonts w:hint="eastAsia" w:ascii="黑体" w:hAnsi="黑体" w:eastAsia="黑体" w:cs="黑体"/>
          <w:b/>
          <w:bCs/>
          <w:color w:val="auto"/>
          <w:sz w:val="30"/>
          <w:szCs w:val="30"/>
        </w:rPr>
        <w:t>五．工作分工</w:t>
      </w:r>
    </w:p>
    <w:p>
      <w:pPr>
        <w:spacing w:line="56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协调完善不动产“带押过户”业务流程，做好审批、发放、资金监管、统计等多方面沟通衔接；整合不动产登记、买卖合同备案、金融服务、公积金服务等各平台，优化中介管理、房产交易管理、不动产登记、贷款清偿和发放、房款支付、风险预警等各操作流程，梳理业务流程各环节可能存在的风险点，及时发现并有效弥补风险漏洞，充分保险各交易主体的合法权益、避免交易风险。</w:t>
      </w:r>
      <w:r>
        <w:rPr>
          <w:rFonts w:hint="eastAsia" w:ascii="华文楷体" w:hAnsi="华文楷体" w:eastAsia="华文楷体" w:cs="华文楷体"/>
          <w:b w:val="0"/>
          <w:bCs w:val="0"/>
          <w:sz w:val="30"/>
          <w:szCs w:val="30"/>
        </w:rPr>
        <w:t>（</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责任</w:t>
      </w:r>
      <w:r>
        <w:rPr>
          <w:rFonts w:hint="eastAsia" w:ascii="华文楷体" w:hAnsi="华文楷体" w:eastAsia="华文楷体" w:cs="华文楷体"/>
          <w:b w:val="0"/>
          <w:bCs w:val="0"/>
          <w:color w:val="000000" w:themeColor="text1"/>
          <w:sz w:val="30"/>
          <w:szCs w:val="30"/>
          <w14:textFill>
            <w14:solidFill>
              <w14:schemeClr w14:val="tx1"/>
            </w14:solidFill>
          </w14:textFill>
        </w:rPr>
        <w:t>单位：</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公证处</w:t>
      </w:r>
      <w:r>
        <w:rPr>
          <w:rFonts w:hint="eastAsia" w:ascii="华文楷体" w:hAnsi="华文楷体" w:eastAsia="华文楷体" w:cs="华文楷体"/>
          <w:b w:val="0"/>
          <w:bCs w:val="0"/>
          <w:sz w:val="30"/>
          <w:szCs w:val="30"/>
        </w:rPr>
        <w:t>）</w:t>
      </w:r>
    </w:p>
    <w:p>
      <w:pPr>
        <w:pStyle w:val="7"/>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推动不动产“带押过户”业务，向交易双方做好政策宣传，将各部门优惠的政策和便民的服务举措传递给办事群众，减轻交易双方负责、提供便利。同时监督指导、优化完善发放贷款等工作程序。</w:t>
      </w:r>
      <w:r>
        <w:rPr>
          <w:rFonts w:hint="eastAsia" w:ascii="华文楷体" w:hAnsi="华文楷体" w:eastAsia="华文楷体" w:cs="华文楷体"/>
          <w:b w:val="0"/>
          <w:bCs w:val="0"/>
          <w:sz w:val="30"/>
          <w:szCs w:val="30"/>
        </w:rPr>
        <w:t>（</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责任</w:t>
      </w:r>
      <w:r>
        <w:rPr>
          <w:rFonts w:hint="eastAsia" w:ascii="华文楷体" w:hAnsi="华文楷体" w:eastAsia="华文楷体" w:cs="华文楷体"/>
          <w:b w:val="0"/>
          <w:bCs w:val="0"/>
          <w:color w:val="000000" w:themeColor="text1"/>
          <w:sz w:val="30"/>
          <w:szCs w:val="30"/>
          <w14:textFill>
            <w14:solidFill>
              <w14:schemeClr w14:val="tx1"/>
            </w14:solidFill>
          </w14:textFill>
        </w:rPr>
        <w:t>单位：</w:t>
      </w:r>
      <w:r>
        <w:rPr>
          <w:rFonts w:hint="eastAsia" w:ascii="华文楷体" w:hAnsi="华文楷体" w:eastAsia="华文楷体" w:cs="华文楷体"/>
          <w:b w:val="0"/>
          <w:bCs w:val="0"/>
          <w:color w:val="000000" w:themeColor="text1"/>
          <w:sz w:val="30"/>
          <w:szCs w:val="30"/>
          <w:lang w:val="en-US" w:eastAsia="zh-CN"/>
          <w14:textFill>
            <w14:solidFill>
              <w14:schemeClr w14:val="tx1"/>
            </w14:solidFill>
          </w14:textFill>
        </w:rPr>
        <w:t>资规局、住建局、住房公积金管理中心、</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各银行业金融机构</w:t>
      </w:r>
      <w:r>
        <w:rPr>
          <w:rFonts w:hint="eastAsia" w:ascii="华文楷体" w:hAnsi="华文楷体" w:eastAsia="华文楷体" w:cs="华文楷体"/>
          <w:b w:val="0"/>
          <w:bCs w:val="0"/>
          <w:sz w:val="30"/>
          <w:szCs w:val="30"/>
        </w:rPr>
        <w:t>）</w:t>
      </w:r>
    </w:p>
    <w:p>
      <w:pPr>
        <w:pStyle w:val="7"/>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3.积极响应二手房过户中的融资需求，主动推进“带押过户”业务实施，并加快业务流程改造，稳妥有序推进“带押过户”贷款业务。</w:t>
      </w:r>
      <w:r>
        <w:rPr>
          <w:rFonts w:hint="eastAsia" w:ascii="华文楷体" w:hAnsi="华文楷体" w:eastAsia="华文楷体" w:cs="华文楷体"/>
          <w:b w:val="0"/>
          <w:bCs w:val="0"/>
          <w:sz w:val="30"/>
          <w:szCs w:val="30"/>
        </w:rPr>
        <w:t>（</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责任</w:t>
      </w:r>
      <w:r>
        <w:rPr>
          <w:rFonts w:hint="eastAsia" w:ascii="华文楷体" w:hAnsi="华文楷体" w:eastAsia="华文楷体" w:cs="华文楷体"/>
          <w:b w:val="0"/>
          <w:bCs w:val="0"/>
          <w:color w:val="000000" w:themeColor="text1"/>
          <w:sz w:val="30"/>
          <w:szCs w:val="30"/>
          <w14:textFill>
            <w14:solidFill>
              <w14:schemeClr w14:val="tx1"/>
            </w14:solidFill>
          </w14:textFill>
        </w:rPr>
        <w:t>单位：</w:t>
      </w:r>
      <w:r>
        <w:rPr>
          <w:rFonts w:hint="eastAsia" w:ascii="华文楷体" w:hAnsi="华文楷体" w:eastAsia="华文楷体" w:cs="华文楷体"/>
          <w:b w:val="0"/>
          <w:bCs w:val="0"/>
          <w:color w:val="000000" w:themeColor="text1"/>
          <w:sz w:val="30"/>
          <w:szCs w:val="30"/>
          <w:lang w:eastAsia="zh-CN"/>
          <w14:textFill>
            <w14:solidFill>
              <w14:schemeClr w14:val="tx1"/>
            </w14:solidFill>
          </w14:textFill>
        </w:rPr>
        <w:t>各银行业金融机构</w:t>
      </w:r>
      <w:r>
        <w:rPr>
          <w:rFonts w:hint="eastAsia" w:ascii="华文楷体" w:hAnsi="华文楷体" w:eastAsia="华文楷体" w:cs="华文楷体"/>
          <w:b w:val="0"/>
          <w:bCs w:val="0"/>
          <w:sz w:val="30"/>
          <w:szCs w:val="30"/>
        </w:rPr>
        <w:t>）</w:t>
      </w:r>
    </w:p>
    <w:p>
      <w:pPr>
        <w:pStyle w:val="7"/>
        <w:ind w:firstLine="600" w:firstLineChars="200"/>
        <w:rPr>
          <w:rFonts w:hint="eastAsia" w:ascii="仿宋" w:hAnsi="仿宋" w:eastAsia="仿宋" w:cs="仿宋"/>
          <w:color w:val="auto"/>
          <w:sz w:val="30"/>
          <w:szCs w:val="30"/>
          <w:lang w:val="en-US" w:eastAsia="zh-CN"/>
        </w:rPr>
      </w:pPr>
    </w:p>
    <w:p>
      <w:pPr>
        <w:pStyle w:val="7"/>
        <w:ind w:firstLine="600" w:firstLineChars="200"/>
        <w:rPr>
          <w:rFonts w:hint="eastAsia" w:ascii="仿宋" w:hAnsi="仿宋" w:eastAsia="仿宋" w:cs="仿宋"/>
          <w:color w:val="auto"/>
          <w:sz w:val="30"/>
          <w:szCs w:val="30"/>
          <w:lang w:val="en-US" w:eastAsia="zh-CN"/>
        </w:rPr>
      </w:pPr>
    </w:p>
    <w:p>
      <w:pPr>
        <w:pStyle w:val="7"/>
        <w:ind w:firstLine="600" w:firstLineChars="200"/>
        <w:rPr>
          <w:rFonts w:hint="eastAsia" w:ascii="仿宋" w:hAnsi="仿宋" w:eastAsia="仿宋" w:cs="仿宋"/>
          <w:color w:val="auto"/>
          <w:sz w:val="30"/>
          <w:szCs w:val="30"/>
          <w:lang w:val="en-US" w:eastAsia="zh-CN"/>
        </w:rPr>
      </w:pPr>
    </w:p>
    <w:p>
      <w:pPr>
        <w:pStyle w:val="7"/>
        <w:ind w:firstLine="600" w:firstLineChars="200"/>
        <w:rPr>
          <w:rFonts w:hint="eastAsia" w:ascii="仿宋" w:hAnsi="仿宋" w:eastAsia="仿宋" w:cs="仿宋"/>
          <w:color w:val="auto"/>
          <w:sz w:val="30"/>
          <w:szCs w:val="30"/>
          <w:lang w:val="en-US" w:eastAsia="zh-CN"/>
        </w:rPr>
      </w:pPr>
    </w:p>
    <w:p>
      <w:pPr>
        <w:pStyle w:val="7"/>
        <w:ind w:firstLine="600" w:firstLineChars="200"/>
        <w:rPr>
          <w:rFonts w:hint="eastAsia" w:ascii="仿宋" w:hAnsi="仿宋" w:eastAsia="仿宋" w:cs="仿宋"/>
          <w:color w:val="auto"/>
          <w:sz w:val="30"/>
          <w:szCs w:val="30"/>
          <w:lang w:val="en-US" w:eastAsia="zh-CN"/>
        </w:rPr>
      </w:pPr>
    </w:p>
    <w:p>
      <w:pPr>
        <w:spacing w:line="520" w:lineRule="exact"/>
        <w:ind w:firstLine="640" w:firstLineChars="200"/>
        <w:jc w:val="left"/>
        <w:rPr>
          <w:rFonts w:hint="eastAsia" w:ascii="仿宋" w:hAnsi="仿宋" w:eastAsia="仿宋" w:cs="仿宋"/>
          <w:color w:val="auto"/>
          <w:sz w:val="32"/>
          <w:szCs w:val="32"/>
          <w:lang w:val="en-US" w:eastAsia="zh-CN"/>
        </w:rPr>
      </w:pPr>
    </w:p>
    <w:p>
      <w:pPr>
        <w:spacing w:line="520" w:lineRule="exact"/>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spacing w:line="520" w:lineRule="exact"/>
        <w:ind w:firstLine="722" w:firstLineChars="200"/>
        <w:jc w:val="center"/>
        <w:rPr>
          <w:rFonts w:hint="eastAsia" w:ascii="黑体" w:hAnsi="黑体" w:eastAsia="黑体" w:cs="黑体"/>
          <w:b/>
          <w:bCs w:val="0"/>
          <w:color w:val="auto"/>
          <w:sz w:val="36"/>
          <w:szCs w:val="36"/>
        </w:rPr>
      </w:pPr>
      <w:r>
        <w:rPr>
          <w:rFonts w:hint="eastAsia" w:ascii="黑体" w:hAnsi="黑体" w:eastAsia="黑体" w:cs="黑体"/>
          <w:b/>
          <w:bCs w:val="0"/>
          <w:color w:val="auto"/>
          <w:sz w:val="36"/>
          <w:szCs w:val="36"/>
          <w:lang w:eastAsia="zh-CN"/>
        </w:rPr>
        <w:t>平湖</w:t>
      </w:r>
      <w:r>
        <w:rPr>
          <w:rFonts w:hint="eastAsia" w:ascii="黑体" w:hAnsi="黑体" w:eastAsia="黑体" w:cs="黑体"/>
          <w:b/>
          <w:bCs w:val="0"/>
          <w:color w:val="auto"/>
          <w:sz w:val="36"/>
          <w:szCs w:val="36"/>
        </w:rPr>
        <w:t>市“带押过户”业务五方协议</w:t>
      </w:r>
    </w:p>
    <w:p>
      <w:pPr>
        <w:jc w:val="center"/>
        <w:rPr>
          <w:rFonts w:hint="eastAsia" w:ascii="仿宋_GB2312" w:hAnsi="仿宋_GB2312" w:eastAsia="仿宋_GB2312" w:cs="仿宋_GB2312"/>
          <w:color w:val="auto"/>
          <w:sz w:val="32"/>
          <w:szCs w:val="32"/>
        </w:rPr>
      </w:pPr>
    </w:p>
    <w:p>
      <w:pPr>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编号：</w:t>
      </w:r>
      <w:r>
        <w:rPr>
          <w:rFonts w:hint="eastAsia" w:ascii="仿宋_GB2312" w:hAnsi="仿宋_GB2312" w:eastAsia="仿宋_GB2312" w:cs="仿宋_GB2312"/>
          <w:color w:val="auto"/>
          <w:sz w:val="32"/>
          <w:szCs w:val="32"/>
          <w:u w:val="single"/>
        </w:rPr>
        <w:t xml:space="preserve">_____ </w:t>
      </w:r>
      <w:r>
        <w:rPr>
          <w:rFonts w:hint="eastAsia" w:ascii="仿宋_GB2312" w:hAnsi="仿宋_GB2312" w:eastAsia="仿宋_GB2312" w:cs="仿宋_GB2312"/>
          <w:color w:val="auto"/>
          <w:sz w:val="32"/>
          <w:szCs w:val="32"/>
        </w:rPr>
        <w:t>年第</w:t>
      </w:r>
      <w:r>
        <w:rPr>
          <w:rFonts w:hint="eastAsia" w:ascii="仿宋_GB2312" w:hAnsi="仿宋_GB2312" w:eastAsia="仿宋_GB2312" w:cs="仿宋_GB2312"/>
          <w:color w:val="auto"/>
          <w:sz w:val="32"/>
          <w:szCs w:val="32"/>
          <w:u w:val="single"/>
        </w:rPr>
        <w:t>_____</w:t>
      </w:r>
      <w:r>
        <w:rPr>
          <w:rFonts w:hint="eastAsia" w:ascii="仿宋_GB2312" w:hAnsi="仿宋_GB2312" w:eastAsia="仿宋_GB2312" w:cs="仿宋_GB2312"/>
          <w:color w:val="auto"/>
          <w:sz w:val="32"/>
          <w:szCs w:val="32"/>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借款人（甲方）：</w:t>
      </w:r>
      <w:r>
        <w:rPr>
          <w:rFonts w:hint="eastAsia" w:ascii="仿宋_GB2312" w:hAnsi="仿宋_GB2312" w:eastAsia="仿宋_GB2312" w:cs="仿宋_GB2312"/>
          <w:color w:val="auto"/>
          <w:sz w:val="32"/>
          <w:szCs w:val="32"/>
          <w:u w:val="single"/>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身份证件及号码：</w:t>
      </w:r>
      <w:r>
        <w:rPr>
          <w:rFonts w:hint="eastAsia" w:ascii="仿宋_GB2312" w:hAnsi="仿宋_GB2312" w:eastAsia="仿宋_GB2312" w:cs="仿宋_GB2312"/>
          <w:color w:val="auto"/>
          <w:sz w:val="32"/>
          <w:szCs w:val="32"/>
          <w:u w:val="single"/>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借款人（</w:t>
      </w: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u w:val="single"/>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身份证件及号码：</w:t>
      </w:r>
      <w:r>
        <w:rPr>
          <w:rFonts w:hint="eastAsia" w:ascii="仿宋_GB2312" w:hAnsi="仿宋_GB2312" w:eastAsia="仿宋_GB2312" w:cs="仿宋_GB2312"/>
          <w:color w:val="auto"/>
          <w:sz w:val="32"/>
          <w:szCs w:val="32"/>
          <w:u w:val="single"/>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pPr>
        <w:widowControl/>
        <w:jc w:val="left"/>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贷款人（</w:t>
      </w:r>
      <w:r>
        <w:rPr>
          <w:rFonts w:hint="eastAsia" w:ascii="仿宋_GB2312" w:hAnsi="仿宋_GB2312" w:eastAsia="仿宋_GB2312" w:cs="仿宋_GB2312"/>
          <w:color w:val="auto"/>
          <w:sz w:val="32"/>
          <w:szCs w:val="32"/>
          <w:lang w:eastAsia="zh-CN"/>
        </w:rPr>
        <w:t>丙</w:t>
      </w:r>
      <w:r>
        <w:rPr>
          <w:rFonts w:hint="eastAsia"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u w:val="single"/>
        </w:rPr>
        <w:t xml:space="preserve">                                   </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lang w:eastAsia="zh-CN"/>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贷款人（丁方）：</w:t>
      </w:r>
      <w:r>
        <w:rPr>
          <w:rFonts w:hint="eastAsia" w:ascii="仿宋_GB2312" w:hAnsi="仿宋_GB2312" w:eastAsia="仿宋_GB2312" w:cs="仿宋_GB2312"/>
          <w:color w:val="auto"/>
          <w:sz w:val="32"/>
          <w:szCs w:val="32"/>
          <w:u w:val="single"/>
        </w:rPr>
        <w:t xml:space="preserve">                                   </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资金监管人（戊方）：浙江省</w:t>
      </w:r>
      <w:r>
        <w:rPr>
          <w:rFonts w:hint="eastAsia" w:ascii="仿宋_GB2312" w:hAnsi="仿宋_GB2312" w:eastAsia="仿宋_GB2312" w:cs="仿宋_GB2312"/>
          <w:color w:val="auto"/>
          <w:sz w:val="32"/>
          <w:szCs w:val="32"/>
          <w:lang w:eastAsia="zh-CN"/>
        </w:rPr>
        <w:t>平湖市</w:t>
      </w:r>
      <w:r>
        <w:rPr>
          <w:rFonts w:hint="eastAsia" w:ascii="仿宋_GB2312" w:hAnsi="仿宋_GB2312" w:eastAsia="仿宋_GB2312" w:cs="仿宋_GB2312"/>
          <w:color w:val="auto"/>
          <w:sz w:val="32"/>
          <w:szCs w:val="32"/>
        </w:rPr>
        <w:t>公证处</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经甲、乙、</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、丁、戊五方协商一致，现各方均同意以“带押过户”的方式办理房屋交易业务，并签订本协议，以便共同遵守执行。</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2" w:firstLineChars="200"/>
        <w:jc w:val="left"/>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一、监管事由及监管资金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甲方自愿将</w:t>
      </w:r>
      <w:r>
        <w:rPr>
          <w:rFonts w:hint="eastAsia" w:ascii="仿宋_GB2312" w:hAnsi="仿宋_GB2312" w:eastAsia="仿宋_GB2312" w:cs="仿宋_GB2312"/>
          <w:color w:val="auto"/>
          <w:sz w:val="32"/>
          <w:szCs w:val="32"/>
          <w:lang w:eastAsia="zh-CN"/>
        </w:rPr>
        <w:t>坐落</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[不动产权证书编号：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]的房屋</w:t>
      </w:r>
      <w:r>
        <w:rPr>
          <w:rFonts w:hint="eastAsia" w:ascii="仿宋_GB2312" w:hAnsi="仿宋_GB2312" w:eastAsia="仿宋_GB2312" w:cs="仿宋_GB2312"/>
          <w:color w:val="auto"/>
          <w:sz w:val="32"/>
          <w:szCs w:val="32"/>
          <w:lang w:eastAsia="zh-CN"/>
        </w:rPr>
        <w:t>出售</w:t>
      </w:r>
      <w:r>
        <w:rPr>
          <w:rFonts w:hint="eastAsia" w:ascii="仿宋_GB2312" w:hAnsi="仿宋_GB2312" w:eastAsia="仿宋_GB2312" w:cs="仿宋_GB2312"/>
          <w:color w:val="auto"/>
          <w:sz w:val="32"/>
          <w:szCs w:val="32"/>
        </w:rPr>
        <w:t>给乙方，房屋交易成交价格为人民币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（小写：</w:t>
      </w:r>
      <w:r>
        <w:rPr>
          <w:rFonts w:hint="eastAsia" w:ascii="仿宋_GB2312" w:hAnsi="仿宋_GB2312" w:eastAsia="仿宋_GB2312" w:cs="仿宋_GB2312"/>
          <w:color w:val="auto"/>
          <w:sz w:val="32"/>
          <w:szCs w:val="32"/>
          <w:u w:val="single"/>
          <w:lang w:val="en-US" w:eastAsia="zh-CN"/>
        </w:rPr>
        <w:t xml:space="preserve"> ￥      </w:t>
      </w:r>
      <w:r>
        <w:rPr>
          <w:rFonts w:hint="eastAsia" w:ascii="仿宋_GB2312" w:hAnsi="仿宋_GB2312" w:eastAsia="仿宋_GB2312" w:cs="仿宋_GB2312"/>
          <w:color w:val="auto"/>
          <w:sz w:val="32"/>
          <w:szCs w:val="32"/>
        </w:rPr>
        <w:t>元整）。因甲方的上述房屋有银行贷款尚未清偿，且乙方也需要银行贷款购买上述房产。为保障抵押的不动产依法转让，维护房屋产权交易双方当事人的合法权益，避免和减少房屋交易风险，甲乙双方遵循平等自愿和诚实信用原则,经协商一致，在乙方符合银行贷款的前提下，由乙方将购买上述房产的首付款汇入</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方的资金监管账户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待乙方的贷款审批通过后由</w:t>
      </w:r>
      <w:r>
        <w:rPr>
          <w:rFonts w:hint="eastAsia" w:ascii="仿宋_GB2312" w:hAnsi="仿宋_GB2312" w:eastAsia="仿宋_GB2312" w:cs="仿宋_GB2312"/>
          <w:color w:val="auto"/>
          <w:sz w:val="32"/>
          <w:szCs w:val="32"/>
          <w:lang w:eastAsia="zh-CN"/>
        </w:rPr>
        <w:t>丁方</w:t>
      </w:r>
      <w:r>
        <w:rPr>
          <w:rFonts w:hint="eastAsia" w:ascii="仿宋_GB2312" w:hAnsi="仿宋_GB2312" w:eastAsia="仿宋_GB2312" w:cs="仿宋_GB2312"/>
          <w:color w:val="auto"/>
          <w:sz w:val="32"/>
          <w:szCs w:val="32"/>
        </w:rPr>
        <w:t>将贷款</w:t>
      </w:r>
      <w:r>
        <w:rPr>
          <w:rFonts w:hint="eastAsia" w:ascii="仿宋_GB2312" w:hAnsi="仿宋_GB2312" w:eastAsia="仿宋_GB2312" w:cs="仿宋_GB2312"/>
          <w:color w:val="auto"/>
          <w:sz w:val="32"/>
          <w:szCs w:val="32"/>
          <w:lang w:eastAsia="zh-CN"/>
        </w:rPr>
        <w:t>也</w:t>
      </w:r>
      <w:r>
        <w:rPr>
          <w:rFonts w:hint="eastAsia" w:ascii="仿宋_GB2312" w:hAnsi="仿宋_GB2312" w:eastAsia="仿宋_GB2312" w:cs="仿宋_GB2312"/>
          <w:color w:val="auto"/>
          <w:sz w:val="32"/>
          <w:szCs w:val="32"/>
        </w:rPr>
        <w:t>放款至</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方的资金监管账户。监管期限从乙方的上述监管资金（首付款）存入</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方指定的监管账户之日、</w:t>
      </w:r>
      <w:r>
        <w:rPr>
          <w:rFonts w:hint="eastAsia" w:ascii="仿宋_GB2312" w:hAnsi="仿宋_GB2312" w:eastAsia="仿宋_GB2312" w:cs="仿宋_GB2312"/>
          <w:color w:val="auto"/>
          <w:sz w:val="32"/>
          <w:szCs w:val="32"/>
          <w:lang w:eastAsia="zh-CN"/>
        </w:rPr>
        <w:t>丁方</w:t>
      </w:r>
      <w:r>
        <w:rPr>
          <w:rFonts w:hint="eastAsia" w:ascii="仿宋_GB2312" w:hAnsi="仿宋_GB2312" w:eastAsia="仿宋_GB2312" w:cs="仿宋_GB2312"/>
          <w:color w:val="auto"/>
          <w:sz w:val="32"/>
          <w:szCs w:val="32"/>
        </w:rPr>
        <w:t>放款至</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方指定的监管账户之日起至</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方将监管资金拨付用于甲方的银行贷款解贷账户及甲方的个人结算账户止。</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2" w:firstLineChars="200"/>
        <w:jc w:val="left"/>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二、监管方式及结算账户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由乙方向</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方的资金监管账户汇入首付款人民币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（小写：</w:t>
      </w:r>
      <w:r>
        <w:rPr>
          <w:rFonts w:hint="eastAsia" w:ascii="仿宋_GB2312" w:hAnsi="仿宋_GB2312" w:eastAsia="仿宋_GB2312" w:cs="仿宋_GB2312"/>
          <w:color w:val="auto"/>
          <w:sz w:val="32"/>
          <w:szCs w:val="32"/>
          <w:u w:val="single"/>
          <w:lang w:val="en-US" w:eastAsia="zh-CN"/>
        </w:rPr>
        <w:t xml:space="preserve"> ￥      </w:t>
      </w:r>
      <w:r>
        <w:rPr>
          <w:rFonts w:hint="eastAsia" w:ascii="仿宋_GB2312" w:hAnsi="仿宋_GB2312" w:eastAsia="仿宋_GB2312" w:cs="仿宋_GB2312"/>
          <w:color w:val="auto"/>
          <w:sz w:val="32"/>
          <w:szCs w:val="32"/>
        </w:rPr>
        <w:t>元整），并由</w:t>
      </w:r>
      <w:r>
        <w:rPr>
          <w:rFonts w:hint="eastAsia" w:ascii="仿宋_GB2312" w:hAnsi="仿宋_GB2312" w:eastAsia="仿宋_GB2312" w:cs="仿宋_GB2312"/>
          <w:color w:val="auto"/>
          <w:sz w:val="32"/>
          <w:szCs w:val="32"/>
          <w:lang w:eastAsia="zh-CN"/>
        </w:rPr>
        <w:t>丁方向戊方的资金监管账户</w:t>
      </w:r>
      <w:r>
        <w:rPr>
          <w:rFonts w:hint="eastAsia" w:ascii="仿宋_GB2312" w:hAnsi="仿宋_GB2312" w:eastAsia="仿宋_GB2312" w:cs="仿宋_GB2312"/>
          <w:color w:val="auto"/>
          <w:sz w:val="32"/>
          <w:szCs w:val="32"/>
        </w:rPr>
        <w:t>放款人民币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（小写：</w:t>
      </w:r>
      <w:r>
        <w:rPr>
          <w:rFonts w:hint="eastAsia" w:ascii="仿宋_GB2312" w:hAnsi="仿宋_GB2312" w:eastAsia="仿宋_GB2312" w:cs="仿宋_GB2312"/>
          <w:color w:val="auto"/>
          <w:sz w:val="32"/>
          <w:szCs w:val="32"/>
          <w:u w:val="single"/>
          <w:lang w:val="en-US" w:eastAsia="zh-CN"/>
        </w:rPr>
        <w:t xml:space="preserve"> ￥      </w:t>
      </w:r>
      <w:r>
        <w:rPr>
          <w:rFonts w:hint="eastAsia" w:ascii="仿宋_GB2312" w:hAnsi="仿宋_GB2312" w:eastAsia="仿宋_GB2312" w:cs="仿宋_GB2312"/>
          <w:color w:val="auto"/>
          <w:sz w:val="32"/>
          <w:szCs w:val="32"/>
        </w:rPr>
        <w:t>元整）</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甲方个人结算账户：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用于甲方的银行贷款解贷账户：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乙方个人结算账户：</w:t>
      </w:r>
      <w:r>
        <w:rPr>
          <w:rFonts w:hint="eastAsia" w:ascii="仿宋_GB2312" w:hAnsi="仿宋_GB2312" w:eastAsia="仿宋_GB2312" w:cs="仿宋_GB2312"/>
          <w:color w:val="auto"/>
          <w:sz w:val="32"/>
          <w:szCs w:val="32"/>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方资金监管专用账户（以下简称专用账户）信息如下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账户名称：</w:t>
      </w:r>
      <w:r>
        <w:rPr>
          <w:rFonts w:hint="eastAsia" w:ascii="仿宋_GB2312" w:hAnsi="仿宋_GB2312" w:eastAsia="仿宋_GB2312" w:cs="仿宋_GB2312"/>
          <w:color w:val="auto"/>
          <w:sz w:val="32"/>
          <w:szCs w:val="32"/>
          <w:u w:val="single"/>
          <w:lang w:eastAsia="zh-CN"/>
        </w:rPr>
        <w:t>浙江省平湖市公证处提存专户</w:t>
      </w:r>
      <w:r>
        <w:rPr>
          <w:rFonts w:hint="eastAsia" w:ascii="仿宋_GB2312" w:hAnsi="仿宋_GB2312" w:eastAsia="仿宋_GB2312" w:cs="仿宋_GB2312"/>
          <w:color w:val="auto"/>
          <w:sz w:val="32"/>
          <w:szCs w:val="32"/>
        </w:rPr>
        <w:t>；开户银行：</w:t>
      </w:r>
      <w:r>
        <w:rPr>
          <w:rFonts w:hint="eastAsia" w:ascii="仿宋_GB2312" w:hAnsi="仿宋_GB2312" w:eastAsia="仿宋_GB2312" w:cs="仿宋_GB2312"/>
          <w:color w:val="auto"/>
          <w:sz w:val="32"/>
          <w:szCs w:val="32"/>
          <w:u w:val="single"/>
          <w:lang w:eastAsia="zh-CN"/>
        </w:rPr>
        <w:t>农业银行</w:t>
      </w:r>
      <w:r>
        <w:rPr>
          <w:rFonts w:hint="eastAsia" w:ascii="仿宋_GB2312" w:hAnsi="仿宋_GB2312" w:eastAsia="仿宋_GB2312" w:cs="仿宋_GB2312"/>
          <w:color w:val="auto"/>
          <w:sz w:val="32"/>
          <w:szCs w:val="32"/>
        </w:rPr>
        <w:t>；账号：</w:t>
      </w:r>
      <w:r>
        <w:rPr>
          <w:rFonts w:hint="eastAsia" w:ascii="仿宋_GB2312" w:hAnsi="仿宋_GB2312" w:eastAsia="仿宋_GB2312" w:cs="仿宋_GB2312"/>
          <w:color w:val="auto"/>
          <w:sz w:val="32"/>
          <w:szCs w:val="32"/>
          <w:u w:val="single"/>
          <w:lang w:val="en-US" w:eastAsia="zh-CN"/>
        </w:rPr>
        <w:t>19-340501040002673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监管资金由</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方依据本协议约定实施资金划转等监管行为。上述结算账户开立后，账户内监管资金需严格按照本协议约定进行划转，在监管期间甲乙各方不得对上述账户办理注销或挂失手续。</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2" w:firstLineChars="200"/>
        <w:jc w:val="left"/>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三、监管资金的缴存及支付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（一）监管款项的缴存：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各方约定，乙方应当于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日将本协议约定的房屋交易首付款人民币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（小写：</w:t>
      </w:r>
      <w:r>
        <w:rPr>
          <w:rFonts w:hint="eastAsia" w:ascii="仿宋_GB2312" w:hAnsi="仿宋_GB2312" w:eastAsia="仿宋_GB2312" w:cs="仿宋_GB2312"/>
          <w:color w:val="auto"/>
          <w:sz w:val="32"/>
          <w:szCs w:val="32"/>
          <w:u w:val="single"/>
          <w:lang w:val="en-US" w:eastAsia="zh-CN"/>
        </w:rPr>
        <w:t xml:space="preserve"> ￥      </w:t>
      </w:r>
      <w:r>
        <w:rPr>
          <w:rFonts w:hint="eastAsia" w:ascii="仿宋_GB2312" w:hAnsi="仿宋_GB2312" w:eastAsia="仿宋_GB2312" w:cs="仿宋_GB2312"/>
          <w:color w:val="auto"/>
          <w:sz w:val="32"/>
          <w:szCs w:val="32"/>
        </w:rPr>
        <w:t>元整），一次性全部转入</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方指定的资金监管账户。乙方的贷款部分由</w:t>
      </w:r>
      <w:r>
        <w:rPr>
          <w:rFonts w:hint="eastAsia" w:ascii="仿宋_GB2312" w:hAnsi="仿宋_GB2312" w:eastAsia="仿宋_GB2312" w:cs="仿宋_GB2312"/>
          <w:color w:val="auto"/>
          <w:sz w:val="32"/>
          <w:szCs w:val="32"/>
          <w:lang w:eastAsia="zh-CN"/>
        </w:rPr>
        <w:t>丁方</w:t>
      </w:r>
      <w:r>
        <w:rPr>
          <w:rFonts w:hint="eastAsia" w:ascii="仿宋_GB2312" w:hAnsi="仿宋_GB2312" w:eastAsia="仿宋_GB2312" w:cs="仿宋_GB2312"/>
          <w:color w:val="auto"/>
          <w:sz w:val="32"/>
          <w:szCs w:val="32"/>
        </w:rPr>
        <w:t>放款人民币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（小写：</w:t>
      </w:r>
      <w:r>
        <w:rPr>
          <w:rFonts w:hint="eastAsia" w:ascii="仿宋_GB2312" w:hAnsi="仿宋_GB2312" w:eastAsia="仿宋_GB2312" w:cs="仿宋_GB2312"/>
          <w:color w:val="auto"/>
          <w:sz w:val="32"/>
          <w:szCs w:val="32"/>
          <w:u w:val="single"/>
          <w:lang w:val="en-US" w:eastAsia="zh-CN"/>
        </w:rPr>
        <w:t xml:space="preserve"> ￥      </w:t>
      </w:r>
      <w:r>
        <w:rPr>
          <w:rFonts w:hint="eastAsia" w:ascii="仿宋_GB2312" w:hAnsi="仿宋_GB2312" w:eastAsia="仿宋_GB2312" w:cs="仿宋_GB2312"/>
          <w:color w:val="auto"/>
          <w:sz w:val="32"/>
          <w:szCs w:val="32"/>
        </w:rPr>
        <w:t>元整）至</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方指定的资金监管账户。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（二）监管款项的支付及止付：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w:t>
      </w:r>
      <w:r>
        <w:rPr>
          <w:rFonts w:hint="eastAsia" w:ascii="仿宋_GB2312" w:hAnsi="仿宋_GB2312" w:eastAsia="仿宋_GB2312" w:cs="仿宋_GB2312"/>
          <w:color w:val="auto"/>
          <w:sz w:val="32"/>
          <w:szCs w:val="32"/>
          <w:lang w:eastAsia="zh-CN"/>
        </w:rPr>
        <w:t>丁方</w:t>
      </w:r>
      <w:r>
        <w:rPr>
          <w:rFonts w:hint="eastAsia" w:ascii="仿宋_GB2312" w:hAnsi="仿宋_GB2312" w:eastAsia="仿宋_GB2312" w:cs="仿宋_GB2312"/>
          <w:color w:val="auto"/>
          <w:sz w:val="32"/>
          <w:szCs w:val="32"/>
        </w:rPr>
        <w:t>放款至</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方指定的资金监管账户后</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方应在审核无误后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向用于甲方的银行贷款解贷账户内划转监管资金人民币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（小写：</w:t>
      </w:r>
      <w:r>
        <w:rPr>
          <w:rFonts w:hint="eastAsia" w:ascii="仿宋_GB2312" w:hAnsi="仿宋_GB2312" w:eastAsia="仿宋_GB2312" w:cs="仿宋_GB2312"/>
          <w:color w:val="auto"/>
          <w:sz w:val="32"/>
          <w:szCs w:val="32"/>
          <w:u w:val="single"/>
          <w:lang w:val="en-US" w:eastAsia="zh-CN"/>
        </w:rPr>
        <w:t xml:space="preserve"> ￥      </w:t>
      </w:r>
      <w:r>
        <w:rPr>
          <w:rFonts w:hint="eastAsia" w:ascii="仿宋_GB2312" w:hAnsi="仿宋_GB2312" w:eastAsia="仿宋_GB2312" w:cs="仿宋_GB2312"/>
          <w:color w:val="auto"/>
          <w:sz w:val="32"/>
          <w:szCs w:val="32"/>
        </w:rPr>
        <w:t>元整）用于结清甲方贷款</w:t>
      </w:r>
      <w:r>
        <w:rPr>
          <w:rFonts w:hint="eastAsia" w:ascii="仿宋_GB2312" w:hAnsi="仿宋_GB2312" w:eastAsia="仿宋_GB2312" w:cs="仿宋_GB2312"/>
          <w:color w:val="auto"/>
          <w:sz w:val="32"/>
          <w:szCs w:val="32"/>
          <w:lang w:eastAsia="zh-CN"/>
        </w:rPr>
        <w:t>本息</w:t>
      </w:r>
      <w:r>
        <w:rPr>
          <w:rFonts w:hint="eastAsia" w:ascii="仿宋_GB2312" w:hAnsi="仿宋_GB2312" w:eastAsia="仿宋_GB2312" w:cs="仿宋_GB2312"/>
          <w:color w:val="auto"/>
          <w:sz w:val="32"/>
          <w:szCs w:val="32"/>
        </w:rPr>
        <w:t>,向甲方个人结算账户内划转总房款结清贷款后的余款监管资金人民币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（小写：</w:t>
      </w:r>
      <w:r>
        <w:rPr>
          <w:rFonts w:hint="eastAsia" w:ascii="仿宋_GB2312" w:hAnsi="仿宋_GB2312" w:eastAsia="仿宋_GB2312" w:cs="仿宋_GB2312"/>
          <w:color w:val="auto"/>
          <w:sz w:val="32"/>
          <w:szCs w:val="32"/>
          <w:u w:val="single"/>
          <w:lang w:val="en-US" w:eastAsia="zh-CN"/>
        </w:rPr>
        <w:t xml:space="preserve"> ￥      </w:t>
      </w:r>
      <w:r>
        <w:rPr>
          <w:rFonts w:hint="eastAsia" w:ascii="仿宋_GB2312" w:hAnsi="仿宋_GB2312" w:eastAsia="仿宋_GB2312" w:cs="仿宋_GB2312"/>
          <w:color w:val="auto"/>
          <w:sz w:val="32"/>
          <w:szCs w:val="32"/>
        </w:rPr>
        <w:t>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2.因甲乙双方协商一致解除上述房产的买卖合同或经不动产登记部门决定不予登记或甲方不配合办理转移登记等原因造成本协议不能继续履行，由乙方向</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方提出书面申请，</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方通知甲方，甲方有权书面请求公证处止付，止付期限为5天。5天后如果甲方未对该款进行财产保全或甲方没有请求</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方止付则</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方应在1个工作日内将乙方汇入</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方资金监管账户内的监管资金依来源返还。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方有义务按照本协议约定，按时完成被监管款项的支付。 </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2" w:firstLineChars="200"/>
        <w:jc w:val="left"/>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四、特别约定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方实行交易资金监管后，不能对抗司法机关、行政机关依法对该房屋的查封或以其他形式的限制房屋权利的裁定、决定。如发生甲乙双方监管资金被司法机关、行政机关因非</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方原因而依法冻结或因不可抗力等造成</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方不能将监管资金交付甲方或乙方或甲方偿还贷款的结算账户或乙方贷款部门，</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方对此产生的任何后果不承担责任、监管资金依生效的法律文书划转，本协议自然终止。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对房屋交易资金的监管不意味着对甲乙双方履行房屋买卖合同义务承担保证责任；甲乙双方在履行买卖合同过程中发生与本协议无关的任何争议均应由甲乙双方自行协商或通过法律途径解决。若因甲乙双方原因导致监管方未能及时完成本协议事项，则按甲乙双方签订的房屋买卖合同的约定承担相关违约责任，本协议自然终止，监管资金依来源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3.监管资金在监管账户滞留期间不结算交易双方利息，利息由</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lang w:val="en-US" w:eastAsia="zh-CN"/>
        </w:rPr>
        <w:t>用于监管维护。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方在向甲方或者约定的收款人支付监管资金款项时，如额外产生费用（如转账手续费等），该费用由实际的收款方承担，资金监管方可以直接在所应支付监管资金款项中给予扣除。</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2" w:firstLineChars="200"/>
        <w:jc w:val="left"/>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五、争议解决</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本协议履行中发生争议的，可由各方协商解决，协商不成的，可向戊方住所地人民法院起诉。</w: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42" w:firstLineChars="200"/>
        <w:jc w:val="left"/>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六、其他事项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（一）本协议生效后，乙方无权单独变更或撤销对</w:t>
      </w:r>
      <w:r>
        <w:rPr>
          <w:rFonts w:hint="eastAsia" w:ascii="仿宋_GB2312" w:hAnsi="仿宋_GB2312" w:eastAsia="仿宋_GB2312" w:cs="仿宋_GB2312"/>
          <w:color w:val="auto"/>
          <w:sz w:val="32"/>
          <w:szCs w:val="32"/>
          <w:lang w:eastAsia="zh-CN"/>
        </w:rPr>
        <w:t>戊</w:t>
      </w:r>
      <w:r>
        <w:rPr>
          <w:rFonts w:hint="eastAsia" w:ascii="仿宋_GB2312" w:hAnsi="仿宋_GB2312" w:eastAsia="仿宋_GB2312" w:cs="仿宋_GB2312"/>
          <w:color w:val="auto"/>
          <w:sz w:val="32"/>
          <w:szCs w:val="32"/>
        </w:rPr>
        <w:t>方的委托监管事项。</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（二）本协议满足以下条件后生效：</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甲方、丙方签字；</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乙方、丁方、戊方加盖公章（或合同专用章）；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若合同文本间有不符，以公证处所执文本为准。</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 xml:space="preserve"> 本补充协议一式</w:t>
      </w:r>
      <w:r>
        <w:rPr>
          <w:rFonts w:hint="eastAsia" w:ascii="仿宋_GB2312" w:hAnsi="仿宋_GB2312" w:eastAsia="仿宋_GB2312" w:cs="仿宋_GB2312"/>
          <w:color w:val="auto"/>
          <w:sz w:val="32"/>
          <w:szCs w:val="32"/>
          <w:lang w:eastAsia="zh-CN"/>
        </w:rPr>
        <w:t>伍</w:t>
      </w:r>
      <w:r>
        <w:rPr>
          <w:rFonts w:hint="eastAsia" w:ascii="仿宋_GB2312" w:hAnsi="仿宋_GB2312" w:eastAsia="仿宋_GB2312" w:cs="仿宋_GB2312"/>
          <w:color w:val="auto"/>
          <w:sz w:val="32"/>
          <w:szCs w:val="32"/>
        </w:rPr>
        <w:t>份，具有同等法律效力。</w:t>
      </w: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甲方（签字）：</w:t>
      </w:r>
      <w:r>
        <w:rPr>
          <w:rFonts w:hint="eastAsia" w:ascii="仿宋_GB2312" w:hAnsi="仿宋_GB2312" w:eastAsia="仿宋_GB2312" w:cs="仿宋_GB2312"/>
          <w:color w:val="auto"/>
          <w:sz w:val="32"/>
          <w:szCs w:val="32"/>
          <w:lang w:val="en-US" w:eastAsia="zh-CN"/>
        </w:rPr>
        <w:t xml:space="preserve">                 乙</w:t>
      </w:r>
      <w:r>
        <w:rPr>
          <w:rFonts w:hint="eastAsia" w:ascii="仿宋_GB2312" w:hAnsi="仿宋_GB2312" w:eastAsia="仿宋_GB2312" w:cs="仿宋_GB2312"/>
          <w:color w:val="auto"/>
          <w:sz w:val="32"/>
          <w:szCs w:val="32"/>
        </w:rPr>
        <w:t>方（签字）：</w:t>
      </w: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丙</w:t>
      </w:r>
      <w:r>
        <w:rPr>
          <w:rFonts w:hint="eastAsia" w:ascii="仿宋_GB2312" w:hAnsi="仿宋_GB2312" w:eastAsia="仿宋_GB2312" w:cs="仿宋_GB2312"/>
          <w:color w:val="auto"/>
          <w:sz w:val="32"/>
          <w:szCs w:val="32"/>
        </w:rPr>
        <w:t>方（公章或合同专用章）：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丁方（公章或合同专用章）：</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戊方（公章或合同专用章）：</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协议签订时间:    年   月   日</w:t>
      </w:r>
    </w:p>
    <w:p>
      <w:pPr>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48"/>
        <w:textAlignment w:val="auto"/>
        <w:rPr>
          <w:rFonts w:hint="eastAsia" w:ascii="仿宋_GB2312" w:hAnsi="仿宋_GB2312" w:eastAsia="仿宋_GB2312" w:cs="仿宋_GB2312"/>
          <w:color w:val="auto"/>
          <w:sz w:val="32"/>
          <w:szCs w:val="32"/>
        </w:rPr>
      </w:pPr>
    </w:p>
    <w:p>
      <w:pPr>
        <w:pStyle w:val="7"/>
        <w:rPr>
          <w:rFonts w:hint="default" w:ascii="仿宋" w:hAnsi="仿宋" w:eastAsia="仿宋" w:cs="仿宋"/>
          <w:color w:val="auto"/>
          <w:sz w:val="30"/>
          <w:szCs w:val="30"/>
          <w:lang w:val="en-US" w:eastAsia="zh-CN"/>
        </w:rPr>
      </w:pPr>
    </w:p>
    <w:p>
      <w:pPr>
        <w:rPr>
          <w:rFonts w:hint="eastAsia" w:ascii="黑体" w:hAnsi="黑体" w:eastAsia="黑体" w:cs="黑体"/>
          <w:sz w:val="36"/>
          <w:szCs w:val="36"/>
        </w:rPr>
        <w:sectPr>
          <w:pgSz w:w="11906" w:h="16838"/>
          <w:pgMar w:top="1440" w:right="1800" w:bottom="1440" w:left="1800" w:header="851" w:footer="992" w:gutter="0"/>
          <w:cols w:space="425" w:num="1"/>
          <w:docGrid w:type="lines" w:linePitch="312" w:charSpace="0"/>
        </w:sectPr>
      </w:pPr>
    </w:p>
    <w:p>
      <w:pPr>
        <w:pStyle w:val="7"/>
        <w:rPr>
          <w:rFonts w:hint="default" w:ascii="仿宋" w:hAnsi="仿宋" w:eastAsia="仿宋" w:cs="仿宋"/>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zYyOGU4MWYwY2E1NWVjYmJlODg0OTc1ZmQ4NDkifQ=="/>
  </w:docVars>
  <w:rsids>
    <w:rsidRoot w:val="17FB598B"/>
    <w:rsid w:val="001A6CD3"/>
    <w:rsid w:val="0088132E"/>
    <w:rsid w:val="00B406C6"/>
    <w:rsid w:val="01062EEC"/>
    <w:rsid w:val="01633E9B"/>
    <w:rsid w:val="04BE40C5"/>
    <w:rsid w:val="058A71A5"/>
    <w:rsid w:val="078A03D3"/>
    <w:rsid w:val="094445B2"/>
    <w:rsid w:val="0B842245"/>
    <w:rsid w:val="0D0B5B12"/>
    <w:rsid w:val="0DFA1318"/>
    <w:rsid w:val="0E770F85"/>
    <w:rsid w:val="11205904"/>
    <w:rsid w:val="13866524"/>
    <w:rsid w:val="159C3B23"/>
    <w:rsid w:val="15FA2463"/>
    <w:rsid w:val="16C84A74"/>
    <w:rsid w:val="17793FC0"/>
    <w:rsid w:val="17FB598B"/>
    <w:rsid w:val="17FB6783"/>
    <w:rsid w:val="1C33298F"/>
    <w:rsid w:val="1D5232E9"/>
    <w:rsid w:val="1E195BB5"/>
    <w:rsid w:val="1E9D470A"/>
    <w:rsid w:val="208E288A"/>
    <w:rsid w:val="20A200E4"/>
    <w:rsid w:val="21715583"/>
    <w:rsid w:val="248F097F"/>
    <w:rsid w:val="284E28FF"/>
    <w:rsid w:val="290C7354"/>
    <w:rsid w:val="2AF53506"/>
    <w:rsid w:val="2BF808A6"/>
    <w:rsid w:val="2EDF0755"/>
    <w:rsid w:val="2F082446"/>
    <w:rsid w:val="3161308D"/>
    <w:rsid w:val="33BE6700"/>
    <w:rsid w:val="351E58D6"/>
    <w:rsid w:val="358D4A67"/>
    <w:rsid w:val="36A91D74"/>
    <w:rsid w:val="36EE7787"/>
    <w:rsid w:val="3821593A"/>
    <w:rsid w:val="3A483652"/>
    <w:rsid w:val="3BEB17BA"/>
    <w:rsid w:val="3C7A7DFB"/>
    <w:rsid w:val="3D4F2F4A"/>
    <w:rsid w:val="3E687EF2"/>
    <w:rsid w:val="3F5900B0"/>
    <w:rsid w:val="3F6D68BF"/>
    <w:rsid w:val="4222558D"/>
    <w:rsid w:val="428471F1"/>
    <w:rsid w:val="42D65083"/>
    <w:rsid w:val="49615BAF"/>
    <w:rsid w:val="4F0A1742"/>
    <w:rsid w:val="4F5A0350"/>
    <w:rsid w:val="50355FCF"/>
    <w:rsid w:val="505E72D4"/>
    <w:rsid w:val="50E84DEF"/>
    <w:rsid w:val="515877C8"/>
    <w:rsid w:val="53876B42"/>
    <w:rsid w:val="53B95371"/>
    <w:rsid w:val="54C469B0"/>
    <w:rsid w:val="5E1436C8"/>
    <w:rsid w:val="5E873835"/>
    <w:rsid w:val="5EB6477F"/>
    <w:rsid w:val="60DA077C"/>
    <w:rsid w:val="654725D5"/>
    <w:rsid w:val="661663DA"/>
    <w:rsid w:val="664D7777"/>
    <w:rsid w:val="6660394E"/>
    <w:rsid w:val="675608AD"/>
    <w:rsid w:val="679413D5"/>
    <w:rsid w:val="6BBB730F"/>
    <w:rsid w:val="6D122971"/>
    <w:rsid w:val="6DFF20A1"/>
    <w:rsid w:val="6E8D409F"/>
    <w:rsid w:val="6F563317"/>
    <w:rsid w:val="71096180"/>
    <w:rsid w:val="74B6373C"/>
    <w:rsid w:val="76B148F1"/>
    <w:rsid w:val="76F1414E"/>
    <w:rsid w:val="796444F3"/>
    <w:rsid w:val="79C8563A"/>
    <w:rsid w:val="7B0B6B8E"/>
    <w:rsid w:val="7DF05160"/>
    <w:rsid w:val="7E77762F"/>
    <w:rsid w:val="7F6F766E"/>
    <w:rsid w:val="DEF6187E"/>
    <w:rsid w:val="F9F52B55"/>
    <w:rsid w:val="FFFDEE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Emphasis"/>
    <w:basedOn w:val="4"/>
    <w:qFormat/>
    <w:uiPriority w:val="0"/>
    <w:rPr>
      <w:i/>
    </w:rPr>
  </w:style>
  <w:style w:type="paragraph" w:customStyle="1" w:styleId="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3411</Words>
  <Characters>3454</Characters>
  <Lines>9</Lines>
  <Paragraphs>2</Paragraphs>
  <TotalTime>0</TotalTime>
  <ScaleCrop>false</ScaleCrop>
  <LinksUpToDate>false</LinksUpToDate>
  <CharactersWithSpaces>4270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2023-10-11T14:51:00Z</dcterms:created>
  <dc:creator>pc</dc:creator>
  <cp:lastModifiedBy>huawei</cp:lastModifiedBy>
  <dcterms:modified xsi:type="dcterms:W3CDTF">2025-04-28T15:49:33Z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0DA904A6A0DB4CB5831D2EC86D09A51F</vt:lpwstr>
  </property>
</Properties>
</file>