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jc w:val="center"/>
        <w:textAlignment w:val="auto"/>
        <w:rPr>
          <w:rFonts w:eastAsia="方正小标宋简体" w:hint="eastAsia"/>
          <w:color w:val="auto"/>
          <w:sz w:val="44"/>
          <w:szCs w:val="44"/>
          <w:lang w:val="en-US" w:eastAsia="zh-CN"/>
          <w:highlight w:val="auto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jc w:val="center"/>
        <w:textAlignment w:val="auto"/>
        <w:rPr>
          <w:rFonts w:ascii="方正小标宋简体" w:eastAsia="方正小标宋简体" w:cs="仿宋"/>
          <w:color w:val="auto"/>
          <w:sz w:val="44"/>
          <w:szCs w:val="44"/>
          <w:lang w:val="en-US" w:eastAsia="zh-CN"/>
          <w:highlight w:val="auto"/>
        </w:rPr>
      </w:pPr>
      <w:r>
        <w:rPr>
          <w:rFonts w:ascii="方正小标宋简体" w:eastAsia="方正小标宋简体" w:cs="仿宋" w:hint="eastAsia"/>
          <w:color w:val="auto"/>
          <w:sz w:val="44"/>
          <w:szCs w:val="44"/>
          <w:lang w:val="en-US" w:eastAsia="zh-CN"/>
          <w:highlight w:val="auto"/>
        </w:rPr>
        <w:t>关于加快用户侧储能建设的实施意见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jc w:val="center"/>
        <w:textAlignment w:val="auto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（征求意见稿）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  <w:highlight w:val="auto"/>
        </w:rPr>
        <w:t>为加快构建以新能源为主体的新型电力系统，根据《国家发展改革委 国家能源局关于加快推动新型储能发展的指导意见》（发改能源规〔2021〕1051号）、《关于浙江省加快新型储能示范应用的实施意见》（浙发改能源〔2021〕393号）等文件精神，结合我区实际，制定本实施意见。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outlineLvl w:val="0"/>
        <w:rPr>
          <w:rFonts w:ascii="黑体" w:eastAsia="黑体" w:cs="黑体" w:hint="eastAsia"/>
          <w:color w:val="auto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color w:val="auto"/>
          <w:sz w:val="32"/>
          <w:szCs w:val="32"/>
          <w:lang w:val="en-US" w:eastAsia="zh-CN"/>
          <w:highlight w:val="auto"/>
        </w:rPr>
        <w:t>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rPr>
          <w:rFonts w:ascii="楷体" w:eastAsia="楷体" w:cs="楷体" w:hint="eastAsia"/>
          <w:b/>
          <w:bCs/>
          <w:color w:val="auto"/>
          <w:sz w:val="32"/>
          <w:szCs w:val="32"/>
          <w:lang w:val="en-US" w:eastAsia="zh-CN"/>
          <w:highlight w:val="auto"/>
        </w:rPr>
      </w:pPr>
      <w:r>
        <w:rPr>
          <w:rFonts w:ascii="楷体" w:eastAsia="楷体" w:cs="楷体" w:hint="eastAsia"/>
          <w:b/>
          <w:bCs/>
          <w:color w:val="auto"/>
          <w:sz w:val="32"/>
          <w:szCs w:val="32"/>
          <w:lang w:val="en-US" w:eastAsia="zh-CN"/>
          <w:highlight w:val="auto"/>
        </w:rPr>
        <w:t>指导思想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以习近平新时代中国特色社会主义思想为指导，深入贯彻落实“四个革命，一个合作”能源安全新战略，全面落实碳达峰碳中和目标，加快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用户侧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储能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建设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，建立健全配套机制，进一步提升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用户侧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储能与源网荷协调互动能力，提升电力系统灵活调节能力和安全保障能力。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rPr>
          <w:rFonts w:ascii="楷体" w:eastAsia="楷体" w:cs="楷体" w:hint="eastAsia"/>
          <w:b/>
          <w:bCs/>
          <w:color w:val="auto"/>
          <w:sz w:val="32"/>
          <w:szCs w:val="32"/>
          <w:lang w:val="en-US" w:eastAsia="zh-CN"/>
          <w:highlight w:val="auto"/>
        </w:rPr>
      </w:pPr>
      <w:r>
        <w:rPr>
          <w:rFonts w:ascii="楷体" w:eastAsia="楷体" w:cs="楷体" w:hint="eastAsia"/>
          <w:b/>
          <w:bCs/>
          <w:color w:val="auto"/>
          <w:sz w:val="32"/>
          <w:szCs w:val="32"/>
          <w:lang w:val="en-US" w:eastAsia="zh-CN"/>
          <w:highlight w:val="auto"/>
        </w:rPr>
        <w:t>工作目标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至2024年，全区建成并网10MW/20MWh用户侧储能项目，“十四五”力争实现30MW/60MWh用户侧储能项目发展目标。适应新型电力系统发展，运用数字化技术聚合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储能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设备资源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为电力系统提供的容量支持及调峰能力显著提高。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outlineLvl w:val="0"/>
        <w:rPr>
          <w:rFonts w:ascii="黑体" w:eastAsia="黑体" w:cs="黑体" w:hint="eastAsia"/>
          <w:color w:val="auto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color w:val="auto"/>
          <w:sz w:val="32"/>
          <w:szCs w:val="32"/>
          <w:lang w:val="en-US" w:eastAsia="zh-CN"/>
          <w:highlight w:val="auto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rPr>
          <w:rFonts w:ascii="楷体" w:eastAsia="楷体" w:cs="楷体" w:hint="eastAsia"/>
          <w:b/>
          <w:bCs/>
          <w:color w:val="auto"/>
          <w:sz w:val="32"/>
          <w:szCs w:val="32"/>
          <w:lang w:val="en-US" w:eastAsia="zh-CN"/>
          <w:highlight w:val="auto"/>
        </w:rPr>
      </w:pPr>
      <w:r>
        <w:rPr>
          <w:rFonts w:ascii="楷体" w:eastAsia="楷体" w:cs="楷体" w:hint="eastAsia"/>
          <w:b/>
          <w:bCs/>
          <w:color w:val="auto"/>
          <w:sz w:val="32"/>
          <w:szCs w:val="32"/>
          <w:lang w:val="en-US" w:eastAsia="zh-CN"/>
          <w:highlight w:val="auto"/>
        </w:rPr>
        <w:t>积极支持用户侧储能项目建设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新建设的非居民分布式光伏发电项目原则上按照装机容量的10%以上配建储能系统，</w:t>
      </w:r>
      <w:r>
        <w:rPr>
          <w:rFonts w:ascii="仿宋_GB2312" w:eastAsia="仿宋_GB2312" w:cs="仿宋_GB2312" w:hint="eastAsia"/>
          <w:color w:val="FF0000"/>
          <w:sz w:val="32"/>
          <w:szCs w:val="32"/>
          <w:lang w:val="en-US" w:eastAsia="zh-CN"/>
        </w:rPr>
        <w:t>储能系统额定功率下持续充放电时间不低于2小时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，提高光伏发电就地消纳能力。光伏项目配建的储能系统可自建或采用储能配额置换交易模式。鼓励企业用户或综合能源服务商根据负荷特性建设储能设施，充分利用目录分时电价机制，主动削峰填谷，优化区域电网负荷需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rPr>
          <w:rFonts w:ascii="楷体" w:eastAsia="楷体" w:cs="楷体" w:hint="eastAsia"/>
          <w:b/>
          <w:bCs/>
          <w:color w:val="auto"/>
          <w:sz w:val="32"/>
          <w:szCs w:val="32"/>
          <w:lang w:val="en-US" w:eastAsia="zh-CN"/>
          <w:highlight w:val="auto"/>
        </w:rPr>
      </w:pPr>
      <w:r>
        <w:rPr>
          <w:rFonts w:ascii="楷体" w:eastAsia="楷体" w:cs="楷体" w:hint="eastAsia"/>
          <w:b/>
          <w:bCs/>
          <w:color w:val="auto"/>
          <w:sz w:val="32"/>
          <w:szCs w:val="32"/>
          <w:lang w:val="en-US" w:eastAsia="zh-CN"/>
          <w:highlight w:val="auto"/>
        </w:rPr>
        <w:t>优化用户侧储能项目并网服务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区供电公司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持续加大配电网投资力度，对用户侧储能项目接入的电网侧电力配套设施，延伸投资界面到客户红线。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FF0000"/>
          <w:spacing w:val="8"/>
          <w:sz w:val="32"/>
          <w:szCs w:val="32"/>
          <w:shd w:val="clear" w:color="auto" w:fill="FFFFFF"/>
          <w:lang w:val="en-US" w:eastAsia="zh-CN"/>
        </w:rPr>
        <w:t>用户侧储能新装、增容项目，应按相关规定完成项目备案后向区供电公司办理并网申请手续，经区供电公司及相关部门验收合格后方可并网。</w:t>
      </w:r>
      <w:r>
        <w:rPr>
          <w:rFonts w:ascii="仿宋_GB2312" w:eastAsia="仿宋_GB2312" w:cs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区供电公司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按照积极服务、简洁高效原则，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/>
        </w:rPr>
        <w:t>进一步优化内部流程，加快业务办理速度，优先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用户侧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储能项目提供电网接入服务。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rPr>
          <w:rFonts w:ascii="楷体" w:eastAsia="楷体" w:cs="楷体" w:hint="eastAsia"/>
          <w:b/>
          <w:bCs/>
          <w:color w:val="auto"/>
          <w:sz w:val="32"/>
          <w:szCs w:val="32"/>
          <w:lang w:val="en-US" w:eastAsia="zh-CN"/>
          <w:highlight w:val="auto"/>
        </w:rPr>
      </w:pPr>
      <w:r>
        <w:rPr>
          <w:rFonts w:ascii="楷体" w:eastAsia="楷体" w:cs="楷体" w:hint="eastAsia"/>
          <w:b/>
          <w:bCs/>
          <w:color w:val="auto"/>
          <w:sz w:val="32"/>
          <w:szCs w:val="32"/>
          <w:lang w:val="en-US" w:eastAsia="zh-CN"/>
          <w:highlight w:val="auto"/>
        </w:rPr>
        <w:t>鼓励用户侧储能参与虚拟电厂负荷调节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jc w:val="both"/>
        <w:textAlignment w:val="auto"/>
        <w:outlineLvl w:val="9"/>
        <w:rPr>
          <w:rFonts w:ascii="仿宋_GB2312" w:eastAsia="仿宋_GB2312" w:cs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积极运用数字化技术对分布式储能设施开展平台聚合，用户侧储能项目应接入金华全域虚拟电厂平台，积极参与电力需求响应和辅助服务，充分发挥灵活、可调性储能资源在新型电力系统中的平衡作用。对参与金华全域虚拟电厂负荷调控的储能项目，按负荷响应期间峰段放电量</w:t>
      </w:r>
      <w:r>
        <w:rPr>
          <w:rFonts w:ascii="仿宋_GB2312" w:eastAsia="仿宋_GB2312" w:cs="仿宋_GB2312" w:hint="eastAsia"/>
          <w:b/>
          <w:bCs/>
          <w:color w:val="auto"/>
          <w:sz w:val="32"/>
          <w:szCs w:val="32"/>
          <w:lang w:val="en-US" w:eastAsia="zh-CN"/>
        </w:rPr>
        <w:t>0.25元/千瓦时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给予补贴，负荷响应期为7、8、12、1月份。补贴期自发文之日起至2025年1月31日，补贴资金总额112.5万元，</w:t>
      </w:r>
      <w:r>
        <w:rPr>
          <w:rFonts w:ascii="仿宋_GB2312" w:eastAsia="仿宋_GB2312" w:cs="仿宋_GB2312" w:hint="eastAsia"/>
          <w:color w:val="FF0000"/>
          <w:sz w:val="32"/>
          <w:szCs w:val="32"/>
          <w:lang w:val="en-US" w:eastAsia="zh-CN"/>
        </w:rPr>
        <w:t>其中2023年度37.5万元，2024年度和</w:t>
      </w:r>
      <w:r>
        <w:rPr>
          <w:rFonts w:ascii="仿宋_GB2312" w:eastAsia="仿宋_GB2312" w:cs="仿宋_GB2312"/>
          <w:color w:val="FF0000"/>
          <w:sz w:val="32"/>
          <w:szCs w:val="32"/>
          <w:lang w:val="en-US" w:eastAsia="zh-CN"/>
        </w:rPr>
        <w:t>2025</w:t>
      </w:r>
      <w:r>
        <w:rPr>
          <w:rFonts w:ascii="仿宋_GB2312" w:eastAsia="仿宋_GB2312" w:cs="仿宋_GB2312" w:hint="eastAsia"/>
          <w:color w:val="FF0000"/>
          <w:sz w:val="32"/>
          <w:szCs w:val="32"/>
          <w:lang w:val="en-US" w:eastAsia="zh-CN"/>
        </w:rPr>
        <w:t>年</w:t>
      </w:r>
      <w:r>
        <w:rPr>
          <w:rFonts w:ascii="仿宋_GB2312" w:eastAsia="仿宋_GB2312" w:cs="仿宋_GB2312"/>
          <w:color w:val="FF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 w:hint="eastAsia"/>
          <w:color w:val="FF0000"/>
          <w:sz w:val="32"/>
          <w:szCs w:val="32"/>
          <w:lang w:val="en-US" w:eastAsia="zh-CN"/>
        </w:rPr>
        <w:t>月75万元</w:t>
      </w:r>
      <w:r>
        <w:rPr>
          <w:rFonts w:ascii="仿宋_GB2312" w:eastAsia="仿宋_GB2312" w:cs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jc w:val="both"/>
        <w:textAlignment w:val="auto"/>
        <w:outlineLvl w:val="9"/>
        <w:rPr>
          <w:rFonts w:ascii="楷体" w:eastAsia="楷体" w:cs="楷体" w:hint="eastAsia"/>
          <w:b/>
          <w:bCs/>
          <w:color w:val="FF0000"/>
          <w:sz w:val="32"/>
          <w:szCs w:val="32"/>
          <w:lang w:val="en-US" w:eastAsia="zh-CN"/>
          <w:highlight w:val="auto"/>
        </w:rPr>
      </w:pPr>
      <w:r>
        <w:rPr>
          <w:rFonts w:ascii="楷体" w:eastAsia="楷体" w:cs="楷体" w:hint="eastAsia"/>
          <w:b/>
          <w:bCs/>
          <w:color w:val="FF0000"/>
          <w:sz w:val="32"/>
          <w:szCs w:val="32"/>
          <w:lang w:val="en-US" w:eastAsia="zh-CN"/>
          <w:highlight w:val="auto"/>
        </w:rPr>
        <w:t>（四）建立健全用户侧储能安全保障体系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firstLineChars="200" w:firstLine="640"/>
        <w:textAlignment w:val="auto"/>
        <w:rPr>
          <w:rFonts w:ascii="仿宋_GB2312" w:eastAsia="仿宋_GB2312" w:cs="仿宋_GB2312" w:hint="eastAsia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FF0000"/>
          <w:sz w:val="32"/>
          <w:szCs w:val="32"/>
          <w:lang w:val="en-US" w:eastAsia="zh-CN"/>
        </w:rPr>
        <w:t>用户及储能设施投资方明确储能设施安全责任方，并由安全责任方办理相关业务，</w:t>
      </w:r>
      <w:r>
        <w:rPr>
          <w:rFonts w:ascii="仿宋_GB2312" w:eastAsia="仿宋_GB2312" w:cs="仿宋_GB2312" w:hint="eastAsia"/>
          <w:color w:val="FF0000"/>
          <w:kern w:val="2"/>
          <w:sz w:val="32"/>
          <w:szCs w:val="32"/>
          <w:lang w:val="en-US" w:eastAsia="zh-CN" w:bidi="ar-SA"/>
        </w:rPr>
        <w:t>对储能设施安全运行、管理、维护作出安全承诺，承担因自身原因造成事故引起的一切法律责任</w:t>
      </w:r>
      <w:r>
        <w:rPr>
          <w:rFonts w:cs="仿宋_GB2312" w:hint="eastAsia"/>
          <w:color w:val="FF0000"/>
          <w:kern w:val="2"/>
          <w:sz w:val="32"/>
          <w:szCs w:val="32"/>
          <w:lang w:val="en-US" w:eastAsia="zh-CN" w:bidi="ar-SA"/>
        </w:rPr>
        <w:t>。区</w:t>
      </w:r>
      <w:r>
        <w:rPr>
          <w:rFonts w:ascii="仿宋_GB2312" w:eastAsia="仿宋_GB2312" w:cs="仿宋_GB2312" w:hint="eastAsia"/>
          <w:color w:val="FF0000"/>
          <w:kern w:val="2"/>
          <w:sz w:val="32"/>
          <w:szCs w:val="32"/>
          <w:lang w:val="en-US" w:eastAsia="zh-CN" w:bidi="ar-SA"/>
        </w:rPr>
        <w:t>供电公司根据《电力安全工作规程》相关安全管理规定，与用户或储能设施投资方签订《储能系统调度协议》，共同加强对储能系统验收接入及后续运行的安全管理。</w:t>
      </w:r>
      <w:r>
        <w:rPr>
          <w:rFonts w:cs="仿宋_GB2312" w:hint="eastAsia"/>
          <w:color w:val="FF0000"/>
          <w:sz w:val="32"/>
          <w:szCs w:val="32"/>
          <w:lang w:val="en-US" w:eastAsia="zh-CN"/>
        </w:rPr>
        <w:t>区级各</w:t>
      </w:r>
      <w:r>
        <w:rPr>
          <w:rFonts w:ascii="仿宋_GB2312" w:eastAsia="仿宋_GB2312" w:cs="仿宋_GB2312" w:hint="eastAsia"/>
          <w:color w:val="FF0000"/>
          <w:sz w:val="32"/>
          <w:szCs w:val="32"/>
          <w:lang w:val="en-US" w:eastAsia="zh-CN"/>
        </w:rPr>
        <w:t>相关部门</w:t>
      </w:r>
      <w:r>
        <w:rPr>
          <w:rFonts w:cs="仿宋_GB2312" w:hint="eastAsia"/>
          <w:color w:val="FF0000"/>
          <w:sz w:val="32"/>
          <w:szCs w:val="32"/>
          <w:lang w:val="en-US" w:eastAsia="zh-CN"/>
        </w:rPr>
        <w:t>落实</w:t>
      </w:r>
      <w:r>
        <w:rPr>
          <w:rFonts w:ascii="仿宋_GB2312" w:eastAsia="仿宋_GB2312" w:cs="仿宋_GB2312" w:hint="eastAsia"/>
          <w:color w:val="FF0000"/>
          <w:sz w:val="32"/>
          <w:szCs w:val="32"/>
          <w:lang w:val="en-US" w:eastAsia="zh-CN"/>
        </w:rPr>
        <w:t>安全主体责任，强化消防安全管理，有效提升安全运行水平。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Chars="200" w:firstLine="640"/>
        <w:textAlignment w:val="auto"/>
        <w:outlineLvl w:val="0"/>
        <w:rPr>
          <w:rFonts w:ascii="黑体" w:eastAsia="黑体" w:cs="黑体" w:hint="eastAsia"/>
          <w:color w:val="auto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color w:val="auto"/>
          <w:sz w:val="32"/>
          <w:szCs w:val="32"/>
          <w:lang w:val="en-US" w:eastAsia="zh-CN"/>
          <w:highlight w:val="auto"/>
        </w:rPr>
        <w:t>保障措施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Chars="200" w:firstLine="672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ascii="楷体" w:eastAsia="楷体" w:cs="楷体" w:hint="eastAsia"/>
          <w:b/>
          <w:bCs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ascii="楷体" w:eastAsia="楷体" w:cs="楷体" w:hint="eastAsia"/>
          <w:b/>
          <w:bCs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组织</w:t>
      </w:r>
      <w:r>
        <w:rPr>
          <w:rFonts w:ascii="楷体" w:eastAsia="楷体" w:cs="楷体" w:hint="eastAsia"/>
          <w:b/>
          <w:bCs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引导</w:t>
      </w:r>
      <w:r>
        <w:rPr>
          <w:rFonts w:ascii="楷体" w:eastAsia="楷体" w:cs="楷体" w:hint="eastAsia"/>
          <w:b/>
          <w:bCs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eastAsia="zh-CN"/>
        </w:rPr>
        <w:t>区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发改部门要会同有关部门加快用户侧储能发展建设，引导用电量高、负荷峰谷差大的企业建设用户侧储能。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Chars="200" w:firstLine="672"/>
        <w:jc w:val="both"/>
        <w:textAlignment w:val="auto"/>
        <w:rPr>
          <w:color w:val="auto"/>
          <w:lang w:val="en-US" w:eastAsia="zh-CN"/>
        </w:rPr>
      </w:pPr>
      <w:r>
        <w:rPr>
          <w:rFonts w:ascii="楷体" w:eastAsia="楷体" w:cs="楷体" w:hint="eastAsia"/>
          <w:b/>
          <w:bCs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建立协调机制。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梳理明确一批用户侧储能示范项目清单，加大对其前期建设工作的统筹协调力度，确保示范项目按期落地、发挥成效。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Chars="200" w:firstLine="672"/>
        <w:jc w:val="both"/>
        <w:textAlignment w:val="auto"/>
        <w:rPr>
          <w:color w:val="auto"/>
          <w:lang w:val="en-US" w:eastAsia="zh-CN"/>
        </w:rPr>
      </w:pPr>
      <w:r>
        <w:rPr>
          <w:rFonts w:ascii="楷体" w:eastAsia="楷体" w:cs="楷体" w:hint="eastAsia"/>
          <w:b/>
          <w:bCs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强化</w:t>
      </w:r>
      <w:r>
        <w:rPr>
          <w:rFonts w:ascii="楷体" w:eastAsia="楷体" w:cs="楷体" w:hint="eastAsia"/>
          <w:b/>
          <w:bCs/>
          <w:color w:val="auto"/>
          <w:sz w:val="32"/>
          <w:szCs w:val="32"/>
          <w:lang w:val="en-US" w:eastAsia="zh-CN"/>
          <w:highlight w:val="auto"/>
        </w:rPr>
        <w:t>要素保障。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鼓励支持社会各类主体参与新型储能项目投资，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金融机构开发储能信贷产品；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强化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eastAsia="zh-CN"/>
        </w:rPr>
        <w:t>财政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资金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保障，对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eastAsia="zh-CN"/>
        </w:rPr>
        <w:t>储能项目参与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负荷响应补贴和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示范项目建设给予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资金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支持。</w:t>
      </w:r>
    </w:p>
    <w:p>
      <w:pPr>
        <w:pStyle w:val="22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Chars="200" w:firstLine="672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firstLineChars="200" w:firstLine="420"/>
        <w:textAlignment w:val="auto"/>
        <w:rPr>
          <w:color w:val="auto"/>
          <w:lang w:val="en-US" w:eastAsia="zh-CN"/>
        </w:rPr>
      </w:pPr>
    </w:p>
    <w:sectPr>
      <w:footerReference w:type="default" r:id="rId2"/>
      <w:pgSz w:w="11906" w:h="16838"/>
      <w:pgMar w:top="850" w:right="1474" w:bottom="850" w:left="1587" w:header="851" w:footer="992" w:gutter="0"/>
      <w:pgNumType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书宋_GBK">
    <w:altName w:val="Arial Unicode MS"/>
    <w:panose1 w:val="03000509000000000000"/>
    <w:charset w:val="86"/>
    <w:family w:val="auto"/>
    <w:pitch w:val="variable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050" cy="1315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000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yle="position:absolute;margin-left:0.0pt;margin-top:0.0pt;width:31.5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0000003"/>
    <w:multiLevelType w:val="singleLevel"/>
    <w:tmpl w:val="00000003"/>
    <w:lvl w:ilvl="0">
      <w:start w:val="1"/>
      <w:numFmt w:val="chineseCounting"/>
      <w:lvlRestart w:val="0"/>
      <w:suff w:val="nothing"/>
      <w:lvlText w:val="%1、"/>
      <w:lvlJc w:val="left"/>
      <w:pPr>
        <w:ind w:left="0" w:firstLine="4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chineseCounting"/>
      <w:lvlRestart w:val="0"/>
      <w:suff w:val="nothing"/>
      <w:lvlText w:val="（%1）"/>
      <w:lvlJc w:val="left"/>
      <w:pPr>
        <w:ind w:left="0" w:firstLine="420"/>
      </w:pPr>
      <w:rPr>
        <w:rFonts w:hint="eastAsia"/>
        <w:b/>
        <w:bCs/>
      </w:rPr>
    </w:lvl>
  </w:abstractNum>
  <w:abstractNum w:abstractNumId="2">
    <w:nsid w:val="00000002"/>
    <w:multiLevelType w:val="singleLevel"/>
    <w:tmpl w:val="00000002"/>
    <w:lvl w:ilvl="0">
      <w:start w:val="1"/>
      <w:numFmt w:val="chineseCounting"/>
      <w:lvlRestart w:val="0"/>
      <w:suff w:val="nothing"/>
      <w:lvlText w:val="（%1）"/>
      <w:lvlJc w:val="left"/>
      <w:pPr>
        <w:ind w:left="197" w:firstLine="420"/>
      </w:pPr>
      <w:rPr>
        <w:rFonts w:hint="eastAsia"/>
        <w:b/>
        <w:bCs/>
      </w:rPr>
    </w:lvl>
  </w:abstractNum>
  <w:abstractNum w:abstractNumId="3">
    <w:nsid w:val="00000000"/>
    <w:multiLevelType w:val="singleLevel"/>
    <w:tmpl w:val="00000000"/>
    <w:lvl w:ilvl="0">
      <w:start w:val="1"/>
      <w:numFmt w:val="chineseCounting"/>
      <w:lvlRestart w:val="0"/>
      <w:suff w:val="nothing"/>
      <w:lvlText w:val="（%1）"/>
      <w:lvlJc w:val="left"/>
      <w:pPr>
        <w:ind w:left="0" w:firstLine="40"/>
      </w:pPr>
      <w:rPr>
        <w:rFonts w:ascii="楷体" w:hAnsi="楷体" w:eastAsia="楷体" w:cs="楷体" w:hint="eastAsia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9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ODQ0YTRmMGI1ZDUxNDI5ZGU3ZjY5YjkyMmE3YmRkZm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7"/>
    <w:pPr>
      <w:widowControl w:val="0"/>
      <w:jc w:val="both"/>
    </w:pPr>
    <w:rPr>
      <w:rFonts w:ascii="Calibri" w:eastAsia="宋体" w:cs="宋体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eastAsia="黑体" w:cs="Times New Roman" w:hAnsi="Arial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rPr>
      <w:rFonts w:ascii="仿宋_GB2312" w:eastAsia="仿宋_GB2312" w:cs="仿宋_GB2312"/>
      <w:sz w:val="31"/>
      <w:szCs w:val="31"/>
      <w:lang w:val="zh-CN"/>
    </w:rPr>
  </w:style>
  <w:style w:type="paragraph" w:styleId="16">
    <w:name w:val="Body Text First Indent"/>
    <w:basedOn w:val="15"/>
    <w:next w:val="0"/>
    <w:pPr>
      <w:ind w:firstLineChars="100" w:firstLine="100"/>
    </w:pPr>
    <w:rPr>
      <w:sz w:val="20"/>
      <w:szCs w:val="20"/>
    </w:rPr>
  </w:style>
  <w:style w:type="paragraph" w:styleId="17">
    <w:name w:val="Body Text First Indent 2"/>
    <w:basedOn w:val="16"/>
    <w:next w:val="0"/>
  </w:style>
  <w:style w:type="paragraph" w:styleId="18">
    <w:name w:val="Normal Indent"/>
    <w:basedOn w:val="0"/>
    <w:next w:val="0"/>
    <w:pPr>
      <w:ind w:firstLineChars="200" w:firstLine="200"/>
    </w:pPr>
  </w:style>
  <w:style w:type="paragraph" w:styleId="19">
    <w:name w:val="Body Text Indent"/>
    <w:basedOn w:val="0"/>
    <w:pPr>
      <w:spacing w:after="120"/>
      <w:ind w:leftChars="200" w:left="200"/>
    </w:p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2">
    <w:name w:val="Normal (Web)"/>
    <w:basedOn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23">
    <w:name w:val="font01"/>
    <w:basedOn w:val="10"/>
    <w:rPr>
      <w:rFonts w:ascii="方正书宋_GBK" w:eastAsia="方正书宋_GBK" w:cs="方正书宋_GBK"/>
      <w:b/>
      <w:color w:val="000000"/>
      <w:sz w:val="22"/>
      <w:szCs w:val="22"/>
      <w:u w:val="none"/>
    </w:rPr>
  </w:style>
  <w:style w:type="character" w:customStyle="1" w:styleId="24">
    <w:name w:val="font17"/>
    <w:basedOn w:val="10"/>
    <w:rPr>
      <w:rFonts w:asci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81"/>
    <w:basedOn w:val="10"/>
    <w:rPr>
      <w:rFonts w:ascii="Times New Roman" w:cs="Times New Roman" w:hAnsi="Times New Roman"/>
      <w:b/>
      <w:color w:val="000000"/>
      <w:sz w:val="22"/>
      <w:szCs w:val="22"/>
      <w:u w:val="none"/>
    </w:rPr>
  </w:style>
  <w:style w:type="character" w:customStyle="1" w:styleId="26">
    <w:name w:val="font91"/>
    <w:basedOn w:val="10"/>
    <w:rPr>
      <w:rFonts w:ascii="Times New Roman" w:cs="Times New Roman" w:hAnsi="Times New Roman"/>
      <w:color w:val="000000"/>
      <w:sz w:val="22"/>
      <w:szCs w:val="22"/>
      <w:u w:val="none"/>
    </w:rPr>
  </w:style>
  <w:style w:type="character" w:customStyle="1" w:styleId="27">
    <w:name w:val="font101"/>
    <w:basedOn w:val="1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28">
    <w:name w:val="font121"/>
    <w:basedOn w:val="10"/>
    <w:rPr>
      <w:rFonts w:ascii="Times New Roman" w:cs="Times New Roman" w:hAnsi="Times New Roman"/>
      <w:b/>
      <w:color w:val="000000"/>
      <w:sz w:val="22"/>
      <w:szCs w:val="22"/>
      <w:u w:val="none"/>
    </w:rPr>
  </w:style>
  <w:style w:type="character" w:customStyle="1" w:styleId="29">
    <w:name w:val="font141"/>
    <w:basedOn w:val="10"/>
    <w:rPr>
      <w:rFonts w:ascii="宋体" w:eastAsia="宋体" w:cs="宋体"/>
      <w:b/>
      <w:color w:val="000000"/>
      <w:sz w:val="22"/>
      <w:szCs w:val="22"/>
      <w:u w:val="none"/>
    </w:rPr>
  </w:style>
  <w:style w:type="character" w:customStyle="1" w:styleId="30">
    <w:name w:val="font51"/>
    <w:basedOn w:val="1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31">
    <w:name w:val="font61"/>
    <w:basedOn w:val="10"/>
    <w:rPr>
      <w:rFonts w:ascii="Times New Roman" w:cs="Times New Roman" w:hAnsi="Times New Roman"/>
      <w:color w:val="000000"/>
      <w:sz w:val="22"/>
      <w:szCs w:val="22"/>
      <w:u w:val="none"/>
    </w:rPr>
  </w:style>
  <w:style w:type="character" w:customStyle="1" w:styleId="32">
    <w:name w:val="font21"/>
    <w:basedOn w:val="10"/>
    <w:rPr>
      <w:rFonts w:ascii="方正书宋_GBK" w:eastAsia="方正书宋_GBK" w:cs="方正书宋_GBK"/>
      <w:b/>
      <w:color w:val="000000"/>
      <w:sz w:val="22"/>
      <w:szCs w:val="22"/>
      <w:u w:val="none"/>
    </w:rPr>
  </w:style>
  <w:style w:type="character" w:customStyle="1" w:styleId="33">
    <w:name w:val="font11"/>
    <w:basedOn w:val="1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3</Pages>
  <Words>1369</Words>
  <Characters>1428</Characters>
  <Lines>66</Lines>
  <Paragraphs>21</Paragraphs>
  <CharactersWithSpaces>1429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WPS_1661737478</dc:creator>
  <cp:lastModifiedBy>uos</cp:lastModifiedBy>
  <cp:revision>0</cp:revision>
  <cp:lastPrinted>2023-06-13T07:10:00Z</cp:lastPrinted>
  <dcterms:created xsi:type="dcterms:W3CDTF">2022-09-07T08:41:00Z</dcterms:created>
  <dcterms:modified xsi:type="dcterms:W3CDTF">2023-06-30T09:40:46Z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544BD2034851463684F100DFDF4521EF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